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CE0" w:rsidRPr="005726EE" w:rsidRDefault="00BB0CE0" w:rsidP="00BB0CE0">
      <w:pPr>
        <w:widowControl/>
        <w:spacing w:after="120"/>
        <w:ind w:left="3430"/>
        <w:rPr>
          <w:rFonts w:ascii="楷体" w:eastAsia="楷体" w:hAnsi="楷体" w:cs="Times New Roman"/>
          <w:b/>
          <w:bCs/>
          <w:color w:val="0070C0"/>
          <w:kern w:val="0"/>
          <w:sz w:val="24"/>
          <w:szCs w:val="20"/>
          <w:lang w:val="en-GB"/>
        </w:rPr>
      </w:pPr>
      <w:r w:rsidRPr="005726EE">
        <w:rPr>
          <w:rFonts w:ascii="楷体" w:eastAsia="楷体" w:hAnsi="楷体" w:hint="eastAsia"/>
          <w:b/>
          <w:bCs/>
          <w:color w:val="0070C0"/>
          <w:kern w:val="0"/>
          <w:sz w:val="24"/>
          <w:szCs w:val="20"/>
          <w:lang w:val="en-GB"/>
        </w:rPr>
        <w:t>导语</w:t>
      </w:r>
    </w:p>
    <w:p w:rsidR="00BB0CE0" w:rsidRPr="005726EE" w:rsidRDefault="00BB0CE0" w:rsidP="00BB0CE0">
      <w:pPr>
        <w:pStyle w:val="ab"/>
        <w:spacing w:after="163"/>
        <w:ind w:firstLineChars="200" w:firstLine="420"/>
        <w:rPr>
          <w:rFonts w:ascii="楷体" w:eastAsia="楷体" w:hAnsi="楷体" w:cs="宋体"/>
          <w:color w:val="auto"/>
        </w:rPr>
      </w:pPr>
      <w:r w:rsidRPr="005726EE">
        <w:rPr>
          <w:rFonts w:ascii="楷体" w:eastAsia="楷体" w:hAnsi="楷体" w:hint="eastAsia"/>
        </w:rPr>
        <w:t>2月仅有15个交易日，期间A股走出倒</w:t>
      </w:r>
      <w:r w:rsidRPr="005726EE">
        <w:rPr>
          <w:rFonts w:ascii="楷体" w:eastAsia="楷体" w:hAnsi="楷体"/>
        </w:rPr>
        <w:t>“</w:t>
      </w:r>
      <w:r w:rsidRPr="005726EE">
        <w:rPr>
          <w:rFonts w:ascii="楷体" w:eastAsia="楷体" w:hAnsi="楷体" w:hint="eastAsia"/>
        </w:rPr>
        <w:t>V</w:t>
      </w:r>
      <w:r w:rsidRPr="005726EE">
        <w:rPr>
          <w:rFonts w:ascii="楷体" w:eastAsia="楷体" w:hAnsi="楷体"/>
        </w:rPr>
        <w:t>”</w:t>
      </w:r>
      <w:r w:rsidRPr="005726EE">
        <w:rPr>
          <w:rFonts w:ascii="楷体" w:eastAsia="楷体" w:hAnsi="楷体" w:hint="eastAsia"/>
        </w:rPr>
        <w:t>型，先是在</w:t>
      </w:r>
      <w:r w:rsidRPr="005726EE">
        <w:rPr>
          <w:rFonts w:ascii="楷体" w:eastAsia="楷体" w:hAnsi="楷体" w:hint="eastAsia"/>
          <w:color w:val="auto"/>
        </w:rPr>
        <w:t>IPO</w:t>
      </w:r>
      <w:r w:rsidRPr="005726EE">
        <w:rPr>
          <w:rFonts w:ascii="楷体" w:eastAsia="楷体" w:hAnsi="楷体" w:cs="宋体" w:hint="eastAsia"/>
          <w:color w:val="auto"/>
        </w:rPr>
        <w:t>进入空窗期、</w:t>
      </w:r>
      <w:r w:rsidRPr="005726EE">
        <w:rPr>
          <w:rFonts w:ascii="楷体" w:eastAsia="楷体" w:hAnsi="楷体" w:hint="eastAsia"/>
        </w:rPr>
        <w:t>流动性比节前明显好转的背景下，</w:t>
      </w:r>
      <w:r w:rsidRPr="005726EE">
        <w:rPr>
          <w:rFonts w:ascii="楷体" w:eastAsia="楷体" w:hAnsi="楷体" w:cs="宋体" w:hint="eastAsia"/>
        </w:rPr>
        <w:t>互联网金融、两会预期的改革</w:t>
      </w:r>
      <w:r w:rsidRPr="005726EE">
        <w:rPr>
          <w:rFonts w:ascii="楷体" w:eastAsia="楷体" w:hAnsi="楷体" w:cs="宋体" w:hint="eastAsia"/>
          <w:color w:val="auto"/>
        </w:rPr>
        <w:t>等概念引发大小盘股轮番上涨</w:t>
      </w:r>
      <w:r>
        <w:rPr>
          <w:rFonts w:ascii="楷体" w:eastAsia="楷体" w:hAnsi="楷体" w:cs="宋体" w:hint="eastAsia"/>
          <w:color w:val="auto"/>
        </w:rPr>
        <w:t>。</w:t>
      </w:r>
      <w:r w:rsidRPr="005726EE">
        <w:rPr>
          <w:rFonts w:ascii="楷体" w:eastAsia="楷体" w:hAnsi="楷体" w:cs="宋体" w:hint="eastAsia"/>
          <w:color w:val="auto"/>
        </w:rPr>
        <w:t>然</w:t>
      </w:r>
      <w:r>
        <w:rPr>
          <w:rFonts w:ascii="楷体" w:eastAsia="楷体" w:hAnsi="楷体" w:cs="宋体" w:hint="eastAsia"/>
          <w:color w:val="auto"/>
        </w:rPr>
        <w:t>后</w:t>
      </w:r>
      <w:r w:rsidRPr="005726EE">
        <w:rPr>
          <w:rFonts w:ascii="楷体" w:eastAsia="楷体" w:hAnsi="楷体" w:cs="宋体" w:hint="eastAsia"/>
          <w:color w:val="auto"/>
        </w:rPr>
        <w:t>宏观经济指标不甚乐观，人民币汇率持续贬值创半年来新低，银行停止放贷的传闻引发市场对房地产担忧等共同迫使大盘掉头向下，创业板更遭遇大幅调整。</w:t>
      </w:r>
    </w:p>
    <w:p w:rsidR="00BB0CE0" w:rsidRPr="005726EE" w:rsidRDefault="00BB0CE0" w:rsidP="00BB0CE0">
      <w:pPr>
        <w:pStyle w:val="ab"/>
        <w:spacing w:after="163"/>
        <w:ind w:firstLineChars="200" w:firstLine="420"/>
        <w:rPr>
          <w:rFonts w:ascii="楷体" w:eastAsia="楷体" w:hAnsi="楷体"/>
          <w:szCs w:val="21"/>
        </w:rPr>
      </w:pPr>
      <w:r w:rsidRPr="005726EE">
        <w:rPr>
          <w:rFonts w:ascii="楷体" w:eastAsia="楷体" w:hAnsi="楷体" w:hint="eastAsia"/>
        </w:rPr>
        <w:t>在1月由于对冲基金普遍对疯狂的中小盘股票保持清醒和警惕，收益落后创业板指，而2月创业板果然见顶回落，显示对冲基金较准的预判能力。在主板市场环境不佳、以结构性行情为主的背景下，对冲基金对于主题机会的把握相对敏锐灵活：传统</w:t>
      </w:r>
      <w:r>
        <w:rPr>
          <w:rFonts w:ascii="楷体" w:eastAsia="楷体" w:hAnsi="楷体" w:hint="eastAsia"/>
        </w:rPr>
        <w:t>多头</w:t>
      </w:r>
      <w:r w:rsidRPr="005726EE">
        <w:rPr>
          <w:rFonts w:ascii="楷体" w:eastAsia="楷体" w:hAnsi="楷体" w:hint="eastAsia"/>
        </w:rPr>
        <w:t>策略对冲基金管理型月度平均收益1.05%，分级</w:t>
      </w:r>
      <w:proofErr w:type="gramStart"/>
      <w:r w:rsidRPr="005726EE">
        <w:rPr>
          <w:rFonts w:ascii="楷体" w:eastAsia="楷体" w:hAnsi="楷体" w:hint="eastAsia"/>
        </w:rPr>
        <w:t>型平均</w:t>
      </w:r>
      <w:proofErr w:type="gramEnd"/>
      <w:r w:rsidRPr="005726EE">
        <w:rPr>
          <w:rFonts w:ascii="楷体" w:eastAsia="楷体" w:hAnsi="楷体" w:hint="eastAsia"/>
        </w:rPr>
        <w:t>为0.02%，均跑赢同期主板市场</w:t>
      </w:r>
      <w:r>
        <w:rPr>
          <w:rFonts w:ascii="楷体" w:eastAsia="楷体" w:hAnsi="楷体" w:hint="eastAsia"/>
        </w:rPr>
        <w:t>；</w:t>
      </w:r>
      <w:r w:rsidRPr="005726EE">
        <w:rPr>
          <w:rFonts w:ascii="楷体" w:eastAsia="楷体" w:hAnsi="楷体" w:hint="eastAsia"/>
          <w:szCs w:val="21"/>
        </w:rPr>
        <w:t>事件驱动策略月均收益2.42%，再度回到各类对冲基金的领先位置。具体产品方面，</w:t>
      </w:r>
      <w:r w:rsidRPr="005726EE">
        <w:rPr>
          <w:rFonts w:ascii="楷体" w:eastAsia="楷体" w:hAnsi="楷体" w:hint="eastAsia"/>
        </w:rPr>
        <w:t>2</w:t>
      </w:r>
      <w:r w:rsidRPr="005726EE">
        <w:rPr>
          <w:rFonts w:ascii="楷体" w:eastAsia="楷体" w:hAnsi="楷体" w:cs="宋体" w:hint="eastAsia"/>
        </w:rPr>
        <w:t>月起伏的市场更适于波段把握能力强、擅于适时介入并适时撤离的“择时型”对冲基金。尚雅、泽泉、</w:t>
      </w:r>
      <w:proofErr w:type="gramStart"/>
      <w:r w:rsidRPr="005726EE">
        <w:rPr>
          <w:rFonts w:ascii="楷体" w:eastAsia="楷体" w:hAnsi="楷体" w:hint="eastAsia"/>
          <w:szCs w:val="21"/>
        </w:rPr>
        <w:t>鑫</w:t>
      </w:r>
      <w:proofErr w:type="gramEnd"/>
      <w:r w:rsidRPr="005726EE">
        <w:rPr>
          <w:rFonts w:ascii="楷体" w:eastAsia="楷体" w:hAnsi="楷体" w:hint="eastAsia"/>
          <w:szCs w:val="21"/>
        </w:rPr>
        <w:t>柏源、双隆、谦石、泽熙、</w:t>
      </w:r>
      <w:proofErr w:type="gramStart"/>
      <w:r w:rsidRPr="005726EE">
        <w:rPr>
          <w:rFonts w:ascii="楷体" w:eastAsia="楷体" w:hAnsi="楷体" w:hint="eastAsia"/>
          <w:szCs w:val="21"/>
        </w:rPr>
        <w:t>凯</w:t>
      </w:r>
      <w:proofErr w:type="gramEnd"/>
      <w:r w:rsidRPr="005726EE">
        <w:rPr>
          <w:rFonts w:ascii="楷体" w:eastAsia="楷体" w:hAnsi="楷体" w:hint="eastAsia"/>
          <w:szCs w:val="21"/>
        </w:rPr>
        <w:t>石等基金收益领跑。</w:t>
      </w:r>
    </w:p>
    <w:p w:rsidR="00BB0CE0" w:rsidRPr="005726EE" w:rsidRDefault="0000753C" w:rsidP="0000753C">
      <w:pPr>
        <w:pStyle w:val="ab"/>
        <w:spacing w:after="163"/>
        <w:ind w:firstLineChars="200" w:firstLine="482"/>
        <w:rPr>
          <w:rFonts w:ascii="楷体" w:eastAsia="楷体" w:hAnsi="楷体"/>
          <w:szCs w:val="21"/>
        </w:rPr>
      </w:pPr>
      <w:r w:rsidRPr="009C7B25">
        <w:rPr>
          <w:rFonts w:ascii="楷体" w:eastAsia="楷体" w:hAnsi="楷体"/>
          <w:b/>
          <w:bCs/>
          <w:noProof/>
          <w:color w:val="0070C0"/>
          <w:sz w:val="24"/>
        </w:rPr>
        <w:pict>
          <v:shapetype id="_x0000_t202" coordsize="21600,21600" o:spt="202" path="m,l,21600r21600,l21600,xe">
            <v:stroke joinstyle="miter"/>
            <v:path gradientshapeok="t" o:connecttype="rect"/>
          </v:shapetype>
          <v:shape id="_x0000_s2051" type="#_x0000_t202" style="position:absolute;left:0;text-align:left;margin-left:-3pt;margin-top:76.1pt;width:148.5pt;height:275.6pt;z-index:251660288;mso-width-relative:margin;mso-height-relative:margin" strokecolor="white [3212]" strokeweight="0">
            <v:stroke dashstyle="1 1" endcap="round"/>
            <v:textbox style="mso-next-textbox:#_x0000_s2051">
              <w:txbxContent>
                <w:p w:rsidR="00635482" w:rsidRPr="00635482" w:rsidRDefault="00635482" w:rsidP="00635482">
                  <w:pPr>
                    <w:rPr>
                      <w:rFonts w:ascii="楷体" w:eastAsia="楷体" w:hAnsi="楷体"/>
                      <w:b/>
                      <w:lang w:val="en-GB"/>
                    </w:rPr>
                  </w:pPr>
                  <w:proofErr w:type="gramStart"/>
                  <w:r w:rsidRPr="00635482">
                    <w:rPr>
                      <w:rFonts w:ascii="楷体" w:eastAsia="楷体" w:hAnsi="楷体"/>
                      <w:b/>
                      <w:lang w:val="en-GB"/>
                    </w:rPr>
                    <w:t>凯石工场</w:t>
                  </w:r>
                  <w:proofErr w:type="gramEnd"/>
                  <w:r w:rsidRPr="00635482">
                    <w:rPr>
                      <w:rFonts w:ascii="楷体" w:eastAsia="楷体" w:hAnsi="楷体"/>
                      <w:b/>
                      <w:lang w:val="en-GB"/>
                    </w:rPr>
                    <w:t>移动平台</w:t>
                  </w:r>
                  <w:r w:rsidRPr="00635482">
                    <w:rPr>
                      <w:rFonts w:ascii="楷体" w:eastAsia="楷体" w:hAnsi="楷体" w:hint="eastAsia"/>
                      <w:b/>
                      <w:lang w:val="en-GB"/>
                    </w:rPr>
                    <w:t>：</w:t>
                  </w:r>
                </w:p>
                <w:p w:rsidR="00635482" w:rsidRPr="00635482" w:rsidRDefault="00635482">
                  <w:pPr>
                    <w:rPr>
                      <w:rFonts w:ascii="楷体" w:eastAsia="楷体" w:hAnsi="楷体"/>
                      <w:lang w:val="en-GB"/>
                    </w:rPr>
                  </w:pPr>
                </w:p>
                <w:p w:rsidR="00635482" w:rsidRPr="00635482" w:rsidRDefault="00635482">
                  <w:r w:rsidRPr="00635482">
                    <w:rPr>
                      <w:rFonts w:ascii="楷体" w:eastAsia="楷体" w:hAnsi="楷体" w:hint="eastAsia"/>
                      <w:lang w:val="en-GB"/>
                    </w:rPr>
                    <w:t>官方微博：</w:t>
                  </w:r>
                </w:p>
                <w:p w:rsidR="00635482" w:rsidRPr="00635482" w:rsidRDefault="00635482">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石财富工场</w:t>
                  </w:r>
                </w:p>
                <w:p w:rsidR="00635482" w:rsidRDefault="00635482">
                  <w:r>
                    <w:rPr>
                      <w:rFonts w:hint="eastAsia"/>
                      <w:noProof/>
                    </w:rPr>
                    <w:drawing>
                      <wp:inline distT="0" distB="0" distL="0" distR="0">
                        <wp:extent cx="933450" cy="933450"/>
                        <wp:effectExtent l="19050" t="0" r="0" b="0"/>
                        <wp:docPr id="6"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635482" w:rsidRDefault="00635482">
                  <w:pPr>
                    <w:rPr>
                      <w:rFonts w:ascii="楷体" w:eastAsia="楷体" w:hAnsi="楷体"/>
                      <w:b/>
                      <w:lang w:val="en-GB"/>
                    </w:rPr>
                  </w:pPr>
                </w:p>
                <w:p w:rsidR="00635482" w:rsidRPr="00635482" w:rsidRDefault="00635482">
                  <w:pPr>
                    <w:rPr>
                      <w:rFonts w:ascii="楷体" w:eastAsia="楷体" w:hAnsi="楷体"/>
                      <w:lang w:val="en-GB"/>
                    </w:rPr>
                  </w:pPr>
                  <w:r w:rsidRPr="00635482">
                    <w:rPr>
                      <w:rFonts w:ascii="楷体" w:eastAsia="楷体" w:hAnsi="楷体" w:hint="eastAsia"/>
                      <w:lang w:val="en-GB"/>
                    </w:rPr>
                    <w:t>官方微信：</w:t>
                  </w:r>
                </w:p>
                <w:p w:rsidR="00635482" w:rsidRPr="00635482" w:rsidRDefault="00635482">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石财富知音订阅号</w:t>
                  </w:r>
                </w:p>
                <w:p w:rsidR="00635482" w:rsidRDefault="00635482">
                  <w:r w:rsidRPr="00635482">
                    <w:rPr>
                      <w:rFonts w:ascii="楷体" w:eastAsia="楷体" w:hAnsi="楷体"/>
                      <w:b/>
                      <w:noProof/>
                    </w:rPr>
                    <w:drawing>
                      <wp:inline distT="0" distB="0" distL="0" distR="0">
                        <wp:extent cx="952500" cy="952500"/>
                        <wp:effectExtent l="19050" t="0" r="0" b="0"/>
                        <wp:docPr id="4"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BB0CE0" w:rsidRPr="005726EE">
        <w:rPr>
          <w:rFonts w:ascii="楷体" w:eastAsia="楷体" w:hAnsi="楷体" w:hint="eastAsia"/>
          <w:szCs w:val="21"/>
        </w:rPr>
        <w:t>对于现阶段对冲基金的投资策略，</w:t>
      </w:r>
      <w:proofErr w:type="gramStart"/>
      <w:r w:rsidR="00BB0CE0" w:rsidRPr="005726EE">
        <w:rPr>
          <w:rFonts w:ascii="楷体" w:eastAsia="楷体" w:hAnsi="楷体" w:hint="eastAsia"/>
          <w:szCs w:val="21"/>
        </w:rPr>
        <w:t>凯石工场认为</w:t>
      </w:r>
      <w:proofErr w:type="gramEnd"/>
      <w:r w:rsidR="00BB0CE0" w:rsidRPr="00F133EB">
        <w:rPr>
          <w:rFonts w:ascii="楷体" w:eastAsia="楷体" w:hAnsi="楷体" w:hint="eastAsia"/>
          <w:szCs w:val="21"/>
        </w:rPr>
        <w:t>国内经济下滑预期不断强化，在热钱加速流出以及央行“有限”放松下，市场流动性紧缩效果已经开始显现</w:t>
      </w:r>
      <w:r w:rsidR="00BB0CE0">
        <w:rPr>
          <w:rFonts w:ascii="楷体" w:eastAsia="楷体" w:hAnsi="楷体" w:hint="eastAsia"/>
          <w:szCs w:val="21"/>
        </w:rPr>
        <w:t>，</w:t>
      </w:r>
      <w:r w:rsidR="00BB0CE0" w:rsidRPr="005726EE">
        <w:rPr>
          <w:rFonts w:ascii="楷体" w:eastAsia="楷体" w:hAnsi="楷体" w:hint="eastAsia"/>
          <w:szCs w:val="21"/>
        </w:rPr>
        <w:t>建议采取适当防御的操作策略，可通过投资组合策略多元化而有效分散风险，或增配风险等级较低的产品如朱雀、精熙、</w:t>
      </w:r>
      <w:proofErr w:type="gramStart"/>
      <w:r w:rsidR="00BB0CE0" w:rsidRPr="005726EE">
        <w:rPr>
          <w:rFonts w:ascii="楷体" w:eastAsia="楷体" w:hAnsi="楷体" w:hint="eastAsia"/>
          <w:szCs w:val="21"/>
        </w:rPr>
        <w:t>毅扬等</w:t>
      </w:r>
      <w:proofErr w:type="gramEnd"/>
      <w:r w:rsidR="00BB0CE0" w:rsidRPr="005726EE">
        <w:rPr>
          <w:rFonts w:ascii="楷体" w:eastAsia="楷体" w:hAnsi="楷体" w:hint="eastAsia"/>
          <w:szCs w:val="21"/>
        </w:rPr>
        <w:t>，以及择时能力强的展博、理成</w:t>
      </w:r>
      <w:r w:rsidR="00BB0CE0">
        <w:rPr>
          <w:rFonts w:ascii="楷体" w:eastAsia="楷体" w:hAnsi="楷体" w:hint="eastAsia"/>
          <w:szCs w:val="21"/>
        </w:rPr>
        <w:t>、</w:t>
      </w:r>
      <w:r w:rsidR="00BB0CE0" w:rsidRPr="005726EE">
        <w:rPr>
          <w:rFonts w:ascii="楷体" w:eastAsia="楷体" w:hAnsi="楷体" w:hint="eastAsia"/>
          <w:szCs w:val="21"/>
        </w:rPr>
        <w:t>博</w:t>
      </w:r>
      <w:proofErr w:type="gramStart"/>
      <w:r w:rsidR="00BB0CE0" w:rsidRPr="005726EE">
        <w:rPr>
          <w:rFonts w:ascii="楷体" w:eastAsia="楷体" w:hAnsi="楷体" w:hint="eastAsia"/>
          <w:szCs w:val="21"/>
        </w:rPr>
        <w:t>颐</w:t>
      </w:r>
      <w:proofErr w:type="gramEnd"/>
      <w:r w:rsidR="00BB0CE0" w:rsidRPr="005726EE">
        <w:rPr>
          <w:rFonts w:ascii="楷体" w:eastAsia="楷体" w:hAnsi="楷体" w:hint="eastAsia"/>
          <w:szCs w:val="21"/>
        </w:rPr>
        <w:t>等。</w:t>
      </w:r>
      <w:proofErr w:type="gramStart"/>
      <w:r w:rsidR="00BB0CE0" w:rsidRPr="005726EE">
        <w:rPr>
          <w:rFonts w:ascii="楷体" w:eastAsia="楷体" w:hAnsi="楷体" w:hint="eastAsia"/>
          <w:szCs w:val="21"/>
        </w:rPr>
        <w:t>进攻端可通过</w:t>
      </w:r>
      <w:proofErr w:type="gramEnd"/>
      <w:r w:rsidR="00BB0CE0" w:rsidRPr="005726EE">
        <w:rPr>
          <w:rFonts w:ascii="楷体" w:eastAsia="楷体" w:hAnsi="楷体" w:hint="eastAsia"/>
          <w:szCs w:val="21"/>
        </w:rPr>
        <w:t>择时、主题机会等攫取超额收益，具体产品推荐泽熙、</w:t>
      </w:r>
      <w:r w:rsidR="00BB0CE0">
        <w:rPr>
          <w:rFonts w:ascii="楷体" w:eastAsia="楷体" w:hAnsi="楷体" w:hint="eastAsia"/>
          <w:szCs w:val="21"/>
        </w:rPr>
        <w:t>展博、</w:t>
      </w:r>
      <w:r w:rsidR="00BB0CE0" w:rsidRPr="005726EE">
        <w:rPr>
          <w:rFonts w:ascii="楷体" w:eastAsia="楷体" w:hAnsi="楷体" w:hint="eastAsia"/>
          <w:szCs w:val="21"/>
        </w:rPr>
        <w:t>博</w:t>
      </w:r>
      <w:proofErr w:type="gramStart"/>
      <w:r w:rsidR="00BB0CE0" w:rsidRPr="005726EE">
        <w:rPr>
          <w:rFonts w:ascii="楷体" w:eastAsia="楷体" w:hAnsi="楷体" w:hint="eastAsia"/>
          <w:szCs w:val="21"/>
        </w:rPr>
        <w:t>颐</w:t>
      </w:r>
      <w:proofErr w:type="gramEnd"/>
      <w:r w:rsidR="00BB0CE0" w:rsidRPr="005726EE">
        <w:rPr>
          <w:rFonts w:ascii="楷体" w:eastAsia="楷体" w:hAnsi="楷体" w:hint="eastAsia"/>
          <w:szCs w:val="21"/>
        </w:rPr>
        <w:t>、尚雅、淡水泉、</w:t>
      </w:r>
      <w:proofErr w:type="gramStart"/>
      <w:r w:rsidR="00BB0CE0" w:rsidRPr="005726EE">
        <w:rPr>
          <w:rFonts w:ascii="楷体" w:eastAsia="楷体" w:hAnsi="楷体" w:hint="eastAsia"/>
          <w:szCs w:val="21"/>
        </w:rPr>
        <w:t>鼎诺等</w:t>
      </w:r>
      <w:proofErr w:type="gramEnd"/>
      <w:r w:rsidR="00BB0CE0" w:rsidRPr="005726EE">
        <w:rPr>
          <w:rFonts w:ascii="楷体" w:eastAsia="楷体" w:hAnsi="楷体" w:hint="eastAsia"/>
          <w:szCs w:val="21"/>
        </w:rPr>
        <w:t>管理人的产品。</w:t>
      </w:r>
    </w:p>
    <w:p w:rsidR="00BB0CE0" w:rsidRPr="005726EE" w:rsidRDefault="00BB0CE0" w:rsidP="00BB0CE0">
      <w:pPr>
        <w:widowControl/>
        <w:spacing w:after="120"/>
        <w:ind w:left="3430"/>
        <w:rPr>
          <w:rFonts w:ascii="楷体" w:eastAsia="楷体" w:hAnsi="楷体"/>
        </w:rPr>
      </w:pPr>
      <w:r w:rsidRPr="005726EE">
        <w:rPr>
          <w:rFonts w:ascii="楷体" w:eastAsia="楷体" w:hAnsi="楷体" w:hint="eastAsia"/>
          <w:b/>
          <w:bCs/>
          <w:color w:val="0070C0"/>
          <w:kern w:val="0"/>
          <w:sz w:val="24"/>
          <w:szCs w:val="20"/>
          <w:lang w:val="en-GB"/>
        </w:rPr>
        <w:t>一、行业最新动态</w:t>
      </w:r>
    </w:p>
    <w:p w:rsidR="00BB0CE0" w:rsidRPr="005726EE" w:rsidRDefault="00BB0CE0" w:rsidP="00BB0CE0">
      <w:pPr>
        <w:widowControl/>
        <w:spacing w:after="120"/>
        <w:ind w:left="3430"/>
        <w:rPr>
          <w:rFonts w:ascii="楷体" w:eastAsia="楷体" w:hAnsi="楷体"/>
          <w:b/>
          <w:bCs/>
          <w:color w:val="0070C0"/>
          <w:kern w:val="0"/>
          <w:szCs w:val="21"/>
          <w:lang w:val="en-GB"/>
        </w:rPr>
      </w:pPr>
      <w:r w:rsidRPr="005726EE">
        <w:rPr>
          <w:rFonts w:ascii="楷体" w:eastAsia="楷体" w:hAnsi="楷体" w:cs="宋体" w:hint="eastAsia"/>
          <w:b/>
          <w:bCs/>
          <w:color w:val="0070C0"/>
          <w:kern w:val="0"/>
          <w:szCs w:val="21"/>
        </w:rPr>
        <w:t>对冲基金现可开户入市</w:t>
      </w:r>
    </w:p>
    <w:p w:rsidR="00BB0CE0" w:rsidRPr="005726EE" w:rsidRDefault="00BB0CE0" w:rsidP="00BB0CE0">
      <w:pPr>
        <w:pStyle w:val="ab"/>
        <w:numPr>
          <w:ilvl w:val="4"/>
          <w:numId w:val="1"/>
        </w:numPr>
        <w:spacing w:after="163"/>
        <w:rPr>
          <w:rFonts w:ascii="楷体" w:eastAsia="楷体" w:hAnsi="楷体"/>
          <w:szCs w:val="21"/>
        </w:rPr>
      </w:pPr>
      <w:r w:rsidRPr="005726EE">
        <w:rPr>
          <w:rFonts w:ascii="楷体" w:eastAsia="楷体" w:hAnsi="楷体" w:hint="eastAsia"/>
          <w:szCs w:val="21"/>
        </w:rPr>
        <w:t>中国结算3月25日发布《私募投资基金开户和结算有关问题的通知》，规定私募投资基金可以直接以私募投资基金产品的名义开立证券账户。《通知》指出，私募基金管理人每设立一只私募基金，可以按不同的证券交易场所各申请开立一个证券账户。私募基金管理人应加强自律，不得为专门申购新股、炒作风险警示股票（ST股）的私募基金申请开立证券账户。</w:t>
      </w:r>
    </w:p>
    <w:p w:rsidR="00BB0CE0" w:rsidRPr="005726EE" w:rsidRDefault="00BB0CE0" w:rsidP="00BB0CE0">
      <w:pPr>
        <w:pStyle w:val="ab"/>
        <w:numPr>
          <w:ilvl w:val="4"/>
          <w:numId w:val="1"/>
        </w:numPr>
        <w:spacing w:after="163"/>
        <w:rPr>
          <w:rFonts w:ascii="楷体" w:eastAsia="楷体" w:hAnsi="楷体"/>
          <w:szCs w:val="21"/>
        </w:rPr>
      </w:pPr>
      <w:proofErr w:type="gramStart"/>
      <w:r w:rsidRPr="005726EE">
        <w:rPr>
          <w:rFonts w:ascii="楷体" w:eastAsia="楷体" w:hAnsi="楷体" w:cs="宋体" w:hint="eastAsia"/>
          <w:b/>
          <w:szCs w:val="21"/>
        </w:rPr>
        <w:t>凯</w:t>
      </w:r>
      <w:proofErr w:type="gramEnd"/>
      <w:r w:rsidRPr="005726EE">
        <w:rPr>
          <w:rFonts w:ascii="楷体" w:eastAsia="楷体" w:hAnsi="楷体" w:cs="宋体" w:hint="eastAsia"/>
          <w:b/>
          <w:szCs w:val="21"/>
        </w:rPr>
        <w:t>石点评：</w:t>
      </w:r>
      <w:r w:rsidRPr="005726EE">
        <w:rPr>
          <w:rFonts w:ascii="楷体" w:eastAsia="楷体" w:hAnsi="楷体" w:hint="eastAsia"/>
          <w:szCs w:val="21"/>
        </w:rPr>
        <w:t>国内对冲基金可以直接以对冲基金产品的名义开立证券账户，实现阳光入市，并降低运营成本。这将彻底改变此前对冲基金借道信托入市的局面，</w:t>
      </w:r>
      <w:r w:rsidRPr="005726EE">
        <w:rPr>
          <w:rFonts w:ascii="楷体" w:eastAsia="楷体" w:hAnsi="楷体" w:cs="宋体" w:hint="eastAsia"/>
          <w:szCs w:val="21"/>
        </w:rPr>
        <w:t>将有利于促进对冲基金行业规范发展，也有利于多层次资本市场健康发展。</w:t>
      </w:r>
    </w:p>
    <w:p w:rsidR="00BB0CE0" w:rsidRPr="005726EE" w:rsidRDefault="00BB0CE0" w:rsidP="00BB0CE0">
      <w:pPr>
        <w:widowControl/>
        <w:spacing w:after="120"/>
        <w:ind w:left="3430"/>
        <w:rPr>
          <w:rFonts w:ascii="楷体" w:eastAsia="楷体" w:hAnsi="楷体" w:cs="宋体"/>
          <w:b/>
          <w:bCs/>
          <w:color w:val="0070C0"/>
          <w:kern w:val="0"/>
          <w:szCs w:val="21"/>
        </w:rPr>
      </w:pPr>
      <w:r w:rsidRPr="005726EE">
        <w:rPr>
          <w:rFonts w:ascii="楷体" w:eastAsia="楷体" w:hAnsi="楷体" w:cs="宋体" w:hint="eastAsia"/>
          <w:b/>
          <w:bCs/>
          <w:color w:val="0070C0"/>
          <w:kern w:val="0"/>
          <w:szCs w:val="21"/>
        </w:rPr>
        <w:t>第二批</w:t>
      </w:r>
      <w:r w:rsidRPr="005726EE">
        <w:rPr>
          <w:rFonts w:ascii="楷体" w:eastAsia="楷体" w:hAnsi="楷体" w:cs="Arial"/>
          <w:b/>
          <w:bCs/>
          <w:color w:val="0070C0"/>
          <w:kern w:val="0"/>
          <w:szCs w:val="21"/>
        </w:rPr>
        <w:t>50</w:t>
      </w:r>
      <w:r w:rsidRPr="005726EE">
        <w:rPr>
          <w:rFonts w:ascii="楷体" w:eastAsia="楷体" w:hAnsi="楷体" w:cs="宋体" w:hint="eastAsia"/>
          <w:b/>
          <w:bCs/>
          <w:color w:val="0070C0"/>
          <w:kern w:val="0"/>
          <w:szCs w:val="21"/>
        </w:rPr>
        <w:t>家对冲基金获</w:t>
      </w:r>
      <w:proofErr w:type="gramStart"/>
      <w:r w:rsidRPr="005726EE">
        <w:rPr>
          <w:rFonts w:ascii="楷体" w:eastAsia="楷体" w:hAnsi="楷体" w:cs="宋体" w:hint="eastAsia"/>
          <w:b/>
          <w:bCs/>
          <w:color w:val="0070C0"/>
          <w:kern w:val="0"/>
          <w:szCs w:val="21"/>
        </w:rPr>
        <w:t>颁登记</w:t>
      </w:r>
      <w:proofErr w:type="gramEnd"/>
      <w:r w:rsidRPr="005726EE">
        <w:rPr>
          <w:rFonts w:ascii="楷体" w:eastAsia="楷体" w:hAnsi="楷体" w:cs="宋体" w:hint="eastAsia"/>
          <w:b/>
          <w:bCs/>
          <w:color w:val="0070C0"/>
          <w:kern w:val="0"/>
          <w:szCs w:val="21"/>
        </w:rPr>
        <w:t>证书</w:t>
      </w:r>
    </w:p>
    <w:p w:rsidR="00BB0CE0" w:rsidRPr="005726EE" w:rsidRDefault="00BB0CE0" w:rsidP="00BB0CE0">
      <w:pPr>
        <w:pStyle w:val="ab"/>
        <w:numPr>
          <w:ilvl w:val="4"/>
          <w:numId w:val="1"/>
        </w:numPr>
        <w:spacing w:after="163"/>
        <w:rPr>
          <w:rFonts w:ascii="楷体" w:eastAsia="楷体" w:hAnsi="楷体"/>
          <w:szCs w:val="21"/>
        </w:rPr>
      </w:pPr>
      <w:r w:rsidRPr="005726EE">
        <w:rPr>
          <w:rFonts w:ascii="楷体" w:eastAsia="楷体" w:hAnsi="楷体" w:cs="宋体" w:hint="eastAsia"/>
          <w:szCs w:val="21"/>
        </w:rPr>
        <w:t>继首批</w:t>
      </w:r>
      <w:r w:rsidRPr="005726EE">
        <w:rPr>
          <w:rFonts w:ascii="楷体" w:eastAsia="楷体" w:hAnsi="楷体" w:hint="eastAsia"/>
          <w:szCs w:val="21"/>
        </w:rPr>
        <w:t>50</w:t>
      </w:r>
      <w:r w:rsidRPr="005726EE">
        <w:rPr>
          <w:rFonts w:ascii="楷体" w:eastAsia="楷体" w:hAnsi="楷体" w:cs="宋体" w:hint="eastAsia"/>
          <w:szCs w:val="21"/>
        </w:rPr>
        <w:t>家私</w:t>
      </w:r>
      <w:proofErr w:type="gramStart"/>
      <w:r w:rsidRPr="005726EE">
        <w:rPr>
          <w:rFonts w:ascii="楷体" w:eastAsia="楷体" w:hAnsi="楷体" w:cs="宋体" w:hint="eastAsia"/>
          <w:szCs w:val="21"/>
        </w:rPr>
        <w:t>募</w:t>
      </w:r>
      <w:proofErr w:type="gramEnd"/>
      <w:r w:rsidRPr="005726EE">
        <w:rPr>
          <w:rFonts w:ascii="楷体" w:eastAsia="楷体" w:hAnsi="楷体" w:cs="宋体" w:hint="eastAsia"/>
          <w:szCs w:val="21"/>
        </w:rPr>
        <w:t>基金获</w:t>
      </w:r>
      <w:proofErr w:type="gramStart"/>
      <w:r w:rsidRPr="005726EE">
        <w:rPr>
          <w:rFonts w:ascii="楷体" w:eastAsia="楷体" w:hAnsi="楷体" w:cs="宋体" w:hint="eastAsia"/>
          <w:szCs w:val="21"/>
        </w:rPr>
        <w:t>颁登记</w:t>
      </w:r>
      <w:proofErr w:type="gramEnd"/>
      <w:r w:rsidRPr="005726EE">
        <w:rPr>
          <w:rFonts w:ascii="楷体" w:eastAsia="楷体" w:hAnsi="楷体" w:cs="宋体" w:hint="eastAsia"/>
          <w:szCs w:val="21"/>
        </w:rPr>
        <w:t>证书后，中国证券投资基金业协会昨日举行第二批私募基金管理人颁证仪式。中国结算已经做好私募基金开户结算相关准备工作，在基金业协会备案的私募基金今后可以开立证券账户，参与证券交易和期货交易。该批</w:t>
      </w:r>
      <w:r w:rsidRPr="005726EE">
        <w:rPr>
          <w:rFonts w:ascii="楷体" w:eastAsia="楷体" w:hAnsi="楷体" w:hint="eastAsia"/>
          <w:szCs w:val="21"/>
        </w:rPr>
        <w:t>50</w:t>
      </w:r>
      <w:r w:rsidRPr="005726EE">
        <w:rPr>
          <w:rFonts w:ascii="楷体" w:eastAsia="楷体" w:hAnsi="楷体" w:cs="宋体" w:hint="eastAsia"/>
          <w:szCs w:val="21"/>
        </w:rPr>
        <w:t>家机构中，私募证券基金管理人</w:t>
      </w:r>
      <w:r w:rsidRPr="005726EE">
        <w:rPr>
          <w:rFonts w:ascii="楷体" w:eastAsia="楷体" w:hAnsi="楷体" w:hint="eastAsia"/>
          <w:szCs w:val="21"/>
        </w:rPr>
        <w:t>30</w:t>
      </w:r>
      <w:r w:rsidRPr="005726EE">
        <w:rPr>
          <w:rFonts w:ascii="楷体" w:eastAsia="楷体" w:hAnsi="楷体" w:cs="宋体" w:hint="eastAsia"/>
          <w:szCs w:val="21"/>
        </w:rPr>
        <w:t>家，私</w:t>
      </w:r>
      <w:proofErr w:type="gramStart"/>
      <w:r w:rsidRPr="005726EE">
        <w:rPr>
          <w:rFonts w:ascii="楷体" w:eastAsia="楷体" w:hAnsi="楷体" w:cs="宋体" w:hint="eastAsia"/>
          <w:szCs w:val="21"/>
        </w:rPr>
        <w:t>募股权基金（含创</w:t>
      </w:r>
      <w:proofErr w:type="gramEnd"/>
      <w:r w:rsidRPr="005726EE">
        <w:rPr>
          <w:rFonts w:ascii="楷体" w:eastAsia="楷体" w:hAnsi="楷体" w:cs="宋体" w:hint="eastAsia"/>
          <w:szCs w:val="21"/>
        </w:rPr>
        <w:t>投）管理人</w:t>
      </w:r>
      <w:r w:rsidRPr="005726EE">
        <w:rPr>
          <w:rFonts w:ascii="楷体" w:eastAsia="楷体" w:hAnsi="楷体" w:hint="eastAsia"/>
          <w:szCs w:val="21"/>
        </w:rPr>
        <w:t>20</w:t>
      </w:r>
      <w:r w:rsidRPr="005726EE">
        <w:rPr>
          <w:rFonts w:ascii="楷体" w:eastAsia="楷体" w:hAnsi="楷体" w:cs="宋体" w:hint="eastAsia"/>
          <w:szCs w:val="21"/>
        </w:rPr>
        <w:t>家。</w:t>
      </w:r>
    </w:p>
    <w:p w:rsidR="00BB0CE0" w:rsidRPr="005726EE" w:rsidRDefault="00BB0CE0" w:rsidP="00BB0CE0">
      <w:pPr>
        <w:pStyle w:val="ab"/>
        <w:numPr>
          <w:ilvl w:val="4"/>
          <w:numId w:val="1"/>
        </w:numPr>
        <w:spacing w:after="163"/>
        <w:rPr>
          <w:rFonts w:ascii="楷体" w:eastAsia="楷体" w:hAnsi="楷体"/>
          <w:szCs w:val="21"/>
        </w:rPr>
      </w:pPr>
      <w:proofErr w:type="gramStart"/>
      <w:r w:rsidRPr="005726EE">
        <w:rPr>
          <w:rFonts w:ascii="楷体" w:eastAsia="楷体" w:hAnsi="楷体" w:cs="宋体" w:hint="eastAsia"/>
          <w:b/>
          <w:szCs w:val="21"/>
        </w:rPr>
        <w:t>凯</w:t>
      </w:r>
      <w:proofErr w:type="gramEnd"/>
      <w:r w:rsidRPr="005726EE">
        <w:rPr>
          <w:rFonts w:ascii="楷体" w:eastAsia="楷体" w:hAnsi="楷体" w:cs="宋体" w:hint="eastAsia"/>
          <w:b/>
          <w:szCs w:val="21"/>
        </w:rPr>
        <w:t>石点评：</w:t>
      </w:r>
      <w:r w:rsidRPr="005726EE">
        <w:rPr>
          <w:rFonts w:ascii="楷体" w:eastAsia="楷体" w:hAnsi="楷体" w:cs="宋体" w:hint="eastAsia"/>
          <w:color w:val="auto"/>
        </w:rPr>
        <w:t>完成登记备案的对冲基金再发新产品可以向基金业协会进行申报，获得批复后即可开设证券账户。与原有的信托等通道相比，不仅节约成本，</w:t>
      </w:r>
      <w:r w:rsidRPr="005726EE">
        <w:rPr>
          <w:rFonts w:ascii="楷体" w:eastAsia="楷体" w:hAnsi="楷体" w:cs="宋体" w:hint="eastAsia"/>
          <w:color w:val="auto"/>
        </w:rPr>
        <w:lastRenderedPageBreak/>
        <w:t>也可提升操作效率。此外，证监会提出的事后监管思路也会给对冲基金更大的自由度。</w:t>
      </w:r>
    </w:p>
    <w:p w:rsidR="00BB0CE0" w:rsidRPr="005726EE" w:rsidRDefault="00BB0CE0" w:rsidP="00BB0CE0">
      <w:pPr>
        <w:widowControl/>
        <w:spacing w:after="120"/>
        <w:ind w:left="3430"/>
        <w:rPr>
          <w:rFonts w:ascii="楷体" w:eastAsia="楷体" w:hAnsi="楷体"/>
          <w:b/>
          <w:bCs/>
          <w:color w:val="0070C0"/>
          <w:kern w:val="0"/>
          <w:sz w:val="24"/>
          <w:szCs w:val="20"/>
          <w:lang w:val="en-GB"/>
        </w:rPr>
      </w:pPr>
      <w:r w:rsidRPr="005726EE">
        <w:rPr>
          <w:rFonts w:ascii="楷体" w:eastAsia="楷体" w:hAnsi="楷体" w:hint="eastAsia"/>
          <w:b/>
          <w:bCs/>
          <w:color w:val="0070C0"/>
          <w:kern w:val="0"/>
          <w:sz w:val="24"/>
          <w:szCs w:val="20"/>
          <w:lang w:val="en-GB"/>
        </w:rPr>
        <w:t>二、月度业绩回顾</w:t>
      </w:r>
    </w:p>
    <w:p w:rsidR="00BB0CE0" w:rsidRPr="005726EE" w:rsidRDefault="00BB0CE0" w:rsidP="00BB0CE0">
      <w:pPr>
        <w:widowControl/>
        <w:spacing w:after="120"/>
        <w:ind w:left="3430"/>
        <w:rPr>
          <w:rFonts w:ascii="楷体" w:eastAsia="楷体" w:hAnsi="楷体" w:cs="宋体"/>
          <w:b/>
          <w:bCs/>
          <w:color w:val="0070C0"/>
          <w:kern w:val="0"/>
          <w:szCs w:val="21"/>
          <w:lang w:val="en-GB"/>
        </w:rPr>
      </w:pPr>
      <w:r w:rsidRPr="005726EE">
        <w:rPr>
          <w:rFonts w:ascii="楷体" w:eastAsia="楷体" w:hAnsi="楷体" w:cs="宋体" w:hint="eastAsia"/>
          <w:b/>
          <w:bCs/>
          <w:color w:val="0070C0"/>
          <w:kern w:val="0"/>
          <w:szCs w:val="21"/>
          <w:lang w:val="en-GB"/>
        </w:rPr>
        <w:t>A股在经济疲软与改革推进中纠结</w:t>
      </w:r>
    </w:p>
    <w:p w:rsidR="00BB0CE0" w:rsidRPr="005726EE" w:rsidRDefault="00BB0CE0" w:rsidP="00BB0CE0">
      <w:pPr>
        <w:pStyle w:val="ab"/>
        <w:numPr>
          <w:ilvl w:val="4"/>
          <w:numId w:val="1"/>
        </w:numPr>
        <w:spacing w:after="163"/>
        <w:rPr>
          <w:rFonts w:ascii="楷体" w:eastAsia="楷体" w:hAnsi="楷体"/>
        </w:rPr>
      </w:pPr>
      <w:r w:rsidRPr="005726EE">
        <w:rPr>
          <w:rFonts w:ascii="楷体" w:eastAsia="楷体" w:hAnsi="楷体" w:hint="eastAsia"/>
        </w:rPr>
        <w:t>由于春节长假等原因，2月仅有15个交易日，期间A股走出倒</w:t>
      </w:r>
      <w:r w:rsidRPr="005726EE">
        <w:rPr>
          <w:rFonts w:ascii="楷体" w:eastAsia="楷体" w:hAnsi="楷体"/>
        </w:rPr>
        <w:t>“</w:t>
      </w:r>
      <w:r w:rsidRPr="005726EE">
        <w:rPr>
          <w:rFonts w:ascii="楷体" w:eastAsia="楷体" w:hAnsi="楷体" w:hint="eastAsia"/>
        </w:rPr>
        <w:t>V</w:t>
      </w:r>
      <w:r w:rsidRPr="005726EE">
        <w:rPr>
          <w:rFonts w:ascii="楷体" w:eastAsia="楷体" w:hAnsi="楷体"/>
        </w:rPr>
        <w:t>”</w:t>
      </w:r>
      <w:r w:rsidRPr="005726EE">
        <w:rPr>
          <w:rFonts w:ascii="楷体" w:eastAsia="楷体" w:hAnsi="楷体" w:hint="eastAsia"/>
        </w:rPr>
        <w:t>型，先是延续1月下旬开始的一路冲高，在</w:t>
      </w:r>
      <w:r w:rsidRPr="005726EE">
        <w:rPr>
          <w:rFonts w:ascii="楷体" w:eastAsia="楷体" w:hAnsi="楷体" w:hint="eastAsia"/>
          <w:color w:val="auto"/>
        </w:rPr>
        <w:t>IPO</w:t>
      </w:r>
      <w:r w:rsidRPr="005726EE">
        <w:rPr>
          <w:rFonts w:ascii="楷体" w:eastAsia="楷体" w:hAnsi="楷体" w:cs="宋体" w:hint="eastAsia"/>
          <w:color w:val="auto"/>
        </w:rPr>
        <w:t>进入空窗期、</w:t>
      </w:r>
      <w:r w:rsidRPr="005726EE">
        <w:rPr>
          <w:rFonts w:ascii="楷体" w:eastAsia="楷体" w:hAnsi="楷体" w:hint="eastAsia"/>
        </w:rPr>
        <w:t>流动性比节前明显好转的背景下，</w:t>
      </w:r>
      <w:r w:rsidRPr="005726EE">
        <w:rPr>
          <w:rFonts w:ascii="楷体" w:eastAsia="楷体" w:hAnsi="楷体" w:cs="宋体" w:hint="eastAsia"/>
          <w:color w:val="auto"/>
        </w:rPr>
        <w:t>美国特拉斯产业链带动的</w:t>
      </w:r>
      <w:r w:rsidRPr="005726EE">
        <w:rPr>
          <w:rFonts w:ascii="楷体" w:eastAsia="楷体" w:hAnsi="楷体" w:cs="宋体" w:hint="eastAsia"/>
        </w:rPr>
        <w:t>新能源概念、</w:t>
      </w:r>
      <w:proofErr w:type="gramStart"/>
      <w:r w:rsidRPr="005726EE">
        <w:rPr>
          <w:rFonts w:ascii="楷体" w:eastAsia="楷体" w:hAnsi="楷体" w:cs="宋体" w:hint="eastAsia"/>
        </w:rPr>
        <w:t>腾讯引发</w:t>
      </w:r>
      <w:proofErr w:type="gramEnd"/>
      <w:r w:rsidRPr="005726EE">
        <w:rPr>
          <w:rFonts w:ascii="楷体" w:eastAsia="楷体" w:hAnsi="楷体" w:cs="宋体" w:hint="eastAsia"/>
        </w:rPr>
        <w:t>的互联网金融概念、两会预期的医疗改革、清洁能源、环境保护</w:t>
      </w:r>
      <w:r w:rsidRPr="005726EE">
        <w:rPr>
          <w:rFonts w:ascii="楷体" w:eastAsia="楷体" w:hAnsi="楷体" w:cs="宋体" w:hint="eastAsia"/>
          <w:color w:val="auto"/>
        </w:rPr>
        <w:t>、国企改革等概念引发大小盘股轮番上涨，投资者对于政策利好的预期大大提升。然而</w:t>
      </w:r>
      <w:r w:rsidRPr="005726EE">
        <w:rPr>
          <w:rFonts w:ascii="楷体" w:eastAsia="楷体" w:hAnsi="楷体" w:hint="eastAsia"/>
          <w:color w:val="auto"/>
        </w:rPr>
        <w:t>2</w:t>
      </w:r>
      <w:r w:rsidRPr="005726EE">
        <w:rPr>
          <w:rFonts w:ascii="楷体" w:eastAsia="楷体" w:hAnsi="楷体" w:cs="宋体" w:hint="eastAsia"/>
          <w:color w:val="auto"/>
        </w:rPr>
        <w:t>月下旬多重利空消息接踵而来：宏观经济指标不甚乐观，人民币汇率持续贬值创半年来新低，苏</w:t>
      </w:r>
      <w:proofErr w:type="gramStart"/>
      <w:r w:rsidRPr="005726EE">
        <w:rPr>
          <w:rFonts w:ascii="楷体" w:eastAsia="楷体" w:hAnsi="楷体" w:cs="宋体" w:hint="eastAsia"/>
          <w:color w:val="auto"/>
        </w:rPr>
        <w:t>杭部分</w:t>
      </w:r>
      <w:proofErr w:type="gramEnd"/>
      <w:r w:rsidRPr="005726EE">
        <w:rPr>
          <w:rFonts w:ascii="楷体" w:eastAsia="楷体" w:hAnsi="楷体" w:cs="宋体" w:hint="eastAsia"/>
          <w:color w:val="auto"/>
        </w:rPr>
        <w:t>楼盘的降价以及银行停止放贷的传闻引发市场对房地产泡沫破裂的担忧等，共同迫使大盘掉头向下，一贯走强的创业板也遭遇回调。</w:t>
      </w:r>
    </w:p>
    <w:p w:rsidR="00BB0CE0" w:rsidRPr="005726EE" w:rsidRDefault="00BB0CE0" w:rsidP="00BB0CE0">
      <w:pPr>
        <w:pStyle w:val="ab"/>
        <w:numPr>
          <w:ilvl w:val="4"/>
          <w:numId w:val="1"/>
        </w:numPr>
        <w:spacing w:after="163"/>
        <w:rPr>
          <w:rFonts w:ascii="楷体" w:eastAsia="楷体" w:hAnsi="楷体"/>
        </w:rPr>
      </w:pPr>
      <w:r w:rsidRPr="005726EE">
        <w:rPr>
          <w:rFonts w:ascii="楷体" w:eastAsia="楷体" w:hAnsi="楷体" w:cs="宋体" w:hint="eastAsia"/>
          <w:color w:val="auto"/>
        </w:rPr>
        <w:t>具体来看，截至</w:t>
      </w:r>
      <w:r w:rsidRPr="005726EE">
        <w:rPr>
          <w:rFonts w:ascii="楷体" w:eastAsia="楷体" w:hAnsi="楷体" w:hint="eastAsia"/>
          <w:color w:val="auto"/>
        </w:rPr>
        <w:t>2</w:t>
      </w:r>
      <w:r w:rsidRPr="005726EE">
        <w:rPr>
          <w:rFonts w:ascii="楷体" w:eastAsia="楷体" w:hAnsi="楷体" w:cs="宋体" w:hint="eastAsia"/>
          <w:color w:val="auto"/>
        </w:rPr>
        <w:t>月底收盘，上证指数、深证成指和沪深</w:t>
      </w:r>
      <w:r w:rsidRPr="005726EE">
        <w:rPr>
          <w:rFonts w:ascii="楷体" w:eastAsia="楷体" w:hAnsi="楷体" w:hint="eastAsia"/>
          <w:color w:val="auto"/>
        </w:rPr>
        <w:t>300</w:t>
      </w:r>
      <w:r>
        <w:rPr>
          <w:rFonts w:ascii="楷体" w:eastAsia="楷体" w:hAnsi="楷体" w:hint="eastAsia"/>
          <w:color w:val="auto"/>
        </w:rPr>
        <w:t>涨跌幅分别为</w:t>
      </w:r>
      <w:r w:rsidRPr="005726EE">
        <w:rPr>
          <w:rFonts w:ascii="楷体" w:eastAsia="楷体" w:hAnsi="楷体" w:hint="eastAsia"/>
          <w:color w:val="auto"/>
        </w:rPr>
        <w:t>1.14%</w:t>
      </w:r>
      <w:r w:rsidRPr="005726EE">
        <w:rPr>
          <w:rFonts w:ascii="楷体" w:eastAsia="楷体" w:hAnsi="楷体" w:cs="宋体" w:hint="eastAsia"/>
          <w:color w:val="auto"/>
        </w:rPr>
        <w:t>、</w:t>
      </w:r>
      <w:r w:rsidRPr="005726EE">
        <w:rPr>
          <w:rFonts w:ascii="楷体" w:eastAsia="楷体" w:hAnsi="楷体" w:hint="eastAsia"/>
          <w:color w:val="auto"/>
        </w:rPr>
        <w:t>-2.73%</w:t>
      </w:r>
      <w:r w:rsidRPr="005726EE">
        <w:rPr>
          <w:rFonts w:ascii="楷体" w:eastAsia="楷体" w:hAnsi="楷体" w:cs="宋体" w:hint="eastAsia"/>
          <w:color w:val="auto"/>
        </w:rPr>
        <w:t>和</w:t>
      </w:r>
      <w:r w:rsidRPr="005726EE">
        <w:rPr>
          <w:rFonts w:ascii="楷体" w:eastAsia="楷体" w:hAnsi="楷体" w:hint="eastAsia"/>
          <w:color w:val="auto"/>
        </w:rPr>
        <w:t>-1.07%</w:t>
      </w:r>
      <w:r w:rsidRPr="005726EE">
        <w:rPr>
          <w:rFonts w:ascii="楷体" w:eastAsia="楷体" w:hAnsi="楷体" w:cs="宋体" w:hint="eastAsia"/>
          <w:color w:val="auto"/>
        </w:rPr>
        <w:t>，中小板和创业板指分别为-</w:t>
      </w:r>
      <w:r w:rsidRPr="005726EE">
        <w:rPr>
          <w:rFonts w:ascii="楷体" w:eastAsia="楷体" w:hAnsi="楷体" w:hint="eastAsia"/>
          <w:color w:val="auto"/>
        </w:rPr>
        <w:t>0.02%</w:t>
      </w:r>
      <w:r w:rsidRPr="005726EE">
        <w:rPr>
          <w:rFonts w:ascii="楷体" w:eastAsia="楷体" w:hAnsi="楷体" w:cs="宋体" w:hint="eastAsia"/>
          <w:color w:val="auto"/>
        </w:rPr>
        <w:t>和-</w:t>
      </w:r>
      <w:r w:rsidRPr="005726EE">
        <w:rPr>
          <w:rFonts w:ascii="楷体" w:eastAsia="楷体" w:hAnsi="楷体" w:hint="eastAsia"/>
          <w:color w:val="auto"/>
        </w:rPr>
        <w:t>4.08%</w:t>
      </w:r>
      <w:r w:rsidRPr="005726EE">
        <w:rPr>
          <w:rFonts w:ascii="楷体" w:eastAsia="楷体" w:hAnsi="楷体" w:cs="宋体" w:hint="eastAsia"/>
          <w:color w:val="auto"/>
        </w:rPr>
        <w:t>。中证</w:t>
      </w:r>
      <w:r w:rsidRPr="005726EE">
        <w:rPr>
          <w:rFonts w:ascii="楷体" w:eastAsia="楷体" w:hAnsi="楷体" w:hint="eastAsia"/>
          <w:color w:val="auto"/>
        </w:rPr>
        <w:t>100</w:t>
      </w:r>
      <w:r w:rsidRPr="005726EE">
        <w:rPr>
          <w:rFonts w:ascii="楷体" w:eastAsia="楷体" w:hAnsi="楷体" w:cs="宋体" w:hint="eastAsia"/>
          <w:color w:val="auto"/>
        </w:rPr>
        <w:t>、中证</w:t>
      </w:r>
      <w:r w:rsidRPr="005726EE">
        <w:rPr>
          <w:rFonts w:ascii="楷体" w:eastAsia="楷体" w:hAnsi="楷体" w:hint="eastAsia"/>
          <w:color w:val="auto"/>
        </w:rPr>
        <w:t>200</w:t>
      </w:r>
      <w:r w:rsidRPr="005726EE">
        <w:rPr>
          <w:rFonts w:ascii="楷体" w:eastAsia="楷体" w:hAnsi="楷体" w:cs="宋体" w:hint="eastAsia"/>
          <w:color w:val="auto"/>
        </w:rPr>
        <w:t>和中证</w:t>
      </w:r>
      <w:r w:rsidRPr="005726EE">
        <w:rPr>
          <w:rFonts w:ascii="楷体" w:eastAsia="楷体" w:hAnsi="楷体" w:hint="eastAsia"/>
          <w:color w:val="auto"/>
        </w:rPr>
        <w:t>500</w:t>
      </w:r>
      <w:r w:rsidRPr="005726EE">
        <w:rPr>
          <w:rFonts w:ascii="楷体" w:eastAsia="楷体" w:hAnsi="楷体" w:cs="宋体" w:hint="eastAsia"/>
          <w:color w:val="auto"/>
        </w:rPr>
        <w:t>的月度收益率分别为</w:t>
      </w:r>
      <w:r w:rsidRPr="005726EE">
        <w:rPr>
          <w:rFonts w:ascii="楷体" w:eastAsia="楷体" w:hAnsi="楷体" w:hint="eastAsia"/>
          <w:color w:val="auto"/>
        </w:rPr>
        <w:t>-1.47%</w:t>
      </w:r>
      <w:r w:rsidRPr="005726EE">
        <w:rPr>
          <w:rFonts w:ascii="楷体" w:eastAsia="楷体" w:hAnsi="楷体" w:cs="宋体" w:hint="eastAsia"/>
          <w:color w:val="auto"/>
        </w:rPr>
        <w:t>、</w:t>
      </w:r>
      <w:r w:rsidRPr="005726EE">
        <w:rPr>
          <w:rFonts w:ascii="楷体" w:eastAsia="楷体" w:hAnsi="楷体" w:hint="eastAsia"/>
          <w:color w:val="auto"/>
        </w:rPr>
        <w:t>-0.35%</w:t>
      </w:r>
      <w:r w:rsidRPr="005726EE">
        <w:rPr>
          <w:rFonts w:ascii="楷体" w:eastAsia="楷体" w:hAnsi="楷体" w:cs="宋体" w:hint="eastAsia"/>
          <w:color w:val="auto"/>
        </w:rPr>
        <w:t>和</w:t>
      </w:r>
      <w:r w:rsidRPr="005726EE">
        <w:rPr>
          <w:rFonts w:ascii="楷体" w:eastAsia="楷体" w:hAnsi="楷体" w:hint="eastAsia"/>
          <w:color w:val="auto"/>
        </w:rPr>
        <w:t>2.33%</w:t>
      </w:r>
      <w:r w:rsidRPr="005726EE">
        <w:rPr>
          <w:rFonts w:ascii="楷体" w:eastAsia="楷体" w:hAnsi="楷体" w:cs="宋体" w:hint="eastAsia"/>
          <w:color w:val="auto"/>
        </w:rPr>
        <w:t>。</w:t>
      </w:r>
      <w:r w:rsidRPr="005726EE">
        <w:rPr>
          <w:rFonts w:ascii="楷体" w:eastAsia="楷体" w:hAnsi="楷体" w:hint="eastAsia"/>
        </w:rPr>
        <w:t>29</w:t>
      </w:r>
      <w:r w:rsidRPr="005726EE">
        <w:rPr>
          <w:rFonts w:ascii="楷体" w:eastAsia="楷体" w:hAnsi="楷体" w:cs="宋体" w:hint="eastAsia"/>
        </w:rPr>
        <w:t>个中信</w:t>
      </w:r>
      <w:proofErr w:type="gramStart"/>
      <w:r w:rsidRPr="005726EE">
        <w:rPr>
          <w:rFonts w:ascii="楷体" w:eastAsia="楷体" w:hAnsi="楷体" w:cs="宋体" w:hint="eastAsia"/>
        </w:rPr>
        <w:t>一级行业</w:t>
      </w:r>
      <w:proofErr w:type="gramEnd"/>
      <w:r w:rsidRPr="005726EE">
        <w:rPr>
          <w:rFonts w:ascii="楷体" w:eastAsia="楷体" w:hAnsi="楷体" w:cs="宋体" w:hint="eastAsia"/>
        </w:rPr>
        <w:t>中，有</w:t>
      </w:r>
      <w:r w:rsidRPr="005726EE">
        <w:rPr>
          <w:rFonts w:ascii="楷体" w:eastAsia="楷体" w:hAnsi="楷体" w:hint="eastAsia"/>
        </w:rPr>
        <w:t>19</w:t>
      </w:r>
      <w:r w:rsidRPr="005726EE">
        <w:rPr>
          <w:rFonts w:ascii="楷体" w:eastAsia="楷体" w:hAnsi="楷体" w:cs="宋体" w:hint="eastAsia"/>
        </w:rPr>
        <w:t>个</w:t>
      </w:r>
      <w:proofErr w:type="gramStart"/>
      <w:r w:rsidRPr="005726EE">
        <w:rPr>
          <w:rFonts w:ascii="楷体" w:eastAsia="楷体" w:hAnsi="楷体" w:cs="宋体" w:hint="eastAsia"/>
        </w:rPr>
        <w:t>行业涨幅</w:t>
      </w:r>
      <w:proofErr w:type="gramEnd"/>
      <w:r w:rsidRPr="005726EE">
        <w:rPr>
          <w:rFonts w:ascii="楷体" w:eastAsia="楷体" w:hAnsi="楷体" w:cs="宋体" w:hint="eastAsia"/>
        </w:rPr>
        <w:t>为正</w:t>
      </w:r>
      <w:r w:rsidRPr="005726EE">
        <w:rPr>
          <w:rFonts w:ascii="楷体" w:eastAsia="楷体" w:hAnsi="楷体" w:cs="宋体" w:hint="eastAsia"/>
          <w:color w:val="auto"/>
        </w:rPr>
        <w:t>；其中，电力设备、餐饮旅游、石油石化、汽车、纺织</w:t>
      </w:r>
      <w:proofErr w:type="gramStart"/>
      <w:r w:rsidRPr="005726EE">
        <w:rPr>
          <w:rFonts w:ascii="楷体" w:eastAsia="楷体" w:hAnsi="楷体" w:cs="宋体" w:hint="eastAsia"/>
          <w:color w:val="auto"/>
        </w:rPr>
        <w:t>服装涨幅</w:t>
      </w:r>
      <w:proofErr w:type="gramEnd"/>
      <w:r w:rsidRPr="005726EE">
        <w:rPr>
          <w:rFonts w:ascii="楷体" w:eastAsia="楷体" w:hAnsi="楷体" w:cs="宋体" w:hint="eastAsia"/>
          <w:color w:val="auto"/>
        </w:rPr>
        <w:t>居前，超过</w:t>
      </w:r>
      <w:r w:rsidRPr="005726EE">
        <w:rPr>
          <w:rFonts w:ascii="楷体" w:eastAsia="楷体" w:hAnsi="楷体" w:hint="eastAsia"/>
          <w:color w:val="auto"/>
        </w:rPr>
        <w:t>5%</w:t>
      </w:r>
      <w:r w:rsidRPr="005726EE">
        <w:rPr>
          <w:rFonts w:ascii="楷体" w:eastAsia="楷体" w:hAnsi="楷体" w:cs="宋体" w:hint="eastAsia"/>
          <w:color w:val="auto"/>
        </w:rPr>
        <w:t>；</w:t>
      </w:r>
      <w:r w:rsidRPr="005726EE">
        <w:rPr>
          <w:rFonts w:ascii="楷体" w:eastAsia="楷体" w:hAnsi="楷体" w:cs="宋体" w:hint="eastAsia"/>
        </w:rPr>
        <w:t>传媒板块垫底，月度跌幅高达</w:t>
      </w:r>
      <w:r w:rsidRPr="005726EE">
        <w:rPr>
          <w:rFonts w:ascii="楷体" w:eastAsia="楷体" w:hAnsi="楷体" w:hint="eastAsia"/>
        </w:rPr>
        <w:t>10.66%</w:t>
      </w:r>
      <w:r w:rsidRPr="005726EE">
        <w:rPr>
          <w:rFonts w:ascii="楷体" w:eastAsia="楷体" w:hAnsi="楷体" w:cs="宋体" w:hint="eastAsia"/>
        </w:rPr>
        <w:t>，不过该板块今年以来涨幅依然达到</w:t>
      </w:r>
      <w:r w:rsidRPr="005726EE">
        <w:rPr>
          <w:rFonts w:ascii="楷体" w:eastAsia="楷体" w:hAnsi="楷体" w:hint="eastAsia"/>
          <w:color w:val="auto"/>
        </w:rPr>
        <w:t>8%。另外</w:t>
      </w:r>
      <w:r w:rsidRPr="005726EE">
        <w:rPr>
          <w:rFonts w:ascii="楷体" w:eastAsia="楷体" w:hAnsi="楷体" w:cs="宋体" w:hint="eastAsia"/>
          <w:color w:val="auto"/>
        </w:rPr>
        <w:t>非银行金融、家电、国防军工、房地产、煤炭等跌幅居前，在</w:t>
      </w:r>
      <w:r w:rsidRPr="005726EE">
        <w:rPr>
          <w:rFonts w:ascii="楷体" w:eastAsia="楷体" w:hAnsi="楷体" w:hint="eastAsia"/>
          <w:color w:val="auto"/>
        </w:rPr>
        <w:t>3%</w:t>
      </w:r>
      <w:r w:rsidRPr="005726EE">
        <w:rPr>
          <w:rFonts w:ascii="楷体" w:eastAsia="楷体" w:hAnsi="楷体" w:cs="宋体" w:hint="eastAsia"/>
          <w:color w:val="auto"/>
        </w:rPr>
        <w:t>以上。</w:t>
      </w:r>
    </w:p>
    <w:tbl>
      <w:tblPr>
        <w:tblW w:w="10771" w:type="dxa"/>
        <w:tblLayout w:type="fixed"/>
        <w:tblCellMar>
          <w:left w:w="0" w:type="dxa"/>
          <w:right w:w="0" w:type="dxa"/>
        </w:tblCellMar>
        <w:tblLook w:val="0000"/>
      </w:tblPr>
      <w:tblGrid>
        <w:gridCol w:w="5272"/>
        <w:gridCol w:w="227"/>
        <w:gridCol w:w="5272"/>
      </w:tblGrid>
      <w:tr w:rsidR="00BB0CE0" w:rsidRPr="005726EE" w:rsidTr="003C3053">
        <w:trPr>
          <w:cantSplit/>
          <w:trHeight w:val="368"/>
        </w:trPr>
        <w:tc>
          <w:tcPr>
            <w:tcW w:w="5272" w:type="dxa"/>
            <w:tcBorders>
              <w:top w:val="single" w:sz="6" w:space="0" w:color="FF6600"/>
              <w:bottom w:val="single" w:sz="6" w:space="0" w:color="FF6600"/>
            </w:tcBorders>
            <w:shd w:val="clear" w:color="auto" w:fill="auto"/>
            <w:vAlign w:val="center"/>
          </w:tcPr>
          <w:p w:rsidR="00BB0CE0" w:rsidRPr="005726EE" w:rsidRDefault="00BB0CE0" w:rsidP="003C3053">
            <w:pPr>
              <w:pStyle w:val="SubTitleLargeTable"/>
              <w:pBdr>
                <w:top w:val="none" w:sz="0" w:space="0" w:color="auto"/>
              </w:pBdr>
              <w:rPr>
                <w:rFonts w:ascii="楷体" w:eastAsia="楷体" w:hAnsi="楷体"/>
              </w:rPr>
            </w:pPr>
            <w:r w:rsidRPr="005726EE">
              <w:rPr>
                <w:rFonts w:ascii="楷体" w:eastAsia="楷体" w:hAnsi="楷体"/>
                <w:color w:val="FF6600"/>
              </w:rPr>
              <w:t>图表</w:t>
            </w:r>
            <w:r w:rsidRPr="005726EE">
              <w:rPr>
                <w:rFonts w:ascii="楷体" w:eastAsia="楷体" w:hAnsi="楷体" w:hint="eastAsia"/>
                <w:color w:val="FF6600"/>
              </w:rPr>
              <w:t>1：2月份全球各大指数涨跌对比</w:t>
            </w:r>
          </w:p>
        </w:tc>
        <w:tc>
          <w:tcPr>
            <w:tcW w:w="227" w:type="dxa"/>
            <w:vAlign w:val="center"/>
          </w:tcPr>
          <w:p w:rsidR="00BB0CE0" w:rsidRPr="005726EE" w:rsidRDefault="00BB0CE0" w:rsidP="003C3053">
            <w:pPr>
              <w:jc w:val="center"/>
              <w:rPr>
                <w:rFonts w:ascii="楷体" w:eastAsia="楷体" w:hAnsi="楷体"/>
              </w:rPr>
            </w:pPr>
          </w:p>
        </w:tc>
        <w:tc>
          <w:tcPr>
            <w:tcW w:w="5272" w:type="dxa"/>
            <w:tcBorders>
              <w:top w:val="single" w:sz="6" w:space="0" w:color="FF6600"/>
              <w:bottom w:val="single" w:sz="6" w:space="0" w:color="FF6600"/>
            </w:tcBorders>
            <w:shd w:val="clear" w:color="auto" w:fill="auto"/>
            <w:vAlign w:val="center"/>
          </w:tcPr>
          <w:p w:rsidR="00BB0CE0" w:rsidRPr="005726EE" w:rsidRDefault="00BB0CE0" w:rsidP="003C3053">
            <w:pPr>
              <w:pStyle w:val="SubTitleLargeTable"/>
              <w:pBdr>
                <w:top w:val="none" w:sz="0" w:space="0" w:color="auto"/>
              </w:pBdr>
              <w:rPr>
                <w:rFonts w:ascii="楷体" w:eastAsia="楷体" w:hAnsi="楷体"/>
              </w:rPr>
            </w:pPr>
            <w:r w:rsidRPr="005726EE">
              <w:rPr>
                <w:rFonts w:ascii="楷体" w:eastAsia="楷体" w:hAnsi="楷体"/>
                <w:color w:val="FF6600"/>
              </w:rPr>
              <w:t>图表</w:t>
            </w:r>
            <w:r w:rsidRPr="005726EE">
              <w:rPr>
                <w:rFonts w:ascii="楷体" w:eastAsia="楷体" w:hAnsi="楷体" w:hint="eastAsia"/>
                <w:color w:val="FF6600"/>
              </w:rPr>
              <w:t>2：2月份中信</w:t>
            </w:r>
            <w:proofErr w:type="gramStart"/>
            <w:r w:rsidRPr="005726EE">
              <w:rPr>
                <w:rFonts w:ascii="楷体" w:eastAsia="楷体" w:hAnsi="楷体" w:hint="eastAsia"/>
                <w:color w:val="FF6600"/>
              </w:rPr>
              <w:t>一级行业</w:t>
            </w:r>
            <w:proofErr w:type="gramEnd"/>
            <w:r w:rsidRPr="005726EE">
              <w:rPr>
                <w:rFonts w:ascii="楷体" w:eastAsia="楷体" w:hAnsi="楷体" w:hint="eastAsia"/>
                <w:color w:val="FF6600"/>
              </w:rPr>
              <w:t>涨跌对比</w:t>
            </w:r>
          </w:p>
        </w:tc>
      </w:tr>
      <w:tr w:rsidR="00BB0CE0" w:rsidRPr="005726EE" w:rsidTr="003C3053">
        <w:trPr>
          <w:cantSplit/>
          <w:trHeight w:val="3444"/>
        </w:trPr>
        <w:tc>
          <w:tcPr>
            <w:tcW w:w="5272" w:type="dxa"/>
            <w:tcBorders>
              <w:top w:val="single" w:sz="6" w:space="0" w:color="FF6600"/>
              <w:bottom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noProof/>
              </w:rPr>
              <w:drawing>
                <wp:inline distT="0" distB="0" distL="0" distR="0">
                  <wp:extent cx="3333750" cy="214312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333750" cy="2143125"/>
                          </a:xfrm>
                          <a:prstGeom prst="rect">
                            <a:avLst/>
                          </a:prstGeom>
                          <a:noFill/>
                        </pic:spPr>
                      </pic:pic>
                    </a:graphicData>
                  </a:graphic>
                </wp:inline>
              </w:drawing>
            </w:r>
          </w:p>
        </w:tc>
        <w:tc>
          <w:tcPr>
            <w:tcW w:w="227" w:type="dxa"/>
            <w:vAlign w:val="center"/>
          </w:tcPr>
          <w:p w:rsidR="00BB0CE0" w:rsidRPr="005726EE" w:rsidRDefault="00BB0CE0" w:rsidP="003C3053">
            <w:pPr>
              <w:jc w:val="center"/>
              <w:rPr>
                <w:rFonts w:ascii="楷体" w:eastAsia="楷体" w:hAnsi="楷体"/>
              </w:rPr>
            </w:pPr>
          </w:p>
        </w:tc>
        <w:tc>
          <w:tcPr>
            <w:tcW w:w="5272" w:type="dxa"/>
            <w:tcBorders>
              <w:top w:val="single" w:sz="6" w:space="0" w:color="FF6600"/>
              <w:bottom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noProof/>
              </w:rPr>
              <w:drawing>
                <wp:inline distT="0" distB="0" distL="0" distR="0">
                  <wp:extent cx="3343275" cy="2171700"/>
                  <wp:effectExtent l="1905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343318" cy="2171728"/>
                          </a:xfrm>
                          <a:prstGeom prst="rect">
                            <a:avLst/>
                          </a:prstGeom>
                          <a:noFill/>
                        </pic:spPr>
                      </pic:pic>
                    </a:graphicData>
                  </a:graphic>
                </wp:inline>
              </w:drawing>
            </w:r>
          </w:p>
        </w:tc>
      </w:tr>
    </w:tbl>
    <w:p w:rsidR="00BB0CE0" w:rsidRPr="005726EE" w:rsidRDefault="00BB0CE0" w:rsidP="00BB0CE0">
      <w:pPr>
        <w:pStyle w:val="FootnoteNoline"/>
        <w:ind w:left="0"/>
        <w:jc w:val="left"/>
        <w:rPr>
          <w:rFonts w:ascii="楷体" w:eastAsia="楷体" w:hAnsi="楷体"/>
        </w:rPr>
      </w:pPr>
      <w:r w:rsidRPr="005726EE">
        <w:rPr>
          <w:rFonts w:ascii="楷体" w:eastAsia="楷体" w:hAnsi="楷体" w:hint="eastAsia"/>
          <w:color w:val="FF6600"/>
        </w:rPr>
        <w:t>来源：</w:t>
      </w:r>
      <w:proofErr w:type="gramStart"/>
      <w:r w:rsidRPr="005726EE">
        <w:rPr>
          <w:rFonts w:ascii="楷体" w:eastAsia="楷体" w:hAnsi="楷体" w:hint="eastAsia"/>
          <w:color w:val="FF6600"/>
        </w:rPr>
        <w:t>凯</w:t>
      </w:r>
      <w:proofErr w:type="gramEnd"/>
      <w:r w:rsidRPr="005726EE">
        <w:rPr>
          <w:rFonts w:ascii="楷体" w:eastAsia="楷体" w:hAnsi="楷体" w:hint="eastAsia"/>
          <w:color w:val="FF6600"/>
        </w:rPr>
        <w:t>石财富工场</w:t>
      </w:r>
      <w:r w:rsidRPr="005726EE">
        <w:rPr>
          <w:rFonts w:ascii="楷体" w:eastAsia="楷体" w:hAnsi="楷体" w:hint="eastAsia"/>
        </w:rPr>
        <w:t xml:space="preserve"> </w:t>
      </w:r>
    </w:p>
    <w:p w:rsidR="00BB0CE0" w:rsidRPr="005726EE" w:rsidRDefault="00BB0CE0" w:rsidP="00BB0CE0">
      <w:pPr>
        <w:pStyle w:val="ab"/>
        <w:numPr>
          <w:ilvl w:val="4"/>
          <w:numId w:val="1"/>
        </w:numPr>
        <w:spacing w:after="163"/>
        <w:rPr>
          <w:rFonts w:ascii="楷体" w:eastAsia="楷体" w:hAnsi="楷体"/>
        </w:rPr>
      </w:pPr>
      <w:r w:rsidRPr="005726EE">
        <w:rPr>
          <w:rFonts w:ascii="楷体" w:eastAsia="楷体" w:hAnsi="楷体" w:hint="eastAsia"/>
        </w:rPr>
        <w:t>在1月份由于对冲基金管理人普遍对前期疯狂的中小盘股票保持清醒和警惕，因而收益落后于创业板指涨幅，而2月份创业板果然见顶回落，显示出对冲基金整体较为准确的预判能力。具体来看，</w:t>
      </w:r>
      <w:r>
        <w:rPr>
          <w:rFonts w:ascii="楷体" w:eastAsia="楷体" w:hAnsi="楷体" w:hint="eastAsia"/>
        </w:rPr>
        <w:t>股票多头</w:t>
      </w:r>
      <w:r w:rsidRPr="005726EE">
        <w:rPr>
          <w:rFonts w:ascii="楷体" w:eastAsia="楷体" w:hAnsi="楷体" w:hint="eastAsia"/>
        </w:rPr>
        <w:t>策略对冲基金管理型月度平均收益1.05%，分级</w:t>
      </w:r>
      <w:proofErr w:type="gramStart"/>
      <w:r w:rsidRPr="005726EE">
        <w:rPr>
          <w:rFonts w:ascii="楷体" w:eastAsia="楷体" w:hAnsi="楷体" w:hint="eastAsia"/>
        </w:rPr>
        <w:t>型平均</w:t>
      </w:r>
      <w:proofErr w:type="gramEnd"/>
      <w:r w:rsidRPr="005726EE">
        <w:rPr>
          <w:rFonts w:ascii="楷体" w:eastAsia="楷体" w:hAnsi="楷体" w:hint="eastAsia"/>
        </w:rPr>
        <w:t>为0.02%，可见在主板市场环境不佳、以结构性行情为主的背景下，对冲基金对于主题机会的把握更为敏锐灵活。</w:t>
      </w:r>
    </w:p>
    <w:p w:rsidR="00BB0CE0" w:rsidRPr="005726EE" w:rsidRDefault="00BB0CE0" w:rsidP="00BB0CE0">
      <w:pPr>
        <w:pStyle w:val="ab"/>
        <w:numPr>
          <w:ilvl w:val="4"/>
          <w:numId w:val="1"/>
        </w:numPr>
        <w:spacing w:after="163"/>
        <w:rPr>
          <w:rFonts w:ascii="楷体" w:eastAsia="楷体" w:hAnsi="楷体"/>
        </w:rPr>
      </w:pPr>
      <w:r w:rsidRPr="005726EE">
        <w:rPr>
          <w:rFonts w:ascii="楷体" w:eastAsia="楷体" w:hAnsi="楷体" w:hint="eastAsia"/>
        </w:rPr>
        <w:t>以短、中、长期分别来看，对冲基金的优势</w:t>
      </w:r>
      <w:proofErr w:type="gramStart"/>
      <w:r w:rsidRPr="005726EE">
        <w:rPr>
          <w:rFonts w:ascii="楷体" w:eastAsia="楷体" w:hAnsi="楷体" w:hint="eastAsia"/>
        </w:rPr>
        <w:t>随考察</w:t>
      </w:r>
      <w:proofErr w:type="gramEnd"/>
      <w:r w:rsidRPr="005726EE">
        <w:rPr>
          <w:rFonts w:ascii="楷体" w:eastAsia="楷体" w:hAnsi="楷体" w:hint="eastAsia"/>
        </w:rPr>
        <w:t>期间的延长而越加明显。自2009年至今，市场离牛市渐行渐远，几乎再无趋势性机会，近五年沪深300绝对涨幅几乎归零，近三年跌幅超过30%，但对冲基金（传统股票多头策略）却几乎始终</w:t>
      </w:r>
      <w:proofErr w:type="gramStart"/>
      <w:r w:rsidRPr="005726EE">
        <w:rPr>
          <w:rFonts w:ascii="楷体" w:eastAsia="楷体" w:hAnsi="楷体" w:hint="eastAsia"/>
        </w:rPr>
        <w:t>保持正</w:t>
      </w:r>
      <w:proofErr w:type="gramEnd"/>
      <w:r w:rsidRPr="005726EE">
        <w:rPr>
          <w:rFonts w:ascii="楷体" w:eastAsia="楷体" w:hAnsi="楷体" w:hint="eastAsia"/>
        </w:rPr>
        <w:t>收益，展示了良好的下行风险控制能力和对结构性机会的把握能力。如图表4所示，对于投资者而言持有对冲基金的时间越长越能享受到其超额收益。</w:t>
      </w:r>
    </w:p>
    <w:tbl>
      <w:tblPr>
        <w:tblW w:w="10771" w:type="dxa"/>
        <w:tblLayout w:type="fixed"/>
        <w:tblCellMar>
          <w:left w:w="0" w:type="dxa"/>
          <w:right w:w="0" w:type="dxa"/>
        </w:tblCellMar>
        <w:tblLook w:val="0000"/>
      </w:tblPr>
      <w:tblGrid>
        <w:gridCol w:w="5272"/>
        <w:gridCol w:w="227"/>
        <w:gridCol w:w="5272"/>
      </w:tblGrid>
      <w:tr w:rsidR="00BB0CE0" w:rsidRPr="005726EE" w:rsidTr="003C3053">
        <w:trPr>
          <w:cantSplit/>
          <w:trHeight w:val="368"/>
        </w:trPr>
        <w:tc>
          <w:tcPr>
            <w:tcW w:w="5272" w:type="dxa"/>
            <w:tcBorders>
              <w:top w:val="single" w:sz="6" w:space="0" w:color="FF6600"/>
              <w:bottom w:val="single" w:sz="6" w:space="0" w:color="FF6600"/>
            </w:tcBorders>
            <w:shd w:val="clear" w:color="auto" w:fill="auto"/>
            <w:vAlign w:val="center"/>
          </w:tcPr>
          <w:p w:rsidR="00BB0CE0" w:rsidRPr="005726EE" w:rsidRDefault="00BB0CE0" w:rsidP="003C3053">
            <w:pPr>
              <w:pStyle w:val="SubTitleLargeTable"/>
              <w:pBdr>
                <w:top w:val="none" w:sz="0" w:space="0" w:color="auto"/>
              </w:pBdr>
              <w:rPr>
                <w:rFonts w:ascii="楷体" w:eastAsia="楷体" w:hAnsi="楷体"/>
              </w:rPr>
            </w:pPr>
            <w:r w:rsidRPr="005726EE">
              <w:rPr>
                <w:rFonts w:ascii="楷体" w:eastAsia="楷体" w:hAnsi="楷体"/>
                <w:color w:val="FF6600"/>
              </w:rPr>
              <w:lastRenderedPageBreak/>
              <w:t>图表</w:t>
            </w:r>
            <w:r w:rsidRPr="005726EE">
              <w:rPr>
                <w:rFonts w:ascii="楷体" w:eastAsia="楷体" w:hAnsi="楷体" w:hint="eastAsia"/>
                <w:color w:val="FF6600"/>
              </w:rPr>
              <w:t>3：2月份各指数及各类金融产品涨跌对比</w:t>
            </w:r>
          </w:p>
        </w:tc>
        <w:tc>
          <w:tcPr>
            <w:tcW w:w="227" w:type="dxa"/>
            <w:vAlign w:val="center"/>
          </w:tcPr>
          <w:p w:rsidR="00BB0CE0" w:rsidRPr="005726EE" w:rsidRDefault="00BB0CE0" w:rsidP="003C3053">
            <w:pPr>
              <w:jc w:val="center"/>
              <w:rPr>
                <w:rFonts w:ascii="楷体" w:eastAsia="楷体" w:hAnsi="楷体"/>
              </w:rPr>
            </w:pPr>
          </w:p>
        </w:tc>
        <w:tc>
          <w:tcPr>
            <w:tcW w:w="5272" w:type="dxa"/>
            <w:tcBorders>
              <w:top w:val="single" w:sz="6" w:space="0" w:color="FF6600"/>
              <w:bottom w:val="single" w:sz="6" w:space="0" w:color="FF6600"/>
            </w:tcBorders>
            <w:shd w:val="clear" w:color="auto" w:fill="auto"/>
            <w:vAlign w:val="center"/>
          </w:tcPr>
          <w:p w:rsidR="00BB0CE0" w:rsidRPr="005726EE" w:rsidRDefault="00BB0CE0" w:rsidP="003C3053">
            <w:pPr>
              <w:pStyle w:val="SubTitleLargeTable"/>
              <w:pBdr>
                <w:top w:val="none" w:sz="0" w:space="0" w:color="auto"/>
              </w:pBdr>
              <w:rPr>
                <w:rFonts w:ascii="楷体" w:eastAsia="楷体" w:hAnsi="楷体"/>
              </w:rPr>
            </w:pPr>
            <w:r w:rsidRPr="005726EE">
              <w:rPr>
                <w:rFonts w:ascii="楷体" w:eastAsia="楷体" w:hAnsi="楷体"/>
                <w:color w:val="FF6600"/>
              </w:rPr>
              <w:t>图表</w:t>
            </w:r>
            <w:r w:rsidRPr="005726EE">
              <w:rPr>
                <w:rFonts w:ascii="楷体" w:eastAsia="楷体" w:hAnsi="楷体" w:hint="eastAsia"/>
                <w:color w:val="FF6600"/>
              </w:rPr>
              <w:t>4：各阶段对冲基金(传统策略)与沪深300涨跌对比</w:t>
            </w:r>
          </w:p>
        </w:tc>
      </w:tr>
      <w:tr w:rsidR="00BB0CE0" w:rsidRPr="005726EE" w:rsidTr="003C3053">
        <w:trPr>
          <w:cantSplit/>
          <w:trHeight w:val="3444"/>
        </w:trPr>
        <w:tc>
          <w:tcPr>
            <w:tcW w:w="5272" w:type="dxa"/>
            <w:tcBorders>
              <w:top w:val="single" w:sz="6" w:space="0" w:color="FF6600"/>
              <w:bottom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noProof/>
              </w:rPr>
              <w:drawing>
                <wp:inline distT="0" distB="0" distL="0" distR="0">
                  <wp:extent cx="3333750" cy="2143125"/>
                  <wp:effectExtent l="1905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333750" cy="2143125"/>
                          </a:xfrm>
                          <a:prstGeom prst="rect">
                            <a:avLst/>
                          </a:prstGeom>
                          <a:noFill/>
                        </pic:spPr>
                      </pic:pic>
                    </a:graphicData>
                  </a:graphic>
                </wp:inline>
              </w:drawing>
            </w:r>
          </w:p>
        </w:tc>
        <w:tc>
          <w:tcPr>
            <w:tcW w:w="227" w:type="dxa"/>
            <w:vAlign w:val="center"/>
          </w:tcPr>
          <w:p w:rsidR="00BB0CE0" w:rsidRPr="005726EE" w:rsidRDefault="00BB0CE0" w:rsidP="003C3053">
            <w:pPr>
              <w:jc w:val="center"/>
              <w:rPr>
                <w:rFonts w:ascii="楷体" w:eastAsia="楷体" w:hAnsi="楷体"/>
              </w:rPr>
            </w:pPr>
          </w:p>
        </w:tc>
        <w:tc>
          <w:tcPr>
            <w:tcW w:w="5272" w:type="dxa"/>
            <w:tcBorders>
              <w:top w:val="single" w:sz="6" w:space="0" w:color="FF6600"/>
              <w:bottom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noProof/>
              </w:rPr>
              <w:drawing>
                <wp:inline distT="0" distB="0" distL="0" distR="0">
                  <wp:extent cx="3305175" cy="2143125"/>
                  <wp:effectExtent l="19050" t="0" r="9525"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3302438" cy="2141350"/>
                          </a:xfrm>
                          <a:prstGeom prst="rect">
                            <a:avLst/>
                          </a:prstGeom>
                          <a:noFill/>
                        </pic:spPr>
                      </pic:pic>
                    </a:graphicData>
                  </a:graphic>
                </wp:inline>
              </w:drawing>
            </w:r>
          </w:p>
        </w:tc>
      </w:tr>
    </w:tbl>
    <w:p w:rsidR="00BB0CE0" w:rsidRPr="005726EE" w:rsidRDefault="00BB0CE0" w:rsidP="00BB0CE0">
      <w:pPr>
        <w:pStyle w:val="FootnoteNoline"/>
        <w:ind w:left="0"/>
        <w:jc w:val="left"/>
        <w:rPr>
          <w:rFonts w:ascii="楷体" w:eastAsia="楷体" w:hAnsi="楷体"/>
        </w:rPr>
      </w:pPr>
      <w:r w:rsidRPr="005726EE">
        <w:rPr>
          <w:rFonts w:ascii="楷体" w:eastAsia="楷体" w:hAnsi="楷体" w:hint="eastAsia"/>
          <w:color w:val="FF6600"/>
        </w:rPr>
        <w:t>来源：</w:t>
      </w:r>
      <w:proofErr w:type="gramStart"/>
      <w:r w:rsidRPr="005726EE">
        <w:rPr>
          <w:rFonts w:ascii="楷体" w:eastAsia="楷体" w:hAnsi="楷体" w:hint="eastAsia"/>
          <w:color w:val="FF6600"/>
        </w:rPr>
        <w:t>凯</w:t>
      </w:r>
      <w:proofErr w:type="gramEnd"/>
      <w:r w:rsidRPr="005726EE">
        <w:rPr>
          <w:rFonts w:ascii="楷体" w:eastAsia="楷体" w:hAnsi="楷体" w:hint="eastAsia"/>
          <w:color w:val="FF6600"/>
        </w:rPr>
        <w:t>石财富工场</w:t>
      </w:r>
      <w:r w:rsidRPr="005726EE">
        <w:rPr>
          <w:rFonts w:ascii="楷体" w:eastAsia="楷体" w:hAnsi="楷体" w:hint="eastAsia"/>
        </w:rPr>
        <w:t xml:space="preserve"> </w:t>
      </w:r>
    </w:p>
    <w:p w:rsidR="00BB0CE0" w:rsidRPr="005726EE" w:rsidRDefault="00BB0CE0" w:rsidP="00BB0CE0">
      <w:pPr>
        <w:pStyle w:val="ab"/>
        <w:numPr>
          <w:ilvl w:val="0"/>
          <w:numId w:val="4"/>
        </w:numPr>
        <w:spacing w:after="163"/>
        <w:rPr>
          <w:rFonts w:ascii="楷体" w:eastAsia="楷体" w:hAnsi="楷体"/>
          <w:szCs w:val="21"/>
        </w:rPr>
      </w:pPr>
      <w:r w:rsidRPr="005726EE">
        <w:rPr>
          <w:rFonts w:ascii="楷体" w:eastAsia="楷体" w:hAnsi="楷体" w:hint="eastAsia"/>
          <w:szCs w:val="21"/>
        </w:rPr>
        <w:t>管理型对冲基金2月份平均业绩1.05%。纳入统计的922只产品中，500只（占比54%）实现了正收益，其中1只产品收益率超过30%，4只超过20%，另有43只基金的收益率介于10%~20%，跌幅超过10%的则有3只。收益率最高为30.28%，为长安信托-</w:t>
      </w:r>
      <w:proofErr w:type="gramStart"/>
      <w:r w:rsidRPr="005726EE">
        <w:rPr>
          <w:rFonts w:ascii="楷体" w:eastAsia="楷体" w:hAnsi="楷体" w:hint="eastAsia"/>
          <w:szCs w:val="21"/>
        </w:rPr>
        <w:t>安盈1号</w:t>
      </w:r>
      <w:proofErr w:type="gramEnd"/>
      <w:r w:rsidRPr="005726EE">
        <w:rPr>
          <w:rFonts w:ascii="楷体" w:eastAsia="楷体" w:hAnsi="楷体" w:hint="eastAsia"/>
          <w:szCs w:val="21"/>
        </w:rPr>
        <w:t>（长安投资146号），收益率最低为-32.62%，首尾相差超过60个百分点，业绩首位差距有所扩大。</w:t>
      </w:r>
    </w:p>
    <w:p w:rsidR="00BB0CE0" w:rsidRPr="005726EE" w:rsidRDefault="00BB0CE0" w:rsidP="00BB0CE0">
      <w:pPr>
        <w:pStyle w:val="ab"/>
        <w:numPr>
          <w:ilvl w:val="0"/>
          <w:numId w:val="4"/>
        </w:numPr>
        <w:spacing w:after="163"/>
        <w:rPr>
          <w:rFonts w:ascii="楷体" w:eastAsia="楷体" w:hAnsi="楷体"/>
          <w:szCs w:val="21"/>
        </w:rPr>
      </w:pPr>
      <w:r w:rsidRPr="005726EE">
        <w:rPr>
          <w:rFonts w:ascii="楷体" w:eastAsia="楷体" w:hAnsi="楷体" w:hint="eastAsia"/>
          <w:szCs w:val="21"/>
        </w:rPr>
        <w:t>分级型2月份平均微涨0.02%。纳入统计的65只产品中，38只（占比58%）为投资者创造了正收益，不过最高收益也只有9.46%，</w:t>
      </w:r>
      <w:proofErr w:type="gramStart"/>
      <w:r w:rsidRPr="005726EE">
        <w:rPr>
          <w:rFonts w:ascii="楷体" w:eastAsia="楷体" w:hAnsi="楷体" w:hint="eastAsia"/>
          <w:szCs w:val="21"/>
        </w:rPr>
        <w:t>为中融</w:t>
      </w:r>
      <w:proofErr w:type="gramEnd"/>
      <w:r w:rsidRPr="005726EE">
        <w:rPr>
          <w:rFonts w:ascii="楷体" w:eastAsia="楷体" w:hAnsi="楷体" w:hint="eastAsia"/>
          <w:szCs w:val="21"/>
        </w:rPr>
        <w:t>-中冠-景富1号所得。收益最低为-9.12%，首尾相差不及20个百分点。</w:t>
      </w:r>
    </w:p>
    <w:p w:rsidR="00BB0CE0" w:rsidRPr="005726EE" w:rsidRDefault="00BB0CE0" w:rsidP="00BB0CE0">
      <w:pPr>
        <w:pStyle w:val="ab"/>
        <w:numPr>
          <w:ilvl w:val="4"/>
          <w:numId w:val="1"/>
        </w:numPr>
        <w:spacing w:after="163"/>
        <w:rPr>
          <w:rFonts w:ascii="楷体" w:eastAsia="楷体" w:hAnsi="楷体"/>
          <w:szCs w:val="21"/>
        </w:rPr>
      </w:pPr>
      <w:r w:rsidRPr="005726EE">
        <w:rPr>
          <w:rFonts w:ascii="楷体" w:eastAsia="楷体" w:hAnsi="楷体" w:hint="eastAsia"/>
          <w:szCs w:val="21"/>
        </w:rPr>
        <w:t>其他</w:t>
      </w:r>
      <w:r>
        <w:rPr>
          <w:rFonts w:ascii="楷体" w:eastAsia="楷体" w:hAnsi="楷体" w:hint="eastAsia"/>
          <w:szCs w:val="21"/>
        </w:rPr>
        <w:t>各类</w:t>
      </w:r>
      <w:r w:rsidRPr="005726EE">
        <w:rPr>
          <w:rFonts w:ascii="楷体" w:eastAsia="楷体" w:hAnsi="楷体" w:hint="eastAsia"/>
          <w:szCs w:val="21"/>
        </w:rPr>
        <w:t>策略对冲基金群体中，</w:t>
      </w:r>
      <w:r>
        <w:rPr>
          <w:rFonts w:ascii="楷体" w:eastAsia="楷体" w:hAnsi="楷体" w:hint="eastAsia"/>
          <w:szCs w:val="21"/>
        </w:rPr>
        <w:t>相对</w:t>
      </w:r>
      <w:r w:rsidRPr="005726EE">
        <w:rPr>
          <w:rFonts w:ascii="楷体" w:eastAsia="楷体" w:hAnsi="楷体" w:hint="eastAsia"/>
          <w:szCs w:val="21"/>
        </w:rPr>
        <w:t>低风险策略品种118只2月份平均回报率为1.08%，</w:t>
      </w:r>
      <w:r>
        <w:rPr>
          <w:rFonts w:ascii="楷体" w:eastAsia="楷体" w:hAnsi="楷体" w:hint="eastAsia"/>
          <w:szCs w:val="21"/>
        </w:rPr>
        <w:t>相对</w:t>
      </w:r>
      <w:r w:rsidRPr="005726EE">
        <w:rPr>
          <w:rFonts w:ascii="楷体" w:eastAsia="楷体" w:hAnsi="楷体" w:hint="eastAsia"/>
          <w:szCs w:val="21"/>
        </w:rPr>
        <w:t>高风险策略的49只产品平均为1.01%，整体表现与传统股票多头策略产品持平，相对同期大盘具备优势。</w:t>
      </w:r>
    </w:p>
    <w:p w:rsidR="00BB0CE0" w:rsidRPr="005726EE" w:rsidRDefault="00BB0CE0" w:rsidP="00BB0CE0">
      <w:pPr>
        <w:pStyle w:val="ab"/>
        <w:numPr>
          <w:ilvl w:val="0"/>
          <w:numId w:val="4"/>
        </w:numPr>
        <w:spacing w:after="163"/>
        <w:rPr>
          <w:rFonts w:ascii="楷体" w:eastAsia="楷体" w:hAnsi="楷体"/>
          <w:szCs w:val="21"/>
        </w:rPr>
      </w:pPr>
      <w:r w:rsidRPr="005726EE">
        <w:rPr>
          <w:rFonts w:ascii="楷体" w:eastAsia="楷体" w:hAnsi="楷体" w:hint="eastAsia"/>
          <w:szCs w:val="21"/>
        </w:rPr>
        <w:t>1月份遭遇普遍回调的事件驱动策略2月份平均收益2.42%，再度回到各类对冲基金中的领先位置，也显示了该策略的高波动性。29只产品有近半数出现下跌，不过由于高收益者优势明显，平均收益较为理想。其中天津</w:t>
      </w:r>
      <w:proofErr w:type="gramStart"/>
      <w:r w:rsidRPr="005726EE">
        <w:rPr>
          <w:rFonts w:ascii="楷体" w:eastAsia="楷体" w:hAnsi="楷体" w:hint="eastAsia"/>
          <w:szCs w:val="21"/>
        </w:rPr>
        <w:t>远策投资</w:t>
      </w:r>
      <w:proofErr w:type="gramEnd"/>
      <w:r w:rsidRPr="005726EE">
        <w:rPr>
          <w:rFonts w:ascii="楷体" w:eastAsia="楷体" w:hAnsi="楷体" w:hint="eastAsia"/>
          <w:szCs w:val="21"/>
        </w:rPr>
        <w:t>管理的五矿信托-</w:t>
      </w:r>
      <w:proofErr w:type="gramStart"/>
      <w:r w:rsidRPr="005726EE">
        <w:rPr>
          <w:rFonts w:ascii="楷体" w:eastAsia="楷体" w:hAnsi="楷体" w:hint="eastAsia"/>
          <w:szCs w:val="21"/>
        </w:rPr>
        <w:t>远策定增恒盈</w:t>
      </w:r>
      <w:proofErr w:type="gramEnd"/>
      <w:r w:rsidRPr="005726EE">
        <w:rPr>
          <w:rFonts w:ascii="楷体" w:eastAsia="楷体" w:hAnsi="楷体" w:hint="eastAsia"/>
          <w:szCs w:val="21"/>
        </w:rPr>
        <w:t>月度上涨39.09%，在各类型产品中大幅领先。</w:t>
      </w:r>
      <w:proofErr w:type="gramStart"/>
      <w:r w:rsidRPr="005726EE">
        <w:rPr>
          <w:rFonts w:ascii="楷体" w:eastAsia="楷体" w:hAnsi="楷体" w:hint="eastAsia"/>
          <w:szCs w:val="21"/>
        </w:rPr>
        <w:t>远策投资</w:t>
      </w:r>
      <w:proofErr w:type="gramEnd"/>
      <w:r w:rsidRPr="005726EE">
        <w:rPr>
          <w:rFonts w:ascii="楷体" w:eastAsia="楷体" w:hAnsi="楷体" w:hint="eastAsia"/>
          <w:szCs w:val="21"/>
        </w:rPr>
        <w:t>由原华夏基金经理张益驰掌管，采用宏观判断与甄选个股相结合的方式，投资风格较为灵活。</w:t>
      </w:r>
    </w:p>
    <w:p w:rsidR="00BB0CE0" w:rsidRPr="005726EE" w:rsidRDefault="00BB0CE0" w:rsidP="00BB0CE0">
      <w:pPr>
        <w:pStyle w:val="ab"/>
        <w:numPr>
          <w:ilvl w:val="0"/>
          <w:numId w:val="4"/>
        </w:numPr>
        <w:spacing w:after="163"/>
        <w:rPr>
          <w:rFonts w:ascii="楷体" w:eastAsia="楷体" w:hAnsi="楷体"/>
          <w:szCs w:val="21"/>
        </w:rPr>
      </w:pPr>
      <w:r w:rsidRPr="005726EE">
        <w:rPr>
          <w:rFonts w:ascii="楷体" w:eastAsia="楷体" w:hAnsi="楷体" w:cs="宋体" w:hint="eastAsia"/>
          <w:szCs w:val="21"/>
        </w:rPr>
        <w:t>低风险类别中的市场中性策略通过对冲操作降低产品贝塔值，以最大限度地规避系统性风险、追求阿尔法收益，在</w:t>
      </w:r>
      <w:r w:rsidRPr="005726EE">
        <w:rPr>
          <w:rFonts w:ascii="楷体" w:eastAsia="楷体" w:hAnsi="楷体" w:hint="eastAsia"/>
          <w:szCs w:val="21"/>
        </w:rPr>
        <w:t>2</w:t>
      </w:r>
      <w:r w:rsidRPr="005726EE">
        <w:rPr>
          <w:rFonts w:ascii="楷体" w:eastAsia="楷体" w:hAnsi="楷体" w:cs="宋体" w:hint="eastAsia"/>
          <w:szCs w:val="21"/>
        </w:rPr>
        <w:t>月份这种波动较大的市场环境中往往能取得更好效果，</w:t>
      </w:r>
      <w:r w:rsidRPr="005726EE">
        <w:rPr>
          <w:rFonts w:ascii="楷体" w:eastAsia="楷体" w:hAnsi="楷体" w:hint="eastAsia"/>
          <w:szCs w:val="21"/>
        </w:rPr>
        <w:t>49</w:t>
      </w:r>
      <w:r w:rsidRPr="005726EE">
        <w:rPr>
          <w:rFonts w:ascii="楷体" w:eastAsia="楷体" w:hAnsi="楷体" w:cs="宋体" w:hint="eastAsia"/>
          <w:szCs w:val="21"/>
        </w:rPr>
        <w:t>只基金取得了平均</w:t>
      </w:r>
      <w:r w:rsidRPr="005726EE">
        <w:rPr>
          <w:rFonts w:ascii="楷体" w:eastAsia="楷体" w:hAnsi="楷体" w:hint="eastAsia"/>
          <w:szCs w:val="21"/>
        </w:rPr>
        <w:t>1.45%的成绩</w:t>
      </w:r>
      <w:r w:rsidRPr="005726EE">
        <w:rPr>
          <w:rFonts w:ascii="楷体" w:eastAsia="楷体" w:hAnsi="楷体" w:cs="宋体" w:hint="eastAsia"/>
          <w:szCs w:val="21"/>
        </w:rPr>
        <w:t>。</w:t>
      </w:r>
    </w:p>
    <w:p w:rsidR="00BB0CE0" w:rsidRPr="005726EE" w:rsidRDefault="00BB0CE0" w:rsidP="00BB0CE0">
      <w:pPr>
        <w:pStyle w:val="ab"/>
        <w:numPr>
          <w:ilvl w:val="0"/>
          <w:numId w:val="4"/>
        </w:numPr>
        <w:spacing w:after="163"/>
        <w:rPr>
          <w:rFonts w:ascii="楷体" w:eastAsia="楷体" w:hAnsi="楷体"/>
          <w:szCs w:val="21"/>
        </w:rPr>
      </w:pPr>
      <w:r w:rsidRPr="005726EE">
        <w:rPr>
          <w:rFonts w:ascii="楷体" w:eastAsia="楷体" w:hAnsi="楷体" w:hint="eastAsia"/>
          <w:szCs w:val="21"/>
        </w:rPr>
        <w:t>相对价值策略同样属于低风险类别，旨在获得</w:t>
      </w:r>
      <w:r w:rsidRPr="005726EE">
        <w:rPr>
          <w:rFonts w:ascii="楷体" w:eastAsia="楷体" w:hAnsi="楷体"/>
          <w:szCs w:val="21"/>
        </w:rPr>
        <w:t>ETF</w:t>
      </w:r>
      <w:r w:rsidRPr="005726EE">
        <w:rPr>
          <w:rFonts w:ascii="楷体" w:eastAsia="楷体" w:hAnsi="楷体" w:hint="eastAsia"/>
          <w:szCs w:val="21"/>
        </w:rPr>
        <w:t>、分级基金、股指期货的定价偏差带来的套利收益，其中的</w:t>
      </w:r>
      <w:r>
        <w:rPr>
          <w:rFonts w:ascii="楷体" w:eastAsia="楷体" w:hAnsi="楷体" w:hint="eastAsia"/>
          <w:szCs w:val="21"/>
        </w:rPr>
        <w:t>相对</w:t>
      </w:r>
      <w:r w:rsidRPr="005726EE">
        <w:rPr>
          <w:rFonts w:ascii="楷体" w:eastAsia="楷体" w:hAnsi="楷体" w:hint="eastAsia"/>
          <w:szCs w:val="21"/>
        </w:rPr>
        <w:t>高频交易产品能够实现把握热点与及时止损并重。2月份16</w:t>
      </w:r>
      <w:proofErr w:type="gramStart"/>
      <w:r w:rsidRPr="005726EE">
        <w:rPr>
          <w:rFonts w:ascii="楷体" w:eastAsia="楷体" w:hAnsi="楷体" w:hint="eastAsia"/>
          <w:szCs w:val="21"/>
        </w:rPr>
        <w:t>只产品</w:t>
      </w:r>
      <w:proofErr w:type="gramEnd"/>
      <w:r w:rsidRPr="005726EE">
        <w:rPr>
          <w:rFonts w:ascii="楷体" w:eastAsia="楷体" w:hAnsi="楷体" w:hint="eastAsia"/>
          <w:szCs w:val="21"/>
        </w:rPr>
        <w:t>除3只外</w:t>
      </w:r>
      <w:proofErr w:type="gramStart"/>
      <w:r w:rsidRPr="005726EE">
        <w:rPr>
          <w:rFonts w:ascii="楷体" w:eastAsia="楷体" w:hAnsi="楷体" w:hint="eastAsia"/>
          <w:szCs w:val="21"/>
        </w:rPr>
        <w:t>皆取得</w:t>
      </w:r>
      <w:proofErr w:type="gramEnd"/>
      <w:r w:rsidRPr="005726EE">
        <w:rPr>
          <w:rFonts w:ascii="楷体" w:eastAsia="楷体" w:hAnsi="楷体" w:hint="eastAsia"/>
          <w:szCs w:val="21"/>
        </w:rPr>
        <w:t>正收益，平均上涨1.56%。</w:t>
      </w:r>
    </w:p>
    <w:tbl>
      <w:tblPr>
        <w:tblW w:w="11056" w:type="dxa"/>
        <w:tblInd w:w="-284"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844"/>
        <w:gridCol w:w="1134"/>
        <w:gridCol w:w="1345"/>
        <w:gridCol w:w="1347"/>
        <w:gridCol w:w="1346"/>
        <w:gridCol w:w="1347"/>
        <w:gridCol w:w="1346"/>
        <w:gridCol w:w="1347"/>
      </w:tblGrid>
      <w:tr w:rsidR="00BB0CE0" w:rsidRPr="005726EE" w:rsidTr="003C3053">
        <w:trPr>
          <w:cantSplit/>
          <w:trHeight w:val="335"/>
          <w:tblHeader/>
        </w:trPr>
        <w:tc>
          <w:tcPr>
            <w:tcW w:w="11056" w:type="dxa"/>
            <w:gridSpan w:val="8"/>
            <w:tcBorders>
              <w:bottom w:val="single" w:sz="6" w:space="0" w:color="FF6600"/>
            </w:tcBorders>
            <w:shd w:val="clear" w:color="auto" w:fill="auto"/>
            <w:vAlign w:val="center"/>
          </w:tcPr>
          <w:p w:rsidR="00BB0CE0" w:rsidRPr="005726EE" w:rsidRDefault="00BB0CE0" w:rsidP="003C3053">
            <w:pPr>
              <w:pStyle w:val="SubTitleLargeTable"/>
              <w:pBdr>
                <w:top w:val="none" w:sz="0" w:space="0" w:color="auto"/>
              </w:pBdr>
              <w:rPr>
                <w:rFonts w:ascii="楷体" w:eastAsia="楷体" w:hAnsi="楷体"/>
                <w:b w:val="0"/>
              </w:rPr>
            </w:pPr>
            <w:r w:rsidRPr="005726EE">
              <w:rPr>
                <w:rFonts w:ascii="楷体" w:eastAsia="楷体" w:hAnsi="楷体"/>
                <w:color w:val="FF6600"/>
              </w:rPr>
              <w:t>图表</w:t>
            </w:r>
            <w:r w:rsidRPr="005726EE">
              <w:rPr>
                <w:rFonts w:ascii="楷体" w:eastAsia="楷体" w:hAnsi="楷体" w:hint="eastAsia"/>
                <w:color w:val="FF6600"/>
              </w:rPr>
              <w:t>5：各策略对冲基金各阶段业绩概览</w:t>
            </w:r>
          </w:p>
        </w:tc>
      </w:tr>
      <w:tr w:rsidR="00BB0CE0" w:rsidRPr="005726EE" w:rsidTr="003C3053">
        <w:trPr>
          <w:cantSplit/>
          <w:trHeight w:val="392"/>
          <w:tblHeader/>
        </w:trPr>
        <w:tc>
          <w:tcPr>
            <w:tcW w:w="2978" w:type="dxa"/>
            <w:gridSpan w:val="2"/>
            <w:tcBorders>
              <w:bottom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rPr>
            </w:pPr>
          </w:p>
        </w:tc>
        <w:tc>
          <w:tcPr>
            <w:tcW w:w="1345"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bCs/>
                <w:color w:val="000000"/>
                <w:sz w:val="18"/>
                <w:szCs w:val="18"/>
              </w:rPr>
            </w:pPr>
            <w:r w:rsidRPr="005726EE">
              <w:rPr>
                <w:rFonts w:ascii="楷体" w:eastAsia="楷体" w:hAnsi="楷体" w:hint="eastAsia"/>
                <w:b/>
                <w:bCs/>
                <w:color w:val="000000"/>
                <w:sz w:val="18"/>
                <w:szCs w:val="18"/>
              </w:rPr>
              <w:t>近一月</w:t>
            </w:r>
          </w:p>
        </w:tc>
        <w:tc>
          <w:tcPr>
            <w:tcW w:w="1347"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bCs/>
                <w:color w:val="000000"/>
                <w:sz w:val="18"/>
                <w:szCs w:val="18"/>
              </w:rPr>
            </w:pPr>
            <w:r w:rsidRPr="005726EE">
              <w:rPr>
                <w:rFonts w:ascii="楷体" w:eastAsia="楷体" w:hAnsi="楷体" w:hint="eastAsia"/>
                <w:b/>
                <w:bCs/>
                <w:color w:val="000000"/>
                <w:sz w:val="18"/>
                <w:szCs w:val="18"/>
              </w:rPr>
              <w:t>近一季</w:t>
            </w:r>
          </w:p>
        </w:tc>
        <w:tc>
          <w:tcPr>
            <w:tcW w:w="1346"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bCs/>
                <w:color w:val="000000"/>
                <w:sz w:val="18"/>
                <w:szCs w:val="18"/>
              </w:rPr>
            </w:pPr>
            <w:r w:rsidRPr="005726EE">
              <w:rPr>
                <w:rFonts w:ascii="楷体" w:eastAsia="楷体" w:hAnsi="楷体" w:hint="eastAsia"/>
                <w:b/>
                <w:bCs/>
                <w:color w:val="000000"/>
                <w:sz w:val="18"/>
                <w:szCs w:val="18"/>
              </w:rPr>
              <w:t>近半年</w:t>
            </w:r>
          </w:p>
        </w:tc>
        <w:tc>
          <w:tcPr>
            <w:tcW w:w="1347"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bCs/>
                <w:color w:val="000000"/>
                <w:sz w:val="18"/>
                <w:szCs w:val="18"/>
              </w:rPr>
            </w:pPr>
            <w:r w:rsidRPr="005726EE">
              <w:rPr>
                <w:rFonts w:ascii="楷体" w:eastAsia="楷体" w:hAnsi="楷体" w:hint="eastAsia"/>
                <w:b/>
                <w:bCs/>
                <w:color w:val="000000"/>
                <w:sz w:val="18"/>
                <w:szCs w:val="18"/>
              </w:rPr>
              <w:t>近一年</w:t>
            </w:r>
          </w:p>
        </w:tc>
        <w:tc>
          <w:tcPr>
            <w:tcW w:w="1346"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bCs/>
                <w:color w:val="000000"/>
                <w:sz w:val="18"/>
                <w:szCs w:val="18"/>
              </w:rPr>
            </w:pPr>
            <w:r w:rsidRPr="005726EE">
              <w:rPr>
                <w:rFonts w:ascii="楷体" w:eastAsia="楷体" w:hAnsi="楷体"/>
                <w:b/>
                <w:bCs/>
                <w:color w:val="000000"/>
                <w:sz w:val="18"/>
                <w:szCs w:val="18"/>
              </w:rPr>
              <w:t>近两年</w:t>
            </w:r>
          </w:p>
        </w:tc>
        <w:tc>
          <w:tcPr>
            <w:tcW w:w="1347" w:type="dxa"/>
            <w:tcBorders>
              <w:lef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bCs/>
                <w:color w:val="000000"/>
                <w:sz w:val="18"/>
                <w:szCs w:val="18"/>
              </w:rPr>
            </w:pPr>
            <w:r w:rsidRPr="005726EE">
              <w:rPr>
                <w:rFonts w:ascii="楷体" w:eastAsia="楷体" w:hAnsi="楷体"/>
                <w:b/>
                <w:bCs/>
                <w:color w:val="000000"/>
                <w:sz w:val="18"/>
                <w:szCs w:val="18"/>
              </w:rPr>
              <w:t>近三年</w:t>
            </w:r>
          </w:p>
        </w:tc>
      </w:tr>
      <w:tr w:rsidR="00BB0CE0" w:rsidRPr="005726EE" w:rsidTr="003C3053">
        <w:trPr>
          <w:cantSplit/>
          <w:trHeight w:val="412"/>
        </w:trPr>
        <w:tc>
          <w:tcPr>
            <w:tcW w:w="1844" w:type="dxa"/>
            <w:vMerge w:val="restart"/>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sz w:val="18"/>
                <w:szCs w:val="18"/>
              </w:rPr>
            </w:pPr>
            <w:r w:rsidRPr="005726EE">
              <w:rPr>
                <w:rFonts w:ascii="楷体" w:eastAsia="楷体" w:hAnsi="楷体"/>
                <w:b/>
                <w:sz w:val="18"/>
                <w:szCs w:val="18"/>
              </w:rPr>
              <w:t>股票多头策略</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sz w:val="18"/>
                <w:szCs w:val="18"/>
              </w:rPr>
            </w:pPr>
            <w:r w:rsidRPr="005726EE">
              <w:rPr>
                <w:rFonts w:ascii="楷体" w:eastAsia="楷体" w:hAnsi="楷体"/>
                <w:b/>
                <w:sz w:val="18"/>
                <w:szCs w:val="18"/>
              </w:rPr>
              <w:t>管理型</w:t>
            </w:r>
          </w:p>
        </w:tc>
        <w:tc>
          <w:tcPr>
            <w:tcW w:w="1345"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1.05%</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0.85%</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5.14%</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7.81%</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14.79%</w:t>
            </w:r>
          </w:p>
        </w:tc>
        <w:tc>
          <w:tcPr>
            <w:tcW w:w="1347" w:type="dxa"/>
            <w:tcBorders>
              <w:lef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-0.45%</w:t>
            </w:r>
          </w:p>
        </w:tc>
      </w:tr>
      <w:tr w:rsidR="00BB0CE0" w:rsidRPr="005726EE" w:rsidTr="003C3053">
        <w:trPr>
          <w:cantSplit/>
          <w:trHeight w:val="403"/>
        </w:trPr>
        <w:tc>
          <w:tcPr>
            <w:tcW w:w="1844" w:type="dxa"/>
            <w:vMerge/>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rPr>
            </w:pP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sz w:val="18"/>
                <w:szCs w:val="18"/>
              </w:rPr>
            </w:pPr>
            <w:r w:rsidRPr="005726EE">
              <w:rPr>
                <w:rFonts w:ascii="楷体" w:eastAsia="楷体" w:hAnsi="楷体"/>
                <w:b/>
                <w:sz w:val="18"/>
                <w:szCs w:val="18"/>
              </w:rPr>
              <w:t>分级型</w:t>
            </w:r>
          </w:p>
        </w:tc>
        <w:tc>
          <w:tcPr>
            <w:tcW w:w="1345"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0.02%</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olor w:val="FF0000"/>
                <w:sz w:val="18"/>
                <w:szCs w:val="18"/>
              </w:rPr>
            </w:pPr>
            <w:r w:rsidRPr="005726EE">
              <w:rPr>
                <w:rFonts w:ascii="楷体" w:eastAsia="楷体" w:hAnsi="楷体" w:hint="eastAsia"/>
                <w:color w:val="FF0000"/>
                <w:sz w:val="18"/>
                <w:szCs w:val="18"/>
              </w:rPr>
              <w:t>-0.04%</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4.88%</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2.10%</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8.97%</w:t>
            </w:r>
          </w:p>
        </w:tc>
        <w:tc>
          <w:tcPr>
            <w:tcW w:w="1347" w:type="dxa"/>
            <w:tcBorders>
              <w:lef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6.77%</w:t>
            </w:r>
          </w:p>
        </w:tc>
      </w:tr>
      <w:tr w:rsidR="00BB0CE0" w:rsidRPr="005726EE" w:rsidTr="003C3053">
        <w:trPr>
          <w:cantSplit/>
          <w:trHeight w:val="396"/>
        </w:trPr>
        <w:tc>
          <w:tcPr>
            <w:tcW w:w="2978" w:type="dxa"/>
            <w:gridSpan w:val="2"/>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sz w:val="18"/>
                <w:szCs w:val="18"/>
              </w:rPr>
            </w:pPr>
            <w:r w:rsidRPr="005726EE">
              <w:rPr>
                <w:rFonts w:ascii="楷体" w:eastAsia="楷体" w:hAnsi="楷体" w:hint="eastAsia"/>
                <w:b/>
                <w:sz w:val="18"/>
                <w:szCs w:val="18"/>
              </w:rPr>
              <w:t>事件驱动策略（定向增发、大宗交易）</w:t>
            </w:r>
          </w:p>
        </w:tc>
        <w:tc>
          <w:tcPr>
            <w:tcW w:w="1345"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2.42%</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5.27%</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21.58%</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23.35%</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c>
          <w:tcPr>
            <w:tcW w:w="1347" w:type="dxa"/>
            <w:tcBorders>
              <w:lef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r>
      <w:tr w:rsidR="00BB0CE0" w:rsidRPr="005726EE" w:rsidTr="003C3053">
        <w:trPr>
          <w:cantSplit/>
          <w:trHeight w:val="416"/>
        </w:trPr>
        <w:tc>
          <w:tcPr>
            <w:tcW w:w="2978" w:type="dxa"/>
            <w:gridSpan w:val="2"/>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sz w:val="18"/>
                <w:szCs w:val="18"/>
              </w:rPr>
            </w:pPr>
            <w:r w:rsidRPr="005726EE">
              <w:rPr>
                <w:rFonts w:ascii="楷体" w:eastAsia="楷体" w:hAnsi="楷体" w:hint="eastAsia"/>
                <w:b/>
                <w:sz w:val="18"/>
                <w:szCs w:val="18"/>
              </w:rPr>
              <w:t>(全球)宏观策略</w:t>
            </w:r>
          </w:p>
        </w:tc>
        <w:tc>
          <w:tcPr>
            <w:tcW w:w="1345"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0.31%</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1.90%</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2.50%</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27.15%</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c>
          <w:tcPr>
            <w:tcW w:w="1347" w:type="dxa"/>
            <w:tcBorders>
              <w:lef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r>
      <w:tr w:rsidR="00BB0CE0" w:rsidRPr="005726EE" w:rsidTr="003C3053">
        <w:trPr>
          <w:cantSplit/>
          <w:trHeight w:val="406"/>
        </w:trPr>
        <w:tc>
          <w:tcPr>
            <w:tcW w:w="2978" w:type="dxa"/>
            <w:gridSpan w:val="2"/>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sz w:val="18"/>
                <w:szCs w:val="18"/>
              </w:rPr>
            </w:pPr>
            <w:r w:rsidRPr="005726EE">
              <w:rPr>
                <w:rFonts w:ascii="楷体" w:eastAsia="楷体" w:hAnsi="楷体" w:hint="eastAsia"/>
                <w:b/>
                <w:sz w:val="18"/>
                <w:szCs w:val="18"/>
              </w:rPr>
              <w:lastRenderedPageBreak/>
              <w:t>股票对冲策略-多空对冲</w:t>
            </w:r>
          </w:p>
        </w:tc>
        <w:tc>
          <w:tcPr>
            <w:tcW w:w="1345"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olor w:val="FF0000"/>
                <w:sz w:val="18"/>
                <w:szCs w:val="18"/>
              </w:rPr>
            </w:pPr>
            <w:r w:rsidRPr="005726EE">
              <w:rPr>
                <w:rFonts w:ascii="楷体" w:eastAsia="楷体" w:hAnsi="楷体" w:hint="eastAsia"/>
                <w:color w:val="FF0000"/>
                <w:sz w:val="18"/>
                <w:szCs w:val="18"/>
              </w:rPr>
              <w:t>-2.38%</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1.01%</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5.32%</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c>
          <w:tcPr>
            <w:tcW w:w="1347" w:type="dxa"/>
            <w:tcBorders>
              <w:lef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r>
      <w:tr w:rsidR="00BB0CE0" w:rsidRPr="005726EE" w:rsidTr="003C3053">
        <w:trPr>
          <w:cantSplit/>
          <w:trHeight w:val="408"/>
        </w:trPr>
        <w:tc>
          <w:tcPr>
            <w:tcW w:w="2978" w:type="dxa"/>
            <w:gridSpan w:val="2"/>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sz w:val="18"/>
                <w:szCs w:val="18"/>
              </w:rPr>
            </w:pPr>
            <w:r w:rsidRPr="005726EE">
              <w:rPr>
                <w:rFonts w:ascii="楷体" w:eastAsia="楷体" w:hAnsi="楷体" w:hint="eastAsia"/>
                <w:b/>
                <w:sz w:val="18"/>
                <w:szCs w:val="18"/>
              </w:rPr>
              <w:t>相对价值策略-相对价值套利策略</w:t>
            </w:r>
          </w:p>
        </w:tc>
        <w:tc>
          <w:tcPr>
            <w:tcW w:w="1345"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1.56%</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4.39%</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5.17%</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11.16%</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c>
          <w:tcPr>
            <w:tcW w:w="1347" w:type="dxa"/>
            <w:tcBorders>
              <w:lef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r>
      <w:tr w:rsidR="00BB0CE0" w:rsidRPr="005726EE" w:rsidTr="003C3053">
        <w:trPr>
          <w:cantSplit/>
          <w:trHeight w:val="408"/>
        </w:trPr>
        <w:tc>
          <w:tcPr>
            <w:tcW w:w="2978" w:type="dxa"/>
            <w:gridSpan w:val="2"/>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sz w:val="18"/>
                <w:szCs w:val="18"/>
              </w:rPr>
            </w:pPr>
            <w:r w:rsidRPr="005726EE">
              <w:rPr>
                <w:rFonts w:ascii="楷体" w:eastAsia="楷体" w:hAnsi="楷体" w:hint="eastAsia"/>
                <w:b/>
                <w:sz w:val="18"/>
                <w:szCs w:val="18"/>
              </w:rPr>
              <w:t>股票对冲策略-市场中性策略</w:t>
            </w:r>
          </w:p>
        </w:tc>
        <w:tc>
          <w:tcPr>
            <w:tcW w:w="1345"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1.45%</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3.23%</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5.35%</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10.14%</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c>
          <w:tcPr>
            <w:tcW w:w="1347" w:type="dxa"/>
            <w:tcBorders>
              <w:lef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r>
      <w:tr w:rsidR="00BB0CE0" w:rsidRPr="005726EE" w:rsidTr="003C3053">
        <w:trPr>
          <w:cantSplit/>
          <w:trHeight w:val="413"/>
        </w:trPr>
        <w:tc>
          <w:tcPr>
            <w:tcW w:w="2978" w:type="dxa"/>
            <w:gridSpan w:val="2"/>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sz w:val="18"/>
                <w:szCs w:val="18"/>
              </w:rPr>
            </w:pPr>
            <w:r w:rsidRPr="005726EE">
              <w:rPr>
                <w:rFonts w:ascii="楷体" w:eastAsia="楷体" w:hAnsi="楷体" w:hint="eastAsia"/>
                <w:b/>
                <w:sz w:val="18"/>
                <w:szCs w:val="18"/>
              </w:rPr>
              <w:t>固定收益策略</w:t>
            </w:r>
          </w:p>
        </w:tc>
        <w:tc>
          <w:tcPr>
            <w:tcW w:w="1345"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0.60%</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0.76%</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color w:val="FF0000"/>
                <w:sz w:val="18"/>
                <w:szCs w:val="18"/>
              </w:rPr>
            </w:pPr>
            <w:r w:rsidRPr="005726EE">
              <w:rPr>
                <w:rFonts w:ascii="楷体" w:eastAsia="楷体" w:hAnsi="楷体" w:hint="eastAsia"/>
                <w:color w:val="FF0000"/>
                <w:sz w:val="18"/>
                <w:szCs w:val="18"/>
              </w:rPr>
              <w:t>-0.01%</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olor w:val="FF0000"/>
                <w:sz w:val="18"/>
                <w:szCs w:val="18"/>
              </w:rPr>
            </w:pPr>
            <w:r w:rsidRPr="005726EE">
              <w:rPr>
                <w:rFonts w:ascii="楷体" w:eastAsia="楷体" w:hAnsi="楷体" w:hint="eastAsia"/>
                <w:color w:val="FF0000"/>
                <w:sz w:val="18"/>
                <w:szCs w:val="18"/>
              </w:rPr>
              <w:t>-0.68%</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c>
          <w:tcPr>
            <w:tcW w:w="1347" w:type="dxa"/>
            <w:tcBorders>
              <w:lef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r>
      <w:tr w:rsidR="00BB0CE0" w:rsidRPr="005726EE" w:rsidTr="003C3053">
        <w:trPr>
          <w:cantSplit/>
          <w:trHeight w:val="406"/>
        </w:trPr>
        <w:tc>
          <w:tcPr>
            <w:tcW w:w="2978" w:type="dxa"/>
            <w:gridSpan w:val="2"/>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b/>
                <w:sz w:val="18"/>
                <w:szCs w:val="18"/>
              </w:rPr>
            </w:pPr>
            <w:r w:rsidRPr="005726EE">
              <w:rPr>
                <w:rFonts w:ascii="楷体" w:eastAsia="楷体" w:hAnsi="楷体" w:hint="eastAsia"/>
                <w:b/>
                <w:sz w:val="18"/>
                <w:szCs w:val="18"/>
              </w:rPr>
              <w:t>复合策略</w:t>
            </w:r>
          </w:p>
        </w:tc>
        <w:tc>
          <w:tcPr>
            <w:tcW w:w="1345"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0.28%</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olor w:val="FF0000"/>
                <w:sz w:val="18"/>
                <w:szCs w:val="18"/>
              </w:rPr>
            </w:pPr>
            <w:r w:rsidRPr="005726EE">
              <w:rPr>
                <w:rFonts w:ascii="楷体" w:eastAsia="楷体" w:hAnsi="楷体" w:hint="eastAsia"/>
                <w:color w:val="FF0000"/>
                <w:sz w:val="18"/>
                <w:szCs w:val="18"/>
              </w:rPr>
              <w:t>-0.17%</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w:t>
            </w:r>
          </w:p>
        </w:tc>
        <w:tc>
          <w:tcPr>
            <w:tcW w:w="1347"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sz w:val="18"/>
                <w:szCs w:val="18"/>
              </w:rPr>
            </w:pPr>
            <w:r w:rsidRPr="005726EE">
              <w:rPr>
                <w:rFonts w:ascii="楷体" w:eastAsia="楷体" w:hAnsi="楷体" w:hint="eastAsia"/>
                <w:sz w:val="18"/>
                <w:szCs w:val="18"/>
              </w:rPr>
              <w:t>——</w:t>
            </w:r>
          </w:p>
        </w:tc>
        <w:tc>
          <w:tcPr>
            <w:tcW w:w="1346"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c>
          <w:tcPr>
            <w:tcW w:w="1347" w:type="dxa"/>
            <w:tcBorders>
              <w:left w:val="single" w:sz="6" w:space="0" w:color="FF6600"/>
            </w:tcBorders>
            <w:shd w:val="clear" w:color="auto" w:fill="auto"/>
            <w:vAlign w:val="center"/>
          </w:tcPr>
          <w:p w:rsidR="00BB0CE0" w:rsidRPr="005726EE" w:rsidRDefault="00BB0CE0" w:rsidP="003C3053">
            <w:pPr>
              <w:jc w:val="center"/>
              <w:rPr>
                <w:rFonts w:ascii="楷体" w:eastAsia="楷体" w:hAnsi="楷体"/>
              </w:rPr>
            </w:pPr>
            <w:r w:rsidRPr="005726EE">
              <w:rPr>
                <w:rFonts w:ascii="楷体" w:eastAsia="楷体" w:hAnsi="楷体" w:hint="eastAsia"/>
                <w:sz w:val="18"/>
                <w:szCs w:val="18"/>
              </w:rPr>
              <w:t>——</w:t>
            </w:r>
          </w:p>
        </w:tc>
      </w:tr>
      <w:tr w:rsidR="00BB0CE0" w:rsidRPr="005726EE" w:rsidTr="003C3053">
        <w:trPr>
          <w:cantSplit/>
          <w:trHeight w:val="308"/>
        </w:trPr>
        <w:tc>
          <w:tcPr>
            <w:tcW w:w="11056" w:type="dxa"/>
            <w:gridSpan w:val="8"/>
            <w:shd w:val="clear" w:color="auto" w:fill="auto"/>
            <w:vAlign w:val="center"/>
          </w:tcPr>
          <w:p w:rsidR="00BB0CE0" w:rsidRPr="005726EE" w:rsidRDefault="00BB0CE0" w:rsidP="003C3053">
            <w:pPr>
              <w:jc w:val="left"/>
              <w:rPr>
                <w:rFonts w:ascii="楷体" w:eastAsia="楷体" w:hAnsi="楷体"/>
                <w:b/>
              </w:rPr>
            </w:pPr>
            <w:r w:rsidRPr="005726EE">
              <w:rPr>
                <w:rFonts w:ascii="楷体" w:eastAsia="楷体" w:hAnsi="楷体" w:hint="eastAsia"/>
                <w:sz w:val="18"/>
                <w:szCs w:val="18"/>
              </w:rPr>
              <w:t>注：除股票多头策略外，其他策略具有完整年度以上业绩的样本数量相对较少，平均结果仅供参考，且没有区分管理型和分级型等特征。</w:t>
            </w:r>
          </w:p>
        </w:tc>
      </w:tr>
    </w:tbl>
    <w:p w:rsidR="00BB0CE0" w:rsidRPr="005726EE" w:rsidRDefault="00BB0CE0" w:rsidP="00BB0CE0">
      <w:pPr>
        <w:pStyle w:val="FootnoteNoline"/>
        <w:ind w:left="0"/>
        <w:rPr>
          <w:rFonts w:ascii="楷体" w:eastAsia="楷体" w:hAnsi="楷体"/>
          <w:color w:val="FF6600"/>
          <w:lang w:val="en-US"/>
        </w:rPr>
      </w:pPr>
      <w:r w:rsidRPr="005726EE">
        <w:rPr>
          <w:rFonts w:ascii="楷体" w:eastAsia="楷体" w:hAnsi="楷体" w:hint="eastAsia"/>
          <w:color w:val="FF6600"/>
          <w:lang w:val="en-US"/>
        </w:rPr>
        <w:t>来源：</w:t>
      </w:r>
      <w:proofErr w:type="gramStart"/>
      <w:r w:rsidRPr="005726EE">
        <w:rPr>
          <w:rFonts w:ascii="楷体" w:eastAsia="楷体" w:hAnsi="楷体" w:hint="eastAsia"/>
          <w:color w:val="FF6600"/>
          <w:lang w:val="en-US"/>
        </w:rPr>
        <w:t>凯</w:t>
      </w:r>
      <w:proofErr w:type="gramEnd"/>
      <w:r w:rsidRPr="005726EE">
        <w:rPr>
          <w:rFonts w:ascii="楷体" w:eastAsia="楷体" w:hAnsi="楷体" w:hint="eastAsia"/>
          <w:color w:val="FF6600"/>
          <w:lang w:val="en-US"/>
        </w:rPr>
        <w:t>石财富工场</w:t>
      </w:r>
    </w:p>
    <w:p w:rsidR="00BB0CE0" w:rsidRPr="005726EE" w:rsidRDefault="00BB0CE0" w:rsidP="00BB0CE0">
      <w:pPr>
        <w:pStyle w:val="ab"/>
        <w:spacing w:after="163"/>
        <w:rPr>
          <w:rFonts w:ascii="楷体" w:eastAsia="楷体" w:hAnsi="楷体"/>
          <w:szCs w:val="21"/>
        </w:rPr>
      </w:pPr>
      <w:r w:rsidRPr="005726EE">
        <w:rPr>
          <w:rFonts w:ascii="楷体" w:eastAsia="楷体" w:hAnsi="楷体" w:cs="宋体" w:hint="eastAsia"/>
          <w:b/>
          <w:bCs/>
          <w:color w:val="0070C0"/>
          <w:szCs w:val="21"/>
        </w:rPr>
        <w:t>板块轮动提速，“择时型”收益领先</w:t>
      </w:r>
    </w:p>
    <w:p w:rsidR="00BB0CE0" w:rsidRPr="005726EE" w:rsidRDefault="00BB0CE0" w:rsidP="00BB0CE0">
      <w:pPr>
        <w:pStyle w:val="ab"/>
        <w:numPr>
          <w:ilvl w:val="4"/>
          <w:numId w:val="1"/>
        </w:numPr>
        <w:spacing w:after="163"/>
        <w:rPr>
          <w:rFonts w:ascii="楷体" w:eastAsia="楷体" w:hAnsi="楷体"/>
          <w:szCs w:val="21"/>
        </w:rPr>
      </w:pPr>
      <w:r w:rsidRPr="005726EE">
        <w:rPr>
          <w:rFonts w:ascii="楷体" w:eastAsia="楷体" w:hAnsi="楷体" w:hint="eastAsia"/>
        </w:rPr>
        <w:t>2</w:t>
      </w:r>
      <w:r w:rsidRPr="005726EE">
        <w:rPr>
          <w:rFonts w:ascii="楷体" w:eastAsia="楷体" w:hAnsi="楷体" w:cs="宋体" w:hint="eastAsia"/>
        </w:rPr>
        <w:t>月份主板市场虽以下跌收尾，但结构性机会依然活跃，不乏涨幅可观的个股，但因月末成长股遭遇大幅回调，使得个股投资难度加大，简单持有创业</w:t>
      </w:r>
      <w:proofErr w:type="gramStart"/>
      <w:r w:rsidRPr="005726EE">
        <w:rPr>
          <w:rFonts w:ascii="楷体" w:eastAsia="楷体" w:hAnsi="楷体" w:cs="宋体" w:hint="eastAsia"/>
        </w:rPr>
        <w:t>板股票</w:t>
      </w:r>
      <w:proofErr w:type="gramEnd"/>
      <w:r w:rsidRPr="005726EE">
        <w:rPr>
          <w:rFonts w:ascii="楷体" w:eastAsia="楷体" w:hAnsi="楷体" w:cs="宋体" w:hint="eastAsia"/>
        </w:rPr>
        <w:t>已无法保证绝对收益领先，而对于波段把握能力强、擅于适时介入并适时撤离的“择时型”对冲基金管理人则迎来了一展身手的机会，这一群体也正是</w:t>
      </w:r>
      <w:proofErr w:type="gramStart"/>
      <w:r w:rsidRPr="005726EE">
        <w:rPr>
          <w:rFonts w:ascii="楷体" w:eastAsia="楷体" w:hAnsi="楷体" w:cs="宋体" w:hint="eastAsia"/>
        </w:rPr>
        <w:t>凯石工场</w:t>
      </w:r>
      <w:proofErr w:type="gramEnd"/>
      <w:r w:rsidRPr="005726EE">
        <w:rPr>
          <w:rFonts w:ascii="楷体" w:eastAsia="楷体" w:hAnsi="楷体" w:cs="宋体" w:hint="eastAsia"/>
        </w:rPr>
        <w:t>自年初至今始终建议投资者重点关注的对冲基金类别。</w:t>
      </w:r>
    </w:p>
    <w:p w:rsidR="00BB0CE0" w:rsidRPr="005726EE" w:rsidRDefault="00BB0CE0" w:rsidP="00BB0CE0">
      <w:pPr>
        <w:pStyle w:val="ab"/>
        <w:numPr>
          <w:ilvl w:val="0"/>
          <w:numId w:val="4"/>
        </w:numPr>
        <w:spacing w:after="163"/>
        <w:rPr>
          <w:rFonts w:ascii="楷体" w:eastAsia="楷体" w:hAnsi="楷体"/>
          <w:szCs w:val="21"/>
        </w:rPr>
      </w:pPr>
      <w:r w:rsidRPr="005726EE">
        <w:rPr>
          <w:rFonts w:ascii="楷体" w:eastAsia="楷体" w:hAnsi="楷体" w:hint="eastAsia"/>
          <w:szCs w:val="21"/>
        </w:rPr>
        <w:t>尚雅投资在2月份业绩最为抢眼，榜单TOP20中有8只尚雅基金，收益率在14%~21%范围。其中深国投</w:t>
      </w:r>
      <w:r w:rsidRPr="005726EE">
        <w:rPr>
          <w:rFonts w:ascii="楷体" w:eastAsiaTheme="minorEastAsia" w:hAnsi="楷体" w:hint="eastAsia"/>
          <w:szCs w:val="21"/>
        </w:rPr>
        <w:t>•</w:t>
      </w:r>
      <w:r w:rsidRPr="005726EE">
        <w:rPr>
          <w:rFonts w:ascii="楷体" w:eastAsia="楷体" w:hAnsi="楷体" w:hint="eastAsia"/>
          <w:szCs w:val="21"/>
        </w:rPr>
        <w:t>尚雅7期（20.59%）、深国投</w:t>
      </w:r>
      <w:r w:rsidRPr="005726EE">
        <w:rPr>
          <w:rFonts w:ascii="楷体" w:eastAsiaTheme="minorEastAsia" w:hAnsi="楷体" w:hint="eastAsia"/>
          <w:szCs w:val="21"/>
        </w:rPr>
        <w:t>•</w:t>
      </w:r>
      <w:r w:rsidRPr="005726EE">
        <w:rPr>
          <w:rFonts w:ascii="楷体" w:eastAsia="楷体" w:hAnsi="楷体" w:hint="eastAsia"/>
          <w:szCs w:val="21"/>
        </w:rPr>
        <w:t>尚雅2期（20.23%）、深国投</w:t>
      </w:r>
      <w:r w:rsidRPr="005726EE">
        <w:rPr>
          <w:rFonts w:ascii="楷体" w:eastAsiaTheme="minorEastAsia" w:hAnsi="楷体" w:hint="eastAsia"/>
          <w:szCs w:val="21"/>
        </w:rPr>
        <w:t>•</w:t>
      </w:r>
      <w:r w:rsidRPr="005726EE">
        <w:rPr>
          <w:rFonts w:ascii="楷体" w:eastAsia="楷体" w:hAnsi="楷体" w:hint="eastAsia"/>
          <w:szCs w:val="21"/>
        </w:rPr>
        <w:t>尚雅6期（18.83%）和深国投</w:t>
      </w:r>
      <w:r w:rsidRPr="005726EE">
        <w:rPr>
          <w:rFonts w:ascii="楷体" w:eastAsiaTheme="minorEastAsia" w:hAnsi="楷体" w:hint="eastAsia"/>
          <w:szCs w:val="21"/>
        </w:rPr>
        <w:t>•</w:t>
      </w:r>
      <w:r w:rsidRPr="005726EE">
        <w:rPr>
          <w:rFonts w:ascii="楷体" w:eastAsia="楷体" w:hAnsi="楷体" w:hint="eastAsia"/>
          <w:szCs w:val="21"/>
        </w:rPr>
        <w:t>尚雅4期（18.18%）挺进前10。尚雅投资的特点是</w:t>
      </w:r>
      <w:r w:rsidRPr="005726EE">
        <w:rPr>
          <w:rFonts w:ascii="楷体" w:eastAsia="楷体" w:hAnsi="楷体" w:cs="宋体" w:hint="eastAsia"/>
          <w:szCs w:val="21"/>
        </w:rPr>
        <w:t>积极关注经济发展需要及政策支持下的战略新兴行业，通过配置相关产业背景的研究人员，对其中细分领域进行独立深入的分析，对于新兴产业当中的板块轮</w:t>
      </w:r>
      <w:proofErr w:type="gramStart"/>
      <w:r w:rsidRPr="005726EE">
        <w:rPr>
          <w:rFonts w:ascii="楷体" w:eastAsia="楷体" w:hAnsi="楷体" w:cs="宋体" w:hint="eastAsia"/>
          <w:szCs w:val="21"/>
        </w:rPr>
        <w:t>动行情</w:t>
      </w:r>
      <w:proofErr w:type="gramEnd"/>
      <w:r w:rsidRPr="005726EE">
        <w:rPr>
          <w:rFonts w:ascii="楷体" w:eastAsia="楷体" w:hAnsi="楷体" w:cs="宋体" w:hint="eastAsia"/>
          <w:szCs w:val="21"/>
        </w:rPr>
        <w:t>把握较好。</w:t>
      </w:r>
      <w:r w:rsidRPr="009A5628">
        <w:rPr>
          <w:rFonts w:ascii="楷体" w:eastAsia="楷体" w:hAnsi="楷体" w:cs="宋体" w:hint="eastAsia"/>
          <w:szCs w:val="21"/>
        </w:rPr>
        <w:t>尚雅认为2014年仍为结构性行情，高成长行业依然蕴藏巨大的潜能，</w:t>
      </w:r>
      <w:r>
        <w:rPr>
          <w:rFonts w:ascii="楷体" w:eastAsia="楷体" w:hAnsi="楷体" w:cs="宋体" w:hint="eastAsia"/>
          <w:szCs w:val="21"/>
        </w:rPr>
        <w:t>积极布局</w:t>
      </w:r>
      <w:r w:rsidRPr="009A5628">
        <w:rPr>
          <w:rFonts w:ascii="楷体" w:eastAsia="楷体" w:hAnsi="楷体" w:cs="宋体" w:hint="eastAsia"/>
          <w:szCs w:val="21"/>
        </w:rPr>
        <w:t>移动互联网行业，看好手游、广告、电商等三个细分领域。</w:t>
      </w:r>
    </w:p>
    <w:p w:rsidR="00BB0CE0" w:rsidRPr="005726EE" w:rsidRDefault="00BB0CE0" w:rsidP="00BB0CE0">
      <w:pPr>
        <w:pStyle w:val="ab"/>
        <w:numPr>
          <w:ilvl w:val="0"/>
          <w:numId w:val="4"/>
        </w:numPr>
        <w:spacing w:after="163"/>
        <w:rPr>
          <w:rFonts w:ascii="楷体" w:eastAsia="楷体" w:hAnsi="楷体"/>
          <w:szCs w:val="21"/>
        </w:rPr>
      </w:pPr>
      <w:r w:rsidRPr="005726EE">
        <w:rPr>
          <w:rFonts w:ascii="楷体" w:eastAsia="楷体" w:hAnsi="楷体" w:hint="eastAsia"/>
          <w:szCs w:val="21"/>
        </w:rPr>
        <w:t>涨停板“敢死队”出身的基金经理管理的</w:t>
      </w:r>
      <w:proofErr w:type="gramStart"/>
      <w:r w:rsidRPr="005726EE">
        <w:rPr>
          <w:rFonts w:ascii="楷体" w:eastAsia="楷体" w:hAnsi="楷体" w:hint="eastAsia"/>
          <w:szCs w:val="21"/>
        </w:rPr>
        <w:t>中融-泽泉</w:t>
      </w:r>
      <w:proofErr w:type="gramEnd"/>
      <w:r w:rsidRPr="005726EE">
        <w:rPr>
          <w:rFonts w:ascii="楷体" w:eastAsia="楷体" w:hAnsi="楷体" w:hint="eastAsia"/>
          <w:szCs w:val="21"/>
        </w:rPr>
        <w:t>-涨停板1号以接近30%的月收益率跻身前列，累计收益超过40%，今年以来收益率高达32.48%，在今年以来股票多头策略对冲基金中收益率排名第二。该基金高收益主要得益于紧随热点的操作风格。随后的</w:t>
      </w:r>
      <w:proofErr w:type="gramStart"/>
      <w:r w:rsidRPr="005726EE">
        <w:rPr>
          <w:rFonts w:ascii="楷体" w:eastAsia="楷体" w:hAnsi="楷体" w:hint="eastAsia"/>
          <w:szCs w:val="21"/>
        </w:rPr>
        <w:t>中融-鑫柏源</w:t>
      </w:r>
      <w:proofErr w:type="gramEnd"/>
      <w:r w:rsidRPr="005726EE">
        <w:rPr>
          <w:rFonts w:ascii="楷体" w:eastAsia="楷体" w:hAnsi="楷体" w:hint="eastAsia"/>
          <w:szCs w:val="21"/>
        </w:rPr>
        <w:t>1号月度收益22.19%，今年以来收益率47.38%，位列股票多头策略第一。</w:t>
      </w:r>
    </w:p>
    <w:p w:rsidR="00BB0CE0" w:rsidRPr="005726EE" w:rsidRDefault="00BB0CE0" w:rsidP="00BB0CE0">
      <w:pPr>
        <w:pStyle w:val="ab"/>
        <w:numPr>
          <w:ilvl w:val="0"/>
          <w:numId w:val="4"/>
        </w:numPr>
        <w:spacing w:after="163"/>
        <w:rPr>
          <w:rFonts w:ascii="楷体" w:eastAsia="楷体" w:hAnsi="楷体"/>
          <w:szCs w:val="21"/>
        </w:rPr>
      </w:pPr>
      <w:r w:rsidRPr="005726EE">
        <w:rPr>
          <w:rFonts w:ascii="楷体" w:eastAsia="楷体" w:hAnsi="楷体" w:hint="eastAsia"/>
          <w:szCs w:val="21"/>
        </w:rPr>
        <w:t>此外，上海</w:t>
      </w:r>
      <w:proofErr w:type="gramStart"/>
      <w:r w:rsidRPr="005726EE">
        <w:rPr>
          <w:rFonts w:ascii="楷体" w:eastAsia="楷体" w:hAnsi="楷体" w:hint="eastAsia"/>
          <w:szCs w:val="21"/>
        </w:rPr>
        <w:t>双隆投资</w:t>
      </w:r>
      <w:proofErr w:type="gramEnd"/>
      <w:r w:rsidRPr="005726EE">
        <w:rPr>
          <w:rFonts w:ascii="楷体" w:eastAsia="楷体" w:hAnsi="楷体" w:hint="eastAsia"/>
          <w:szCs w:val="21"/>
        </w:rPr>
        <w:t>的有限合伙产品，以及沈阳天马时代投资、</w:t>
      </w:r>
      <w:proofErr w:type="gramStart"/>
      <w:r w:rsidRPr="005726EE">
        <w:rPr>
          <w:rFonts w:ascii="楷体" w:eastAsia="楷体" w:hAnsi="楷体" w:hint="eastAsia"/>
          <w:szCs w:val="21"/>
        </w:rPr>
        <w:t>上海谦石投资</w:t>
      </w:r>
      <w:proofErr w:type="gramEnd"/>
      <w:r w:rsidRPr="005726EE">
        <w:rPr>
          <w:rFonts w:ascii="楷体" w:eastAsia="楷体" w:hAnsi="楷体" w:hint="eastAsia"/>
          <w:szCs w:val="21"/>
        </w:rPr>
        <w:t>、</w:t>
      </w:r>
      <w:proofErr w:type="gramStart"/>
      <w:r w:rsidRPr="005726EE">
        <w:rPr>
          <w:rFonts w:ascii="楷体" w:eastAsia="楷体" w:hAnsi="楷体" w:hint="eastAsia"/>
          <w:szCs w:val="21"/>
        </w:rPr>
        <w:t>泽熙投资</w:t>
      </w:r>
      <w:proofErr w:type="gramEnd"/>
      <w:r w:rsidRPr="005726EE">
        <w:rPr>
          <w:rFonts w:ascii="楷体" w:eastAsia="楷体" w:hAnsi="楷体" w:hint="eastAsia"/>
          <w:szCs w:val="21"/>
        </w:rPr>
        <w:t>、浙江金河投资、</w:t>
      </w:r>
      <w:proofErr w:type="gramStart"/>
      <w:r w:rsidRPr="005726EE">
        <w:rPr>
          <w:rFonts w:ascii="楷体" w:eastAsia="楷体" w:hAnsi="楷体" w:hint="eastAsia"/>
          <w:szCs w:val="21"/>
        </w:rPr>
        <w:t>凯</w:t>
      </w:r>
      <w:proofErr w:type="gramEnd"/>
      <w:r w:rsidRPr="005726EE">
        <w:rPr>
          <w:rFonts w:ascii="楷体" w:eastAsia="楷体" w:hAnsi="楷体" w:hint="eastAsia"/>
          <w:szCs w:val="21"/>
        </w:rPr>
        <w:t>石投资等管理人旗下产品，在2月份也有不错表现。</w:t>
      </w:r>
    </w:p>
    <w:tbl>
      <w:tblPr>
        <w:tblW w:w="11483" w:type="dxa"/>
        <w:tblInd w:w="-426"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135"/>
        <w:gridCol w:w="1134"/>
        <w:gridCol w:w="851"/>
        <w:gridCol w:w="850"/>
        <w:gridCol w:w="709"/>
        <w:gridCol w:w="709"/>
        <w:gridCol w:w="283"/>
        <w:gridCol w:w="1134"/>
        <w:gridCol w:w="1134"/>
        <w:gridCol w:w="851"/>
        <w:gridCol w:w="850"/>
        <w:gridCol w:w="709"/>
        <w:gridCol w:w="850"/>
        <w:gridCol w:w="284"/>
      </w:tblGrid>
      <w:tr w:rsidR="00BB0CE0" w:rsidRPr="005726EE" w:rsidTr="003C3053">
        <w:trPr>
          <w:cantSplit/>
          <w:trHeight w:val="335"/>
          <w:tblHeader/>
        </w:trPr>
        <w:tc>
          <w:tcPr>
            <w:tcW w:w="11483" w:type="dxa"/>
            <w:gridSpan w:val="14"/>
            <w:tcBorders>
              <w:bottom w:val="single" w:sz="6" w:space="0" w:color="FF6600"/>
            </w:tcBorders>
            <w:shd w:val="clear" w:color="auto" w:fill="auto"/>
            <w:vAlign w:val="center"/>
          </w:tcPr>
          <w:p w:rsidR="00BB0CE0" w:rsidRPr="005726EE" w:rsidRDefault="00BB0CE0" w:rsidP="003C3053">
            <w:pPr>
              <w:pStyle w:val="SubTitleLargeTable"/>
              <w:pBdr>
                <w:top w:val="none" w:sz="0" w:space="0" w:color="auto"/>
              </w:pBdr>
              <w:rPr>
                <w:rFonts w:ascii="楷体" w:eastAsia="楷体" w:hAnsi="楷体"/>
                <w:b w:val="0"/>
              </w:rPr>
            </w:pPr>
            <w:r w:rsidRPr="005726EE">
              <w:rPr>
                <w:rFonts w:ascii="楷体" w:eastAsia="楷体" w:hAnsi="楷体"/>
                <w:color w:val="FF6600"/>
              </w:rPr>
              <w:t>图表</w:t>
            </w:r>
            <w:r w:rsidRPr="005726EE">
              <w:rPr>
                <w:rFonts w:ascii="楷体" w:eastAsia="楷体" w:hAnsi="楷体" w:hint="eastAsia"/>
                <w:color w:val="FF6600"/>
              </w:rPr>
              <w:t>6：2月份对冲基金涨幅TOP20</w:t>
            </w:r>
          </w:p>
        </w:tc>
      </w:tr>
      <w:tr w:rsidR="00BB0CE0" w:rsidRPr="005726EE" w:rsidTr="003C3053">
        <w:trPr>
          <w:cantSplit/>
          <w:trHeight w:val="577"/>
          <w:tblHeader/>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产品</w:t>
            </w:r>
          </w:p>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名称</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管理人</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策略</w:t>
            </w:r>
          </w:p>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类型</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结构</w:t>
            </w:r>
          </w:p>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类型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最新</w:t>
            </w:r>
          </w:p>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净值</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月度</w:t>
            </w:r>
          </w:p>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收益</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排名</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产品</w:t>
            </w:r>
          </w:p>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名称</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管理人</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策略</w:t>
            </w:r>
          </w:p>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类型</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结构</w:t>
            </w:r>
          </w:p>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类型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最新</w:t>
            </w:r>
          </w:p>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净值</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月度</w:t>
            </w:r>
          </w:p>
          <w:p w:rsidR="00BB0CE0" w:rsidRPr="005726EE" w:rsidRDefault="00BB0CE0" w:rsidP="003C3053">
            <w:pPr>
              <w:snapToGrid w:val="0"/>
              <w:jc w:val="center"/>
              <w:rPr>
                <w:rFonts w:ascii="楷体" w:eastAsia="楷体" w:hAnsi="楷体"/>
                <w:b/>
                <w:bCs/>
                <w:color w:val="000000"/>
                <w:sz w:val="18"/>
                <w:szCs w:val="18"/>
              </w:rPr>
            </w:pPr>
            <w:r w:rsidRPr="005726EE">
              <w:rPr>
                <w:rFonts w:ascii="楷体" w:eastAsia="楷体" w:hAnsi="楷体" w:hint="eastAsia"/>
                <w:b/>
                <w:bCs/>
                <w:color w:val="000000"/>
                <w:sz w:val="18"/>
                <w:szCs w:val="18"/>
              </w:rPr>
              <w:t>收益</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cs="宋体"/>
                <w:b/>
                <w:bCs/>
                <w:color w:val="000000"/>
                <w:sz w:val="18"/>
                <w:szCs w:val="18"/>
              </w:rPr>
            </w:pPr>
            <w:r w:rsidRPr="005726EE">
              <w:rPr>
                <w:rFonts w:ascii="楷体" w:eastAsia="楷体" w:hAnsi="楷体" w:hint="eastAsia"/>
                <w:b/>
                <w:bCs/>
                <w:color w:val="000000"/>
                <w:sz w:val="18"/>
                <w:szCs w:val="18"/>
              </w:rPr>
              <w:t>排名</w:t>
            </w:r>
          </w:p>
        </w:tc>
      </w:tr>
      <w:tr w:rsidR="00BB0CE0" w:rsidRPr="005726EE" w:rsidTr="003C3053">
        <w:trPr>
          <w:cantSplit/>
          <w:trHeight w:val="454"/>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五矿信托-</w:t>
            </w:r>
            <w:proofErr w:type="gramStart"/>
            <w:r w:rsidRPr="005726EE">
              <w:rPr>
                <w:rFonts w:ascii="楷体" w:eastAsia="楷体" w:hAnsi="楷体" w:hint="eastAsia"/>
                <w:bCs/>
                <w:sz w:val="18"/>
                <w:szCs w:val="18"/>
              </w:rPr>
              <w:t>远策定增恒盈</w:t>
            </w:r>
            <w:proofErr w:type="gramEnd"/>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天津远策投资管理有限公司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事件驱动策略-定向增发</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分级型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3.2120 </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39.09%</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深国投</w:t>
            </w:r>
            <w:r w:rsidRPr="005726EE">
              <w:rPr>
                <w:rFonts w:ascii="楷体" w:hAnsi="楷体" w:hint="eastAsia"/>
                <w:bCs/>
                <w:sz w:val="18"/>
                <w:szCs w:val="18"/>
              </w:rPr>
              <w:t>•</w:t>
            </w:r>
            <w:r w:rsidRPr="005726EE">
              <w:rPr>
                <w:rFonts w:ascii="楷体" w:eastAsia="楷体" w:hAnsi="楷体" w:hint="eastAsia"/>
                <w:bCs/>
                <w:sz w:val="18"/>
                <w:szCs w:val="18"/>
              </w:rPr>
              <w:t>尚雅3期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146.45 </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18.06%</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11</w:t>
            </w:r>
          </w:p>
        </w:tc>
      </w:tr>
      <w:tr w:rsidR="00BB0CE0" w:rsidRPr="005726EE" w:rsidTr="003C3053">
        <w:trPr>
          <w:cantSplit/>
          <w:trHeight w:val="454"/>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长安信托-</w:t>
            </w:r>
            <w:proofErr w:type="gramStart"/>
            <w:r w:rsidRPr="005726EE">
              <w:rPr>
                <w:rFonts w:ascii="楷体" w:eastAsia="楷体" w:hAnsi="楷体" w:hint="eastAsia"/>
                <w:bCs/>
                <w:sz w:val="18"/>
                <w:szCs w:val="18"/>
              </w:rPr>
              <w:t>安盈1号</w:t>
            </w:r>
            <w:proofErr w:type="gramEnd"/>
            <w:r w:rsidRPr="005726EE">
              <w:rPr>
                <w:rFonts w:ascii="楷体" w:eastAsia="楷体" w:hAnsi="楷体" w:hint="eastAsia"/>
                <w:bCs/>
                <w:sz w:val="18"/>
                <w:szCs w:val="18"/>
              </w:rPr>
              <w:t>（长安投资146号）</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深圳市</w:t>
            </w:r>
            <w:proofErr w:type="gramStart"/>
            <w:r w:rsidRPr="005726EE">
              <w:rPr>
                <w:rFonts w:ascii="楷体" w:eastAsia="楷体" w:hAnsi="楷体" w:hint="eastAsia"/>
                <w:bCs/>
                <w:sz w:val="18"/>
                <w:szCs w:val="18"/>
              </w:rPr>
              <w:t>安盈资产</w:t>
            </w:r>
            <w:proofErr w:type="gramEnd"/>
            <w:r w:rsidRPr="005726EE">
              <w:rPr>
                <w:rFonts w:ascii="楷体" w:eastAsia="楷体" w:hAnsi="楷体" w:hint="eastAsia"/>
                <w:bCs/>
                <w:sz w:val="18"/>
                <w:szCs w:val="18"/>
              </w:rPr>
              <w:t>管理合伙企业（有限合伙）</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0.9156 </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30.28%</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2</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有限合伙-天马一期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沈阳天马时代投资管理有限公司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1.6329 </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18.04%</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12</w:t>
            </w:r>
          </w:p>
        </w:tc>
      </w:tr>
      <w:tr w:rsidR="00BB0CE0" w:rsidRPr="005726EE" w:rsidTr="003C3053">
        <w:trPr>
          <w:cantSplit/>
          <w:trHeight w:val="454"/>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proofErr w:type="gramStart"/>
            <w:r w:rsidRPr="005726EE">
              <w:rPr>
                <w:rFonts w:ascii="楷体" w:eastAsia="楷体" w:hAnsi="楷体" w:hint="eastAsia"/>
                <w:bCs/>
                <w:sz w:val="18"/>
                <w:szCs w:val="18"/>
              </w:rPr>
              <w:t>中融-泽泉</w:t>
            </w:r>
            <w:proofErr w:type="gramEnd"/>
            <w:r w:rsidRPr="005726EE">
              <w:rPr>
                <w:rFonts w:ascii="楷体" w:eastAsia="楷体" w:hAnsi="楷体" w:hint="eastAsia"/>
                <w:bCs/>
                <w:sz w:val="18"/>
                <w:szCs w:val="18"/>
              </w:rPr>
              <w:t>-涨停板1号</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广东泽泉投资管理有限公司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1.4496 </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28.99%</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3</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proofErr w:type="gramStart"/>
            <w:r w:rsidRPr="005726EE">
              <w:rPr>
                <w:rFonts w:ascii="楷体" w:eastAsia="楷体" w:hAnsi="楷体" w:hint="eastAsia"/>
                <w:bCs/>
                <w:sz w:val="18"/>
                <w:szCs w:val="18"/>
              </w:rPr>
              <w:t>中融</w:t>
            </w:r>
            <w:proofErr w:type="gramEnd"/>
            <w:r w:rsidRPr="005726EE">
              <w:rPr>
                <w:rFonts w:ascii="楷体" w:eastAsia="楷体" w:hAnsi="楷体" w:hint="eastAsia"/>
                <w:bCs/>
                <w:sz w:val="18"/>
                <w:szCs w:val="18"/>
              </w:rPr>
              <w:t>-金河新价值成长一期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浙江金河投资开发有限公司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0.8483 </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17.97%</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13</w:t>
            </w:r>
          </w:p>
        </w:tc>
      </w:tr>
      <w:tr w:rsidR="00BB0CE0" w:rsidRPr="005726EE" w:rsidTr="003C3053">
        <w:trPr>
          <w:cantSplit/>
          <w:trHeight w:val="454"/>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proofErr w:type="gramStart"/>
            <w:r w:rsidRPr="005726EE">
              <w:rPr>
                <w:rFonts w:ascii="楷体" w:eastAsia="楷体" w:hAnsi="楷体" w:hint="eastAsia"/>
                <w:bCs/>
                <w:sz w:val="18"/>
                <w:szCs w:val="18"/>
              </w:rPr>
              <w:lastRenderedPageBreak/>
              <w:t>中融-鑫柏源</w:t>
            </w:r>
            <w:proofErr w:type="gramEnd"/>
            <w:r w:rsidRPr="005726EE">
              <w:rPr>
                <w:rFonts w:ascii="楷体" w:eastAsia="楷体" w:hAnsi="楷体" w:hint="eastAsia"/>
                <w:bCs/>
                <w:sz w:val="18"/>
                <w:szCs w:val="18"/>
              </w:rPr>
              <w:t>1号</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上海鑫柏源投资管理有限公司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1.2999 </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22.19%</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4</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华润信托</w:t>
            </w:r>
            <w:r w:rsidRPr="005726EE">
              <w:rPr>
                <w:rFonts w:ascii="楷体" w:hAnsi="楷体" w:hint="eastAsia"/>
                <w:bCs/>
                <w:sz w:val="18"/>
                <w:szCs w:val="18"/>
              </w:rPr>
              <w:t>•</w:t>
            </w:r>
            <w:r w:rsidRPr="005726EE">
              <w:rPr>
                <w:rFonts w:ascii="楷体" w:eastAsia="楷体" w:hAnsi="楷体" w:hint="eastAsia"/>
                <w:bCs/>
                <w:sz w:val="18"/>
                <w:szCs w:val="18"/>
              </w:rPr>
              <w:t>尚雅14期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103.56 </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17.82%</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14</w:t>
            </w:r>
          </w:p>
        </w:tc>
      </w:tr>
      <w:tr w:rsidR="00BB0CE0" w:rsidRPr="005726EE" w:rsidTr="003C3053">
        <w:trPr>
          <w:cantSplit/>
          <w:trHeight w:val="454"/>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深国投</w:t>
            </w:r>
            <w:r w:rsidRPr="005726EE">
              <w:rPr>
                <w:rFonts w:ascii="楷体" w:hAnsi="楷体" w:hint="eastAsia"/>
                <w:bCs/>
                <w:sz w:val="18"/>
                <w:szCs w:val="18"/>
              </w:rPr>
              <w:t>•</w:t>
            </w:r>
            <w:r w:rsidRPr="005726EE">
              <w:rPr>
                <w:rFonts w:ascii="楷体" w:eastAsia="楷体" w:hAnsi="楷体" w:hint="eastAsia"/>
                <w:bCs/>
                <w:sz w:val="18"/>
                <w:szCs w:val="18"/>
              </w:rPr>
              <w:t>尚雅7期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129.66 </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20.59%</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5</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深国投</w:t>
            </w:r>
            <w:r w:rsidRPr="005726EE">
              <w:rPr>
                <w:rFonts w:ascii="楷体" w:hAnsi="楷体" w:hint="eastAsia"/>
                <w:bCs/>
                <w:sz w:val="18"/>
                <w:szCs w:val="18"/>
              </w:rPr>
              <w:t>•</w:t>
            </w:r>
            <w:proofErr w:type="gramStart"/>
            <w:r w:rsidRPr="005726EE">
              <w:rPr>
                <w:rFonts w:ascii="楷体" w:eastAsia="楷体" w:hAnsi="楷体" w:hint="eastAsia"/>
                <w:bCs/>
                <w:sz w:val="18"/>
                <w:szCs w:val="18"/>
              </w:rPr>
              <w:t>鑫</w:t>
            </w:r>
            <w:proofErr w:type="gramEnd"/>
            <w:r w:rsidRPr="005726EE">
              <w:rPr>
                <w:rFonts w:ascii="楷体" w:eastAsia="楷体" w:hAnsi="楷体" w:hint="eastAsia"/>
                <w:bCs/>
                <w:sz w:val="18"/>
                <w:szCs w:val="18"/>
              </w:rPr>
              <w:t>鹏1期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陕西</w:t>
            </w:r>
            <w:proofErr w:type="gramStart"/>
            <w:r w:rsidRPr="005726EE">
              <w:rPr>
                <w:rFonts w:ascii="楷体" w:eastAsia="楷体" w:hAnsi="楷体" w:hint="eastAsia"/>
                <w:bCs/>
                <w:sz w:val="18"/>
                <w:szCs w:val="18"/>
              </w:rPr>
              <w:t>鑫</w:t>
            </w:r>
            <w:proofErr w:type="gramEnd"/>
            <w:r w:rsidRPr="005726EE">
              <w:rPr>
                <w:rFonts w:ascii="楷体" w:eastAsia="楷体" w:hAnsi="楷体" w:hint="eastAsia"/>
                <w:bCs/>
                <w:sz w:val="18"/>
                <w:szCs w:val="18"/>
              </w:rPr>
              <w:t>鹏投资管理顾问有限公司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22.12 </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17.35%</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15</w:t>
            </w:r>
          </w:p>
        </w:tc>
      </w:tr>
      <w:tr w:rsidR="00BB0CE0" w:rsidRPr="005726EE" w:rsidTr="003C3053">
        <w:trPr>
          <w:cantSplit/>
          <w:trHeight w:val="454"/>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深国投</w:t>
            </w:r>
            <w:r w:rsidRPr="005726EE">
              <w:rPr>
                <w:rFonts w:ascii="楷体" w:hAnsi="楷体" w:hint="eastAsia"/>
                <w:bCs/>
                <w:sz w:val="18"/>
                <w:szCs w:val="18"/>
              </w:rPr>
              <w:t>•</w:t>
            </w:r>
            <w:r w:rsidRPr="005726EE">
              <w:rPr>
                <w:rFonts w:ascii="楷体" w:eastAsia="楷体" w:hAnsi="楷体" w:hint="eastAsia"/>
                <w:bCs/>
                <w:sz w:val="18"/>
                <w:szCs w:val="18"/>
              </w:rPr>
              <w:t>尚雅2期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148.47 </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20.23%</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6</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proofErr w:type="gramStart"/>
            <w:r w:rsidRPr="005726EE">
              <w:rPr>
                <w:rFonts w:ascii="楷体" w:eastAsia="楷体" w:hAnsi="楷体" w:hint="eastAsia"/>
                <w:bCs/>
                <w:sz w:val="18"/>
                <w:szCs w:val="18"/>
              </w:rPr>
              <w:t>中融-谦石</w:t>
            </w:r>
            <w:proofErr w:type="gramEnd"/>
            <w:r w:rsidRPr="005726EE">
              <w:rPr>
                <w:rFonts w:ascii="楷体" w:eastAsia="楷体" w:hAnsi="楷体" w:hint="eastAsia"/>
                <w:bCs/>
                <w:sz w:val="18"/>
                <w:szCs w:val="18"/>
              </w:rPr>
              <w:t>1号</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上海谦石投资管理有限公司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1.4053 </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16.57%</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16</w:t>
            </w:r>
          </w:p>
        </w:tc>
      </w:tr>
      <w:tr w:rsidR="00BB0CE0" w:rsidRPr="005726EE" w:rsidTr="003C3053">
        <w:trPr>
          <w:cantSplit/>
          <w:trHeight w:val="454"/>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深国投</w:t>
            </w:r>
            <w:r w:rsidRPr="005726EE">
              <w:rPr>
                <w:rFonts w:ascii="楷体" w:hAnsi="楷体" w:hint="eastAsia"/>
                <w:bCs/>
                <w:sz w:val="18"/>
                <w:szCs w:val="18"/>
              </w:rPr>
              <w:t>•</w:t>
            </w:r>
            <w:r w:rsidRPr="005726EE">
              <w:rPr>
                <w:rFonts w:ascii="楷体" w:eastAsia="楷体" w:hAnsi="楷体" w:hint="eastAsia"/>
                <w:bCs/>
                <w:sz w:val="18"/>
                <w:szCs w:val="18"/>
              </w:rPr>
              <w:t>尚雅6期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129.64 </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18.83%</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7</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华润信托</w:t>
            </w:r>
            <w:r w:rsidRPr="005726EE">
              <w:rPr>
                <w:rFonts w:ascii="楷体" w:hAnsi="楷体" w:hint="eastAsia"/>
                <w:bCs/>
                <w:sz w:val="18"/>
                <w:szCs w:val="18"/>
              </w:rPr>
              <w:t>•</w:t>
            </w:r>
            <w:r w:rsidRPr="005726EE">
              <w:rPr>
                <w:rFonts w:ascii="楷体" w:eastAsia="楷体" w:hAnsi="楷体" w:hint="eastAsia"/>
                <w:bCs/>
                <w:sz w:val="18"/>
                <w:szCs w:val="18"/>
              </w:rPr>
              <w:t>尚雅11期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125.93 </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15.67%</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17</w:t>
            </w:r>
          </w:p>
        </w:tc>
      </w:tr>
      <w:tr w:rsidR="00BB0CE0" w:rsidRPr="005726EE" w:rsidTr="003C3053">
        <w:trPr>
          <w:cantSplit/>
          <w:trHeight w:val="454"/>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深国投</w:t>
            </w:r>
            <w:r w:rsidRPr="005726EE">
              <w:rPr>
                <w:rFonts w:ascii="楷体" w:hAnsi="楷体" w:hint="eastAsia"/>
                <w:bCs/>
                <w:sz w:val="18"/>
                <w:szCs w:val="18"/>
              </w:rPr>
              <w:t>•</w:t>
            </w:r>
            <w:r w:rsidRPr="005726EE">
              <w:rPr>
                <w:rFonts w:ascii="楷体" w:eastAsia="楷体" w:hAnsi="楷体" w:hint="eastAsia"/>
                <w:bCs/>
                <w:sz w:val="18"/>
                <w:szCs w:val="18"/>
              </w:rPr>
              <w:t>尚雅4期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160.79 </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18.18%</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8</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proofErr w:type="gramStart"/>
            <w:r w:rsidRPr="005726EE">
              <w:rPr>
                <w:rFonts w:ascii="楷体" w:eastAsia="楷体" w:hAnsi="楷体" w:hint="eastAsia"/>
                <w:bCs/>
                <w:sz w:val="18"/>
                <w:szCs w:val="18"/>
              </w:rPr>
              <w:t>云国投</w:t>
            </w:r>
            <w:proofErr w:type="gramEnd"/>
            <w:r w:rsidRPr="005726EE">
              <w:rPr>
                <w:rFonts w:ascii="楷体" w:eastAsia="楷体" w:hAnsi="楷体" w:hint="eastAsia"/>
                <w:bCs/>
                <w:sz w:val="18"/>
                <w:szCs w:val="18"/>
              </w:rPr>
              <w:t>-中汇金凯户外俱乐部1号</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上海中汇金凯资产管理有限公司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1.1749 </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15.40%</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18</w:t>
            </w:r>
          </w:p>
        </w:tc>
      </w:tr>
      <w:tr w:rsidR="00BB0CE0" w:rsidRPr="005726EE" w:rsidTr="003C3053">
        <w:trPr>
          <w:cantSplit/>
          <w:trHeight w:val="454"/>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有限合伙-</w:t>
            </w:r>
            <w:proofErr w:type="gramStart"/>
            <w:r w:rsidRPr="005726EE">
              <w:rPr>
                <w:rFonts w:ascii="楷体" w:eastAsia="楷体" w:hAnsi="楷体" w:hint="eastAsia"/>
                <w:bCs/>
                <w:sz w:val="18"/>
                <w:szCs w:val="18"/>
              </w:rPr>
              <w:t>双隆量化</w:t>
            </w:r>
            <w:proofErr w:type="gramEnd"/>
            <w:r w:rsidRPr="005726EE">
              <w:rPr>
                <w:rFonts w:ascii="楷体" w:eastAsia="楷体" w:hAnsi="楷体" w:hint="eastAsia"/>
                <w:bCs/>
                <w:sz w:val="18"/>
                <w:szCs w:val="18"/>
              </w:rPr>
              <w:t>基金1期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上海双隆投资有限公司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股票对冲策略-市场中性策略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0.9917 </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18.07%</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9</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华润信托</w:t>
            </w:r>
            <w:r w:rsidRPr="005726EE">
              <w:rPr>
                <w:rFonts w:ascii="楷体" w:hAnsi="楷体" w:hint="eastAsia"/>
                <w:bCs/>
                <w:sz w:val="18"/>
                <w:szCs w:val="18"/>
              </w:rPr>
              <w:t>•</w:t>
            </w:r>
            <w:r w:rsidRPr="005726EE">
              <w:rPr>
                <w:rFonts w:ascii="楷体" w:eastAsia="楷体" w:hAnsi="楷体" w:hint="eastAsia"/>
                <w:bCs/>
                <w:sz w:val="18"/>
                <w:szCs w:val="18"/>
              </w:rPr>
              <w:t>尚雅8期</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99.28 </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14.76%</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19</w:t>
            </w:r>
          </w:p>
        </w:tc>
      </w:tr>
      <w:tr w:rsidR="00BB0CE0" w:rsidRPr="005726EE" w:rsidTr="003C3053">
        <w:trPr>
          <w:cantSplit/>
          <w:trHeight w:val="454"/>
        </w:trPr>
        <w:tc>
          <w:tcPr>
            <w:tcW w:w="1135" w:type="dxa"/>
            <w:tcBorders>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有限合伙-</w:t>
            </w:r>
            <w:proofErr w:type="gramStart"/>
            <w:r w:rsidRPr="005726EE">
              <w:rPr>
                <w:rFonts w:ascii="楷体" w:eastAsia="楷体" w:hAnsi="楷体" w:hint="eastAsia"/>
                <w:bCs/>
                <w:sz w:val="18"/>
                <w:szCs w:val="18"/>
              </w:rPr>
              <w:t>双隆量化</w:t>
            </w:r>
            <w:proofErr w:type="gramEnd"/>
            <w:r w:rsidRPr="005726EE">
              <w:rPr>
                <w:rFonts w:ascii="楷体" w:eastAsia="楷体" w:hAnsi="楷体" w:hint="eastAsia"/>
                <w:bCs/>
                <w:sz w:val="18"/>
                <w:szCs w:val="18"/>
              </w:rPr>
              <w:t>基金</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上海双隆投资有限公司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股票对冲策略-市场中性策略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0.9917 </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18.07%</w:t>
            </w:r>
          </w:p>
        </w:tc>
        <w:tc>
          <w:tcPr>
            <w:tcW w:w="283" w:type="dxa"/>
            <w:tcBorders>
              <w:left w:val="single" w:sz="6" w:space="0" w:color="FF6600"/>
              <w:righ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10</w:t>
            </w:r>
          </w:p>
        </w:tc>
        <w:tc>
          <w:tcPr>
            <w:tcW w:w="1134" w:type="dxa"/>
            <w:tcBorders>
              <w:left w:val="single" w:sz="6" w:space="0" w:color="FF6600"/>
              <w:right w:val="single" w:sz="6" w:space="0" w:color="FF6600"/>
            </w:tcBorders>
            <w:shd w:val="clear" w:color="auto" w:fill="FDE9D9" w:themeFill="accent6" w:themeFillTint="33"/>
            <w:vAlign w:val="center"/>
          </w:tcPr>
          <w:p w:rsidR="00BB0CE0" w:rsidRPr="005726EE" w:rsidRDefault="00BB0CE0" w:rsidP="003C3053">
            <w:pPr>
              <w:jc w:val="center"/>
              <w:rPr>
                <w:rFonts w:ascii="楷体" w:eastAsia="楷体" w:hAnsi="楷体" w:cs="宋体"/>
                <w:bCs/>
                <w:sz w:val="18"/>
                <w:szCs w:val="18"/>
              </w:rPr>
            </w:pPr>
            <w:proofErr w:type="gramStart"/>
            <w:r w:rsidRPr="005726EE">
              <w:rPr>
                <w:rFonts w:ascii="楷体" w:eastAsia="楷体" w:hAnsi="楷体" w:hint="eastAsia"/>
                <w:bCs/>
                <w:sz w:val="18"/>
                <w:szCs w:val="18"/>
              </w:rPr>
              <w:t>中融-泽泉</w:t>
            </w:r>
            <w:proofErr w:type="gramEnd"/>
            <w:r w:rsidRPr="005726EE">
              <w:rPr>
                <w:rFonts w:ascii="楷体" w:eastAsia="楷体" w:hAnsi="楷体" w:hint="eastAsia"/>
                <w:bCs/>
                <w:sz w:val="18"/>
                <w:szCs w:val="18"/>
              </w:rPr>
              <w:t>财富管家1号</w:t>
            </w:r>
          </w:p>
        </w:tc>
        <w:tc>
          <w:tcPr>
            <w:tcW w:w="1134"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广东泽泉投资管理有限公司</w:t>
            </w:r>
          </w:p>
        </w:tc>
        <w:tc>
          <w:tcPr>
            <w:tcW w:w="851"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bCs/>
                <w:sz w:val="18"/>
                <w:szCs w:val="18"/>
              </w:rPr>
            </w:pPr>
            <w:r w:rsidRPr="005726EE">
              <w:rPr>
                <w:rFonts w:ascii="楷体" w:eastAsia="楷体" w:hAnsi="楷体"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 xml:space="preserve">1.1849 </w:t>
            </w:r>
          </w:p>
        </w:tc>
        <w:tc>
          <w:tcPr>
            <w:tcW w:w="850" w:type="dxa"/>
            <w:tcBorders>
              <w:left w:val="single" w:sz="6" w:space="0" w:color="FF6600"/>
              <w:right w:val="single" w:sz="6" w:space="0" w:color="FF6600"/>
            </w:tcBorders>
            <w:shd w:val="clear" w:color="auto" w:fill="auto"/>
            <w:vAlign w:val="center"/>
          </w:tcPr>
          <w:p w:rsidR="00BB0CE0" w:rsidRPr="005726EE" w:rsidRDefault="00BB0CE0" w:rsidP="003C3053">
            <w:pPr>
              <w:jc w:val="center"/>
              <w:rPr>
                <w:rFonts w:ascii="楷体" w:eastAsia="楷体" w:hAnsi="楷体" w:cs="宋体"/>
                <w:sz w:val="18"/>
                <w:szCs w:val="18"/>
              </w:rPr>
            </w:pPr>
            <w:r w:rsidRPr="005726EE">
              <w:rPr>
                <w:rFonts w:ascii="楷体" w:eastAsia="楷体" w:hAnsi="楷体" w:hint="eastAsia"/>
                <w:sz w:val="18"/>
                <w:szCs w:val="18"/>
              </w:rPr>
              <w:t>14.67%</w:t>
            </w:r>
          </w:p>
        </w:tc>
        <w:tc>
          <w:tcPr>
            <w:tcW w:w="284" w:type="dxa"/>
            <w:tcBorders>
              <w:left w:val="single" w:sz="6" w:space="0" w:color="FF6600"/>
            </w:tcBorders>
            <w:shd w:val="clear" w:color="auto" w:fill="auto"/>
            <w:vAlign w:val="center"/>
          </w:tcPr>
          <w:p w:rsidR="00BB0CE0" w:rsidRPr="005726EE" w:rsidRDefault="00BB0CE0" w:rsidP="003C3053">
            <w:pPr>
              <w:snapToGrid w:val="0"/>
              <w:jc w:val="center"/>
              <w:rPr>
                <w:rFonts w:ascii="楷体" w:eastAsia="楷体" w:hAnsi="楷体"/>
                <w:sz w:val="18"/>
                <w:szCs w:val="18"/>
              </w:rPr>
            </w:pPr>
            <w:r w:rsidRPr="005726EE">
              <w:rPr>
                <w:rFonts w:ascii="楷体" w:eastAsia="楷体" w:hAnsi="楷体" w:hint="eastAsia"/>
                <w:sz w:val="18"/>
                <w:szCs w:val="18"/>
              </w:rPr>
              <w:t>20</w:t>
            </w:r>
          </w:p>
        </w:tc>
      </w:tr>
    </w:tbl>
    <w:p w:rsidR="00BB0CE0" w:rsidRPr="005726EE" w:rsidRDefault="00BB0CE0" w:rsidP="00BB0CE0">
      <w:pPr>
        <w:pStyle w:val="FootnoteNoline"/>
        <w:ind w:left="0"/>
        <w:rPr>
          <w:rFonts w:ascii="楷体" w:eastAsia="楷体" w:hAnsi="楷体"/>
          <w:color w:val="FF6600"/>
          <w:lang w:val="en-US"/>
        </w:rPr>
      </w:pPr>
      <w:r w:rsidRPr="005726EE">
        <w:rPr>
          <w:rFonts w:ascii="楷体" w:eastAsia="楷体" w:hAnsi="楷体" w:hint="eastAsia"/>
          <w:color w:val="FF6600"/>
          <w:lang w:val="en-US"/>
        </w:rPr>
        <w:t>来源：</w:t>
      </w:r>
      <w:proofErr w:type="gramStart"/>
      <w:r w:rsidRPr="005726EE">
        <w:rPr>
          <w:rFonts w:ascii="楷体" w:eastAsia="楷体" w:hAnsi="楷体" w:hint="eastAsia"/>
          <w:color w:val="FF6600"/>
          <w:lang w:val="en-US"/>
        </w:rPr>
        <w:t>凯</w:t>
      </w:r>
      <w:proofErr w:type="gramEnd"/>
      <w:r w:rsidRPr="005726EE">
        <w:rPr>
          <w:rFonts w:ascii="楷体" w:eastAsia="楷体" w:hAnsi="楷体" w:hint="eastAsia"/>
          <w:color w:val="FF6600"/>
          <w:lang w:val="en-US"/>
        </w:rPr>
        <w:t>石财富工场</w:t>
      </w:r>
    </w:p>
    <w:p w:rsidR="00BB0CE0" w:rsidRPr="005726EE" w:rsidRDefault="00BB0CE0" w:rsidP="00BB0CE0">
      <w:pPr>
        <w:widowControl/>
        <w:spacing w:after="120"/>
        <w:ind w:left="3430"/>
        <w:rPr>
          <w:rFonts w:ascii="楷体" w:eastAsia="楷体" w:hAnsi="楷体"/>
          <w:b/>
          <w:bCs/>
          <w:color w:val="0070C0"/>
          <w:kern w:val="0"/>
          <w:sz w:val="24"/>
          <w:szCs w:val="20"/>
          <w:lang w:val="en-GB"/>
        </w:rPr>
      </w:pPr>
      <w:r w:rsidRPr="005726EE">
        <w:rPr>
          <w:rFonts w:ascii="楷体" w:eastAsia="楷体" w:hAnsi="楷体" w:hint="eastAsia"/>
          <w:b/>
          <w:bCs/>
          <w:color w:val="0070C0"/>
          <w:kern w:val="0"/>
          <w:sz w:val="24"/>
          <w:szCs w:val="20"/>
          <w:lang w:val="en-GB"/>
        </w:rPr>
        <w:t>四、对冲基金</w:t>
      </w:r>
      <w:r>
        <w:rPr>
          <w:rFonts w:ascii="楷体" w:eastAsia="楷体" w:hAnsi="楷体" w:hint="eastAsia"/>
          <w:b/>
          <w:bCs/>
          <w:color w:val="0070C0"/>
          <w:kern w:val="0"/>
          <w:sz w:val="24"/>
          <w:szCs w:val="20"/>
          <w:lang w:val="en-GB"/>
        </w:rPr>
        <w:t>阶段</w:t>
      </w:r>
      <w:r w:rsidRPr="005726EE">
        <w:rPr>
          <w:rFonts w:ascii="楷体" w:eastAsia="楷体" w:hAnsi="楷体" w:hint="eastAsia"/>
          <w:b/>
          <w:bCs/>
          <w:color w:val="0070C0"/>
          <w:kern w:val="0"/>
          <w:sz w:val="24"/>
          <w:szCs w:val="20"/>
          <w:lang w:val="en-GB"/>
        </w:rPr>
        <w:t>策略</w:t>
      </w:r>
    </w:p>
    <w:p w:rsidR="00BB0CE0" w:rsidRPr="005726EE" w:rsidRDefault="00BB0CE0" w:rsidP="00BB0CE0">
      <w:pPr>
        <w:widowControl/>
        <w:spacing w:after="120"/>
        <w:ind w:left="3430"/>
        <w:rPr>
          <w:rFonts w:ascii="楷体" w:eastAsia="楷体" w:hAnsi="楷体" w:cs="宋体"/>
          <w:b/>
          <w:bCs/>
          <w:color w:val="0070C0"/>
          <w:kern w:val="0"/>
          <w:szCs w:val="21"/>
          <w:lang w:val="en-GB"/>
        </w:rPr>
      </w:pPr>
      <w:r w:rsidRPr="005726EE">
        <w:rPr>
          <w:rFonts w:ascii="楷体" w:eastAsia="楷体" w:hAnsi="楷体" w:cs="宋体" w:hint="eastAsia"/>
          <w:b/>
          <w:bCs/>
          <w:color w:val="0070C0"/>
          <w:kern w:val="0"/>
          <w:szCs w:val="21"/>
          <w:lang w:val="en-GB"/>
        </w:rPr>
        <w:t>采取适当防御策略，把握主题机会</w:t>
      </w:r>
    </w:p>
    <w:p w:rsidR="00BB0CE0" w:rsidRPr="005726EE" w:rsidRDefault="00BB0CE0" w:rsidP="00BB0CE0">
      <w:pPr>
        <w:pStyle w:val="ab"/>
        <w:numPr>
          <w:ilvl w:val="4"/>
          <w:numId w:val="1"/>
        </w:numPr>
        <w:spacing w:after="163"/>
        <w:rPr>
          <w:rFonts w:ascii="楷体" w:eastAsia="楷体" w:hAnsi="楷体"/>
          <w:color w:val="auto"/>
        </w:rPr>
      </w:pPr>
      <w:r w:rsidRPr="005726EE">
        <w:rPr>
          <w:rFonts w:ascii="楷体" w:eastAsia="楷体" w:hAnsi="楷体" w:hint="eastAsia"/>
          <w:color w:val="auto"/>
        </w:rPr>
        <w:t>现阶段</w:t>
      </w:r>
      <w:r w:rsidRPr="005726EE">
        <w:rPr>
          <w:rFonts w:ascii="楷体" w:eastAsia="楷体" w:hAnsi="楷体" w:cs="宋体" w:hint="eastAsia"/>
          <w:color w:val="auto"/>
        </w:rPr>
        <w:t>经济疲软态势加剧，</w:t>
      </w:r>
      <w:r w:rsidRPr="005726EE">
        <w:rPr>
          <w:rFonts w:ascii="楷体" w:eastAsia="楷体" w:hAnsi="楷体" w:hint="eastAsia"/>
          <w:color w:val="auto"/>
        </w:rPr>
        <w:t>A</w:t>
      </w:r>
      <w:r w:rsidRPr="005726EE">
        <w:rPr>
          <w:rFonts w:ascii="楷体" w:eastAsia="楷体" w:hAnsi="楷体" w:cs="宋体" w:hint="eastAsia"/>
          <w:color w:val="auto"/>
        </w:rPr>
        <w:t>股市</w:t>
      </w:r>
      <w:proofErr w:type="gramStart"/>
      <w:r w:rsidRPr="005726EE">
        <w:rPr>
          <w:rFonts w:ascii="楷体" w:eastAsia="楷体" w:hAnsi="楷体" w:cs="宋体" w:hint="eastAsia"/>
          <w:color w:val="auto"/>
        </w:rPr>
        <w:t>场市场</w:t>
      </w:r>
      <w:proofErr w:type="gramEnd"/>
      <w:r w:rsidRPr="005726EE">
        <w:rPr>
          <w:rFonts w:ascii="楷体" w:eastAsia="楷体" w:hAnsi="楷体" w:cs="宋体" w:hint="eastAsia"/>
          <w:color w:val="auto"/>
        </w:rPr>
        <w:t>面临着经济弱势与改革推进的双向作用，结构性投资机会预计仍将持续。同时，需要对前期疯狂的中小盘股票保持警惕，过高的估值水平在意外事件的冲击下不稳定性加强，获利丰厚投资者的兑现行为可能会放大波动的幅度。另一方面，中石化、格力电器等拉开了国企改革的大幕，“后两会”时期成为推进国企改革进程的重要时点，预计短期内与之相关的石油化工、电信、电力、汽车、化工、机械设备、医药生物等多个板块及个股将产生一定投资机会，涉足相关领域的主题风格基金值得重点关注。</w:t>
      </w:r>
    </w:p>
    <w:p w:rsidR="00BB0CE0" w:rsidRPr="005726EE" w:rsidRDefault="00BB0CE0" w:rsidP="00BB0CE0">
      <w:pPr>
        <w:pStyle w:val="ab"/>
        <w:numPr>
          <w:ilvl w:val="4"/>
          <w:numId w:val="1"/>
        </w:numPr>
        <w:spacing w:after="163"/>
        <w:rPr>
          <w:rFonts w:ascii="楷体" w:eastAsia="楷体" w:hAnsi="楷体"/>
          <w:color w:val="auto"/>
        </w:rPr>
      </w:pPr>
      <w:r w:rsidRPr="005726EE">
        <w:rPr>
          <w:rFonts w:ascii="楷体" w:eastAsia="楷体" w:hAnsi="楷体" w:hint="eastAsia"/>
          <w:szCs w:val="21"/>
        </w:rPr>
        <w:t>综上，</w:t>
      </w:r>
      <w:r w:rsidRPr="00E24B58">
        <w:rPr>
          <w:rFonts w:ascii="楷体" w:eastAsia="楷体" w:hAnsi="楷体" w:hint="eastAsia"/>
          <w:szCs w:val="21"/>
        </w:rPr>
        <w:t>对于现阶段对冲基金的投资策略，</w:t>
      </w:r>
      <w:proofErr w:type="gramStart"/>
      <w:r w:rsidRPr="00E24B58">
        <w:rPr>
          <w:rFonts w:ascii="楷体" w:eastAsia="楷体" w:hAnsi="楷体" w:hint="eastAsia"/>
          <w:szCs w:val="21"/>
        </w:rPr>
        <w:t>凯石工场认为</w:t>
      </w:r>
      <w:proofErr w:type="gramEnd"/>
      <w:r w:rsidRPr="00E24B58">
        <w:rPr>
          <w:rFonts w:ascii="楷体" w:eastAsia="楷体" w:hAnsi="楷体" w:hint="eastAsia"/>
          <w:szCs w:val="21"/>
        </w:rPr>
        <w:t>国内经济下滑预期不断强化，在热钱加速流出以及央行“有限”放松下，市场流动性紧缩效果已经开始显现，建议采取适当防御的操作策略，可通过投资组合策略多元化而有效分散风险，或增配风险等级较低的产品如朱雀、精熙、</w:t>
      </w:r>
      <w:proofErr w:type="gramStart"/>
      <w:r w:rsidRPr="00E24B58">
        <w:rPr>
          <w:rFonts w:ascii="楷体" w:eastAsia="楷体" w:hAnsi="楷体" w:hint="eastAsia"/>
          <w:szCs w:val="21"/>
        </w:rPr>
        <w:t>毅扬等</w:t>
      </w:r>
      <w:proofErr w:type="gramEnd"/>
      <w:r w:rsidRPr="00E24B58">
        <w:rPr>
          <w:rFonts w:ascii="楷体" w:eastAsia="楷体" w:hAnsi="楷体" w:hint="eastAsia"/>
          <w:szCs w:val="21"/>
        </w:rPr>
        <w:t>，以及择时能力强的</w:t>
      </w:r>
      <w:r w:rsidRPr="005726EE">
        <w:rPr>
          <w:rFonts w:ascii="楷体" w:eastAsia="楷体" w:hAnsi="楷体" w:hint="eastAsia"/>
          <w:szCs w:val="21"/>
        </w:rPr>
        <w:t>泽熙</w:t>
      </w:r>
      <w:r>
        <w:rPr>
          <w:rFonts w:ascii="楷体" w:eastAsia="楷体" w:hAnsi="楷体" w:hint="eastAsia"/>
          <w:szCs w:val="21"/>
        </w:rPr>
        <w:t>、</w:t>
      </w:r>
      <w:r w:rsidRPr="00E24B58">
        <w:rPr>
          <w:rFonts w:ascii="楷体" w:eastAsia="楷体" w:hAnsi="楷体" w:hint="eastAsia"/>
          <w:szCs w:val="21"/>
        </w:rPr>
        <w:t>展博、理成、博</w:t>
      </w:r>
      <w:proofErr w:type="gramStart"/>
      <w:r w:rsidRPr="00E24B58">
        <w:rPr>
          <w:rFonts w:ascii="楷体" w:eastAsia="楷体" w:hAnsi="楷体" w:hint="eastAsia"/>
          <w:szCs w:val="21"/>
        </w:rPr>
        <w:t>颐</w:t>
      </w:r>
      <w:proofErr w:type="gramEnd"/>
      <w:r w:rsidRPr="00E24B58">
        <w:rPr>
          <w:rFonts w:ascii="楷体" w:eastAsia="楷体" w:hAnsi="楷体" w:hint="eastAsia"/>
          <w:szCs w:val="21"/>
        </w:rPr>
        <w:t>等。</w:t>
      </w:r>
      <w:proofErr w:type="gramStart"/>
      <w:r w:rsidRPr="00E24B58">
        <w:rPr>
          <w:rFonts w:ascii="楷体" w:eastAsia="楷体" w:hAnsi="楷体" w:hint="eastAsia"/>
          <w:szCs w:val="21"/>
        </w:rPr>
        <w:t>进攻端可通过</w:t>
      </w:r>
      <w:proofErr w:type="gramEnd"/>
      <w:r w:rsidRPr="00E24B58">
        <w:rPr>
          <w:rFonts w:ascii="楷体" w:eastAsia="楷体" w:hAnsi="楷体" w:hint="eastAsia"/>
          <w:szCs w:val="21"/>
        </w:rPr>
        <w:t>择时、主题机会等攫取超额收益</w:t>
      </w:r>
      <w:r>
        <w:rPr>
          <w:rFonts w:ascii="楷体" w:eastAsia="楷体" w:hAnsi="楷体" w:hint="eastAsia"/>
          <w:szCs w:val="21"/>
        </w:rPr>
        <w:t>。</w:t>
      </w:r>
      <w:proofErr w:type="gramStart"/>
      <w:r>
        <w:rPr>
          <w:rFonts w:ascii="楷体" w:eastAsia="楷体" w:hAnsi="楷体" w:hint="eastAsia"/>
          <w:szCs w:val="21"/>
        </w:rPr>
        <w:t>重点投顾</w:t>
      </w:r>
      <w:r w:rsidRPr="00E24B58">
        <w:rPr>
          <w:rFonts w:ascii="楷体" w:eastAsia="楷体" w:hAnsi="楷体" w:hint="eastAsia"/>
          <w:szCs w:val="21"/>
        </w:rPr>
        <w:t>推荐</w:t>
      </w:r>
      <w:proofErr w:type="gramEnd"/>
      <w:r w:rsidRPr="00E24B58">
        <w:rPr>
          <w:rFonts w:ascii="楷体" w:eastAsia="楷体" w:hAnsi="楷体" w:hint="eastAsia"/>
          <w:szCs w:val="21"/>
        </w:rPr>
        <w:t>泽熙、</w:t>
      </w:r>
      <w:r>
        <w:rPr>
          <w:rFonts w:ascii="楷体" w:eastAsia="楷体" w:hAnsi="楷体" w:hint="eastAsia"/>
          <w:szCs w:val="21"/>
        </w:rPr>
        <w:t>展博、</w:t>
      </w:r>
      <w:r w:rsidRPr="00E24B58">
        <w:rPr>
          <w:rFonts w:ascii="楷体" w:eastAsia="楷体" w:hAnsi="楷体" w:hint="eastAsia"/>
          <w:szCs w:val="21"/>
        </w:rPr>
        <w:t>博</w:t>
      </w:r>
      <w:proofErr w:type="gramStart"/>
      <w:r w:rsidRPr="00E24B58">
        <w:rPr>
          <w:rFonts w:ascii="楷体" w:eastAsia="楷体" w:hAnsi="楷体" w:hint="eastAsia"/>
          <w:szCs w:val="21"/>
        </w:rPr>
        <w:t>颐</w:t>
      </w:r>
      <w:proofErr w:type="gramEnd"/>
      <w:r w:rsidRPr="00E24B58">
        <w:rPr>
          <w:rFonts w:ascii="楷体" w:eastAsia="楷体" w:hAnsi="楷体" w:hint="eastAsia"/>
          <w:szCs w:val="21"/>
        </w:rPr>
        <w:t>、尚雅、淡水泉、</w:t>
      </w:r>
      <w:proofErr w:type="gramStart"/>
      <w:r w:rsidRPr="00E24B58">
        <w:rPr>
          <w:rFonts w:ascii="楷体" w:eastAsia="楷体" w:hAnsi="楷体" w:hint="eastAsia"/>
          <w:szCs w:val="21"/>
        </w:rPr>
        <w:t>鼎诺等</w:t>
      </w:r>
      <w:proofErr w:type="gramEnd"/>
      <w:r w:rsidRPr="00E24B58">
        <w:rPr>
          <w:rFonts w:ascii="楷体" w:eastAsia="楷体" w:hAnsi="楷体" w:hint="eastAsia"/>
          <w:szCs w:val="21"/>
        </w:rPr>
        <w:t>管理人的产品。</w:t>
      </w:r>
    </w:p>
    <w:p w:rsidR="00BB0CE0" w:rsidRPr="005726EE" w:rsidRDefault="00BB0CE0" w:rsidP="00BB0CE0">
      <w:pPr>
        <w:pStyle w:val="ab"/>
        <w:numPr>
          <w:ilvl w:val="0"/>
          <w:numId w:val="4"/>
        </w:numPr>
        <w:spacing w:after="163"/>
        <w:rPr>
          <w:rFonts w:ascii="楷体" w:eastAsia="楷体" w:hAnsi="楷体"/>
          <w:szCs w:val="21"/>
        </w:rPr>
      </w:pPr>
      <w:r w:rsidRPr="005726EE">
        <w:rPr>
          <w:rFonts w:ascii="楷体" w:eastAsia="楷体" w:hAnsi="楷体" w:hint="eastAsia"/>
          <w:szCs w:val="21"/>
        </w:rPr>
        <w:t>防御方面，可通过增配市场中性策略、相对价值策略等与A股市</w:t>
      </w:r>
      <w:proofErr w:type="gramStart"/>
      <w:r w:rsidRPr="005726EE">
        <w:rPr>
          <w:rFonts w:ascii="楷体" w:eastAsia="楷体" w:hAnsi="楷体" w:hint="eastAsia"/>
          <w:szCs w:val="21"/>
        </w:rPr>
        <w:t>场相关</w:t>
      </w:r>
      <w:proofErr w:type="gramEnd"/>
      <w:r w:rsidRPr="005726EE">
        <w:rPr>
          <w:rFonts w:ascii="楷体" w:eastAsia="楷体" w:hAnsi="楷体" w:hint="eastAsia"/>
          <w:szCs w:val="21"/>
        </w:rPr>
        <w:t>度较低品种，实现投资组合策略多元化从而有效分散风险，推荐产品包括中</w:t>
      </w:r>
      <w:proofErr w:type="gramStart"/>
      <w:r w:rsidRPr="005726EE">
        <w:rPr>
          <w:rFonts w:ascii="楷体" w:eastAsia="楷体" w:hAnsi="楷体" w:hint="eastAsia"/>
          <w:szCs w:val="21"/>
        </w:rPr>
        <w:t>信</w:t>
      </w:r>
      <w:proofErr w:type="gramEnd"/>
      <w:r w:rsidRPr="005726EE">
        <w:rPr>
          <w:rFonts w:ascii="楷体" w:eastAsia="楷体" w:hAnsi="楷体" w:hint="eastAsia"/>
          <w:szCs w:val="21"/>
        </w:rPr>
        <w:t>信托-</w:t>
      </w:r>
      <w:proofErr w:type="gramStart"/>
      <w:r w:rsidRPr="005726EE">
        <w:rPr>
          <w:rFonts w:ascii="楷体" w:eastAsia="楷体" w:hAnsi="楷体" w:hint="eastAsia"/>
          <w:szCs w:val="21"/>
        </w:rPr>
        <w:t>盈融达</w:t>
      </w:r>
      <w:proofErr w:type="gramEnd"/>
      <w:r w:rsidRPr="005726EE">
        <w:rPr>
          <w:rFonts w:ascii="楷体" w:eastAsia="楷体" w:hAnsi="楷体" w:hint="eastAsia"/>
          <w:szCs w:val="21"/>
        </w:rPr>
        <w:t>量化对冲1期、外贸信托-</w:t>
      </w:r>
      <w:proofErr w:type="gramStart"/>
      <w:r w:rsidRPr="005726EE">
        <w:rPr>
          <w:rFonts w:ascii="楷体" w:eastAsia="楷体" w:hAnsi="楷体" w:hint="eastAsia"/>
          <w:szCs w:val="21"/>
        </w:rPr>
        <w:t>尊嘉</w:t>
      </w:r>
      <w:proofErr w:type="gramEnd"/>
      <w:r w:rsidRPr="005726EE">
        <w:rPr>
          <w:rFonts w:ascii="楷体" w:eastAsia="楷体" w:hAnsi="楷体" w:hint="eastAsia"/>
          <w:szCs w:val="21"/>
        </w:rPr>
        <w:t>ALPHA、兴业信托-</w:t>
      </w:r>
      <w:proofErr w:type="gramStart"/>
      <w:r w:rsidRPr="005726EE">
        <w:rPr>
          <w:rFonts w:ascii="楷体" w:eastAsia="楷体" w:hAnsi="楷体" w:hint="eastAsia"/>
          <w:szCs w:val="21"/>
        </w:rPr>
        <w:t>道冲</w:t>
      </w:r>
      <w:proofErr w:type="gramEnd"/>
      <w:r w:rsidRPr="005726EE">
        <w:rPr>
          <w:rFonts w:ascii="楷体" w:eastAsia="楷体" w:hAnsi="楷体" w:hint="eastAsia"/>
          <w:szCs w:val="21"/>
        </w:rPr>
        <w:t>ETF套利稳增等；在传统的股票多头策略基金中，可适度增加风险等级偏中、低等的产品配置比例，如朱雀系列、精熙、</w:t>
      </w:r>
      <w:proofErr w:type="gramStart"/>
      <w:r w:rsidRPr="005726EE">
        <w:rPr>
          <w:rFonts w:ascii="楷体" w:eastAsia="楷体" w:hAnsi="楷体" w:hint="eastAsia"/>
          <w:szCs w:val="21"/>
        </w:rPr>
        <w:t>毅扬投资</w:t>
      </w:r>
      <w:proofErr w:type="gramEnd"/>
      <w:r w:rsidRPr="005726EE">
        <w:rPr>
          <w:rFonts w:ascii="楷体" w:eastAsia="楷体" w:hAnsi="楷体" w:hint="eastAsia"/>
          <w:szCs w:val="21"/>
        </w:rPr>
        <w:t>等掌管的产品；在对冲基金管理人的选择上，</w:t>
      </w:r>
      <w:proofErr w:type="gramStart"/>
      <w:r w:rsidRPr="005726EE">
        <w:rPr>
          <w:rFonts w:ascii="楷体" w:eastAsia="楷体" w:hAnsi="楷体" w:hint="eastAsia"/>
          <w:szCs w:val="21"/>
        </w:rPr>
        <w:t>凯石工场</w:t>
      </w:r>
      <w:proofErr w:type="gramEnd"/>
      <w:r w:rsidRPr="005726EE">
        <w:rPr>
          <w:rFonts w:ascii="楷体" w:eastAsia="楷体" w:hAnsi="楷体" w:hint="eastAsia"/>
          <w:szCs w:val="21"/>
        </w:rPr>
        <w:t>延续今年年初以来的策</w:t>
      </w:r>
      <w:r w:rsidRPr="005726EE">
        <w:rPr>
          <w:rFonts w:ascii="楷体" w:eastAsia="楷体" w:hAnsi="楷体" w:hint="eastAsia"/>
          <w:szCs w:val="21"/>
        </w:rPr>
        <w:lastRenderedPageBreak/>
        <w:t>略建议，侧重择时能力突出者，从而达到控制风险、把握结构性投资机会的目的，具体例如泽熙</w:t>
      </w:r>
      <w:r>
        <w:rPr>
          <w:rFonts w:ascii="楷体" w:eastAsia="楷体" w:hAnsi="楷体" w:hint="eastAsia"/>
          <w:szCs w:val="21"/>
        </w:rPr>
        <w:t>、</w:t>
      </w:r>
      <w:r w:rsidRPr="005726EE">
        <w:rPr>
          <w:rFonts w:ascii="楷体" w:eastAsia="楷体" w:hAnsi="楷体" w:hint="eastAsia"/>
          <w:szCs w:val="21"/>
        </w:rPr>
        <w:t>展博、理成</w:t>
      </w:r>
      <w:r>
        <w:rPr>
          <w:rFonts w:ascii="楷体" w:eastAsia="楷体" w:hAnsi="楷体" w:hint="eastAsia"/>
          <w:szCs w:val="21"/>
        </w:rPr>
        <w:t>、</w:t>
      </w:r>
      <w:r w:rsidRPr="00E24B58">
        <w:rPr>
          <w:rFonts w:ascii="楷体" w:eastAsia="楷体" w:hAnsi="楷体" w:hint="eastAsia"/>
          <w:szCs w:val="21"/>
        </w:rPr>
        <w:t>博</w:t>
      </w:r>
      <w:proofErr w:type="gramStart"/>
      <w:r w:rsidRPr="00E24B58">
        <w:rPr>
          <w:rFonts w:ascii="楷体" w:eastAsia="楷体" w:hAnsi="楷体" w:hint="eastAsia"/>
          <w:szCs w:val="21"/>
        </w:rPr>
        <w:t>颐</w:t>
      </w:r>
      <w:proofErr w:type="gramEnd"/>
      <w:r w:rsidRPr="005726EE">
        <w:rPr>
          <w:rFonts w:ascii="楷体" w:eastAsia="楷体" w:hAnsi="楷体" w:hint="eastAsia"/>
          <w:szCs w:val="21"/>
        </w:rPr>
        <w:t>等。</w:t>
      </w:r>
    </w:p>
    <w:p w:rsidR="00BB0CE0" w:rsidRPr="005726EE" w:rsidRDefault="00BB0CE0" w:rsidP="00BB0CE0">
      <w:pPr>
        <w:pStyle w:val="ab"/>
        <w:numPr>
          <w:ilvl w:val="0"/>
          <w:numId w:val="4"/>
        </w:numPr>
        <w:spacing w:after="163"/>
        <w:rPr>
          <w:rFonts w:ascii="楷体" w:eastAsia="楷体" w:hAnsi="楷体"/>
          <w:szCs w:val="21"/>
        </w:rPr>
      </w:pPr>
      <w:r w:rsidRPr="005726EE">
        <w:rPr>
          <w:rFonts w:ascii="楷体" w:eastAsia="楷体" w:hAnsi="楷体" w:hint="eastAsia"/>
          <w:szCs w:val="21"/>
        </w:rPr>
        <w:t>对于风险承受能力较高的投资者，可适度提高组合的进攻性。结合“后两会”时期有望由政策红利催生的改革等主题投资机会，可通过在投资组合中加入具备主题风格的对冲基金来提高组合的向上弹性，具体推荐产品包括</w:t>
      </w:r>
      <w:r w:rsidRPr="005726EE">
        <w:rPr>
          <w:rFonts w:ascii="楷体" w:eastAsia="楷体" w:hAnsi="楷体" w:hint="eastAsia"/>
          <w:color w:val="auto"/>
          <w:lang w:val="en-US"/>
        </w:rPr>
        <w:t>联华信托</w:t>
      </w:r>
      <w:r w:rsidRPr="005726EE">
        <w:rPr>
          <w:rFonts w:ascii="楷体" w:eastAsiaTheme="minorEastAsia" w:hAnsi="楷体" w:hint="eastAsia"/>
          <w:color w:val="auto"/>
          <w:lang w:val="en-US"/>
        </w:rPr>
        <w:t>•</w:t>
      </w:r>
      <w:r w:rsidRPr="005726EE">
        <w:rPr>
          <w:rFonts w:ascii="楷体" w:eastAsia="楷体" w:hAnsi="楷体" w:hint="eastAsia"/>
          <w:color w:val="auto"/>
          <w:lang w:val="en-US"/>
        </w:rPr>
        <w:t>朱雀18期(大消费行业精选)，以及专注新兴产业大消费板块的尚雅、淡水泉、</w:t>
      </w:r>
      <w:proofErr w:type="gramStart"/>
      <w:r w:rsidRPr="005726EE">
        <w:rPr>
          <w:rFonts w:ascii="楷体" w:eastAsia="楷体" w:hAnsi="楷体" w:hint="eastAsia"/>
          <w:color w:val="auto"/>
          <w:lang w:val="en-US"/>
        </w:rPr>
        <w:t>鼎诺等</w:t>
      </w:r>
      <w:proofErr w:type="gramEnd"/>
      <w:r w:rsidRPr="005726EE">
        <w:rPr>
          <w:rFonts w:ascii="楷体" w:eastAsia="楷体" w:hAnsi="楷体" w:hint="eastAsia"/>
          <w:color w:val="auto"/>
          <w:lang w:val="en-US"/>
        </w:rPr>
        <w:t>管理人的代表产品</w:t>
      </w:r>
      <w:r w:rsidRPr="005726EE">
        <w:rPr>
          <w:rFonts w:ascii="楷体" w:eastAsia="楷体" w:hAnsi="楷体" w:hint="eastAsia"/>
          <w:szCs w:val="21"/>
        </w:rPr>
        <w:t>。</w:t>
      </w:r>
    </w:p>
    <w:p w:rsidR="00BB0CE0" w:rsidRPr="005726EE" w:rsidRDefault="00BB0CE0" w:rsidP="00BB0CE0">
      <w:pPr>
        <w:widowControl/>
        <w:spacing w:after="120"/>
        <w:ind w:left="3430"/>
        <w:rPr>
          <w:rFonts w:ascii="楷体" w:eastAsia="楷体" w:hAnsi="楷体"/>
          <w:b/>
          <w:bCs/>
          <w:color w:val="0070C0"/>
          <w:kern w:val="0"/>
          <w:sz w:val="24"/>
          <w:szCs w:val="20"/>
          <w:lang w:val="en-GB"/>
        </w:rPr>
      </w:pPr>
      <w:r w:rsidRPr="005726EE">
        <w:rPr>
          <w:rFonts w:ascii="楷体" w:eastAsia="楷体" w:hAnsi="楷体" w:hint="eastAsia"/>
          <w:b/>
          <w:bCs/>
          <w:color w:val="0070C0"/>
          <w:kern w:val="0"/>
          <w:sz w:val="24"/>
          <w:szCs w:val="20"/>
          <w:lang w:val="en-GB"/>
        </w:rPr>
        <w:t>五、</w:t>
      </w:r>
      <w:proofErr w:type="gramStart"/>
      <w:r w:rsidRPr="005726EE">
        <w:rPr>
          <w:rFonts w:ascii="楷体" w:eastAsia="楷体" w:hAnsi="楷体" w:hint="eastAsia"/>
          <w:b/>
          <w:bCs/>
          <w:color w:val="0070C0"/>
          <w:kern w:val="0"/>
          <w:sz w:val="24"/>
          <w:szCs w:val="20"/>
          <w:lang w:val="en-GB"/>
        </w:rPr>
        <w:t>凯</w:t>
      </w:r>
      <w:proofErr w:type="gramEnd"/>
      <w:r w:rsidRPr="005726EE">
        <w:rPr>
          <w:rFonts w:ascii="楷体" w:eastAsia="楷体" w:hAnsi="楷体" w:hint="eastAsia"/>
          <w:b/>
          <w:bCs/>
          <w:color w:val="0070C0"/>
          <w:kern w:val="0"/>
          <w:sz w:val="24"/>
          <w:szCs w:val="20"/>
          <w:lang w:val="en-GB"/>
        </w:rPr>
        <w:t>石明星基金推荐</w:t>
      </w:r>
    </w:p>
    <w:p w:rsidR="00BB0CE0" w:rsidRPr="005726EE" w:rsidRDefault="00BB0CE0" w:rsidP="00BB0CE0">
      <w:pPr>
        <w:pStyle w:val="ab"/>
        <w:numPr>
          <w:ilvl w:val="4"/>
          <w:numId w:val="1"/>
        </w:numPr>
        <w:rPr>
          <w:rFonts w:ascii="楷体" w:eastAsia="楷体" w:hAnsi="楷体"/>
          <w:lang w:val="en-US"/>
        </w:rPr>
      </w:pPr>
      <w:r w:rsidRPr="005726EE">
        <w:rPr>
          <w:rFonts w:ascii="楷体" w:eastAsia="楷体" w:hAnsi="楷体" w:cs="宋体" w:hint="eastAsia"/>
          <w:szCs w:val="21"/>
        </w:rPr>
        <w:t>尚雅：倡导价值投资、品质投资、长期投资、科学投资的理念，积极关注经济发展需要及政策支持下的战略新兴行业，通过配置相关产业背景的研究人员，对其中细分领域进行独立深入的分析，把握新兴产业当中的板块轮动行情。在经历了前些年几次较大的净值波动之后，尚雅投资加强了对于风险的控制，在公司内部推行“全员风控”，在研究部、金融工程部、交易部、销售部、客户部分别设立</w:t>
      </w:r>
      <w:proofErr w:type="gramStart"/>
      <w:r w:rsidRPr="005726EE">
        <w:rPr>
          <w:rFonts w:ascii="楷体" w:eastAsia="楷体" w:hAnsi="楷体" w:cs="宋体" w:hint="eastAsia"/>
          <w:szCs w:val="21"/>
        </w:rPr>
        <w:t>了风控岗位</w:t>
      </w:r>
      <w:proofErr w:type="gramEnd"/>
      <w:r w:rsidRPr="005726EE">
        <w:rPr>
          <w:rFonts w:ascii="楷体" w:eastAsia="楷体" w:hAnsi="楷体" w:cs="宋体" w:hint="eastAsia"/>
          <w:szCs w:val="21"/>
        </w:rPr>
        <w:t>，每个部门</w:t>
      </w:r>
      <w:proofErr w:type="gramStart"/>
      <w:r w:rsidRPr="005726EE">
        <w:rPr>
          <w:rFonts w:ascii="楷体" w:eastAsia="楷体" w:hAnsi="楷体" w:cs="宋体" w:hint="eastAsia"/>
          <w:szCs w:val="21"/>
        </w:rPr>
        <w:t>的风控员</w:t>
      </w:r>
      <w:proofErr w:type="gramEnd"/>
      <w:r w:rsidRPr="005726EE">
        <w:rPr>
          <w:rFonts w:ascii="楷体" w:eastAsia="楷体" w:hAnsi="楷体" w:cs="宋体" w:hint="eastAsia"/>
          <w:szCs w:val="21"/>
        </w:rPr>
        <w:t>一旦在自己的范畴内发现风险，都要第一时间</w:t>
      </w:r>
      <w:proofErr w:type="gramStart"/>
      <w:r w:rsidRPr="005726EE">
        <w:rPr>
          <w:rFonts w:ascii="楷体" w:eastAsia="楷体" w:hAnsi="楷体" w:cs="宋体" w:hint="eastAsia"/>
          <w:szCs w:val="21"/>
        </w:rPr>
        <w:t>提交风控报告</w:t>
      </w:r>
      <w:proofErr w:type="gramEnd"/>
      <w:r w:rsidRPr="005726EE">
        <w:rPr>
          <w:rFonts w:ascii="楷体" w:eastAsia="楷体" w:hAnsi="楷体" w:cs="宋体" w:hint="eastAsia"/>
          <w:szCs w:val="21"/>
        </w:rPr>
        <w:t>。</w:t>
      </w:r>
    </w:p>
    <w:p w:rsidR="00BB0CE0" w:rsidRDefault="00BB0CE0" w:rsidP="00BB0CE0">
      <w:pPr>
        <w:pStyle w:val="ab"/>
        <w:numPr>
          <w:ilvl w:val="4"/>
          <w:numId w:val="1"/>
        </w:numPr>
        <w:rPr>
          <w:rFonts w:ascii="楷体" w:eastAsia="楷体" w:hAnsi="楷体" w:cs="宋体" w:hint="eastAsia"/>
          <w:szCs w:val="21"/>
        </w:rPr>
      </w:pPr>
      <w:r w:rsidRPr="00BB0CE0">
        <w:rPr>
          <w:rFonts w:ascii="楷体" w:eastAsia="楷体" w:hAnsi="楷体" w:cs="宋体" w:hint="eastAsia"/>
          <w:szCs w:val="21"/>
        </w:rPr>
        <w:t>泽熙：实际操作中集中持有具有较强安全边际的高成长性股票，并通过波段操作来平滑收益，属于灵活型选手，持仓时间一般不长。掌门人徐翔出身宁波敢死队，以择时准确且作风大胆著称。目前</w:t>
      </w:r>
      <w:proofErr w:type="gramStart"/>
      <w:r w:rsidRPr="00BB0CE0">
        <w:rPr>
          <w:rFonts w:ascii="楷体" w:eastAsia="楷体" w:hAnsi="楷体" w:cs="宋体" w:hint="eastAsia"/>
          <w:szCs w:val="21"/>
        </w:rPr>
        <w:t>泽熙风格</w:t>
      </w:r>
      <w:proofErr w:type="gramEnd"/>
      <w:r w:rsidRPr="00BB0CE0">
        <w:rPr>
          <w:rFonts w:ascii="楷体" w:eastAsia="楷体" w:hAnsi="楷体" w:cs="宋体" w:hint="eastAsia"/>
          <w:szCs w:val="21"/>
        </w:rPr>
        <w:t>有所转型，在发挥趋势性交易策略优势的投资同时，融合大资金行业配置的主流投资方法，对自上而下的判断和择时均非常重视。</w:t>
      </w:r>
    </w:p>
    <w:p w:rsidR="00B10000" w:rsidRPr="00961E7F" w:rsidRDefault="00B10000">
      <w:pPr>
        <w:widowControl/>
        <w:jc w:val="left"/>
        <w:rPr>
          <w:rFonts w:ascii="楷体" w:eastAsia="楷体" w:hAnsi="楷体" w:cs="Times New Roman"/>
          <w:b/>
          <w:kern w:val="0"/>
          <w:szCs w:val="20"/>
          <w:lang w:val="en-GB"/>
        </w:rPr>
      </w:pPr>
      <w:r w:rsidRPr="00961E7F">
        <w:rPr>
          <w:rFonts w:ascii="楷体" w:eastAsia="楷体" w:hAnsi="楷体"/>
          <w:b/>
          <w:kern w:val="0"/>
          <w:szCs w:val="20"/>
          <w:lang w:val="en-GB"/>
        </w:rPr>
        <w:br w:type="page"/>
      </w:r>
    </w:p>
    <w:p w:rsidR="00B10000" w:rsidRPr="00961E7F" w:rsidRDefault="00B10000" w:rsidP="00B10000">
      <w:pPr>
        <w:pStyle w:val="aa"/>
        <w:spacing w:after="312"/>
        <w:rPr>
          <w:rFonts w:ascii="楷体" w:eastAsia="楷体" w:hAnsi="楷体"/>
          <w:b/>
          <w:sz w:val="21"/>
          <w:szCs w:val="21"/>
        </w:rPr>
      </w:pPr>
      <w:r w:rsidRPr="00961E7F">
        <w:rPr>
          <w:rFonts w:ascii="楷体" w:eastAsia="楷体" w:hAnsi="楷体" w:hint="eastAsia"/>
          <w:b/>
          <w:kern w:val="0"/>
          <w:sz w:val="21"/>
          <w:szCs w:val="20"/>
          <w:lang w:val="en-GB"/>
        </w:rPr>
        <w:lastRenderedPageBreak/>
        <w:t>特别声明：</w:t>
      </w:r>
    </w:p>
    <w:p w:rsidR="00B10000" w:rsidRPr="00961E7F" w:rsidRDefault="00B10000" w:rsidP="00A952EA">
      <w:pPr>
        <w:pStyle w:val="aa"/>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961E7F" w:rsidRDefault="00B10000" w:rsidP="00A952EA">
      <w:pPr>
        <w:pStyle w:val="aa"/>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00753C" w:rsidRDefault="00B10000" w:rsidP="0000753C">
      <w:pPr>
        <w:pStyle w:val="aa"/>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F17E60" w:rsidRPr="009F7F1E" w:rsidRDefault="00534F82">
      <w:pPr>
        <w:rPr>
          <w:rFonts w:ascii="楷体" w:eastAsia="楷体" w:hAnsi="楷体"/>
          <w:b/>
          <w:lang w:val="en-GB"/>
        </w:rPr>
      </w:pPr>
      <w:r>
        <w:rPr>
          <w:rFonts w:ascii="楷体" w:eastAsia="楷体" w:hAnsi="楷体" w:hint="eastAsia"/>
          <w:b/>
          <w:lang w:val="en-GB"/>
        </w:rPr>
        <w:t xml:space="preserve"> </w:t>
      </w:r>
    </w:p>
    <w:sectPr w:rsidR="00F17E60" w:rsidRPr="009F7F1E" w:rsidSect="00656031">
      <w:headerReference w:type="default" r:id="rId14"/>
      <w:footerReference w:type="default" r:id="rId15"/>
      <w:headerReference w:type="first" r:id="rId16"/>
      <w:footerReference w:type="first" r:id="rId17"/>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F1E" w:rsidRDefault="00DD0F1E" w:rsidP="00B10000">
      <w:r>
        <w:separator/>
      </w:r>
    </w:p>
  </w:endnote>
  <w:endnote w:type="continuationSeparator" w:id="0">
    <w:p w:rsidR="00DD0F1E" w:rsidRDefault="00DD0F1E"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9C7B25">
    <w:pPr>
      <w:pStyle w:val="a4"/>
      <w:jc w:val="center"/>
    </w:pPr>
    <w:r>
      <w:pict>
        <v:rect id="_x0000_i1027" style="width:571.2pt;height:2pt" o:hralign="center" o:hrstd="t" o:hrnoshade="t" o:hr="t" fillcolor="#e7a631" stroked="f"/>
      </w:pict>
    </w:r>
    <w:sdt>
      <w:sdtPr>
        <w:id w:val="280628657"/>
        <w:docPartObj>
          <w:docPartGallery w:val="Page Numbers (Bottom of Page)"/>
          <w:docPartUnique/>
        </w:docPartObj>
      </w:sdtPr>
      <w:sdtContent>
        <w:sdt>
          <w:sdtPr>
            <w:id w:val="280628658"/>
            <w:docPartObj>
              <w:docPartGallery w:val="Page Numbers (Top of Page)"/>
              <w:docPartUnique/>
            </w:docPartObj>
          </w:sdtPr>
          <w:sdtContent>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00753C">
              <w:rPr>
                <w:b/>
                <w:noProof/>
              </w:rPr>
              <w:t>2</w:t>
            </w:r>
            <w:r>
              <w:rPr>
                <w:b/>
                <w:sz w:val="24"/>
                <w:szCs w:val="24"/>
              </w:rPr>
              <w:fldChar w:fldCharType="end"/>
            </w:r>
            <w:r w:rsidR="00B10000">
              <w:rPr>
                <w:lang w:val="zh-CN"/>
              </w:rPr>
              <w:t xml:space="preserve"> </w:t>
            </w:r>
            <w:r w:rsidR="00B10000">
              <w:rPr>
                <w:lang w:val="zh-CN"/>
              </w:rPr>
              <w:t xml:space="preserve">/ </w:t>
            </w:r>
            <w:r>
              <w:rPr>
                <w:b/>
                <w:sz w:val="24"/>
                <w:szCs w:val="24"/>
              </w:rPr>
              <w:fldChar w:fldCharType="begin"/>
            </w:r>
            <w:r w:rsidR="00B10000">
              <w:rPr>
                <w:b/>
              </w:rPr>
              <w:instrText>NUMPAGES</w:instrText>
            </w:r>
            <w:r>
              <w:rPr>
                <w:b/>
                <w:sz w:val="24"/>
                <w:szCs w:val="24"/>
              </w:rPr>
              <w:fldChar w:fldCharType="separate"/>
            </w:r>
            <w:r w:rsidR="0000753C">
              <w:rPr>
                <w:b/>
                <w:noProof/>
              </w:rPr>
              <w:t>7</w:t>
            </w:r>
            <w:r>
              <w:rPr>
                <w:b/>
                <w:sz w:val="24"/>
                <w:szCs w:val="24"/>
              </w:rPr>
              <w:fldChar w:fldCharType="end"/>
            </w:r>
          </w:sdtContent>
        </w:sdt>
      </w:sdtContent>
    </w:sdt>
  </w:p>
  <w:p w:rsidR="00B10000" w:rsidRDefault="00B1000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628659"/>
      <w:docPartObj>
        <w:docPartGallery w:val="Page Numbers (Bottom of Page)"/>
        <w:docPartUnique/>
      </w:docPartObj>
    </w:sdtPr>
    <w:sdtContent>
      <w:sdt>
        <w:sdtPr>
          <w:id w:val="280628660"/>
          <w:docPartObj>
            <w:docPartGallery w:val="Page Numbers (Top of Page)"/>
            <w:docPartUnique/>
          </w:docPartObj>
        </w:sdtPr>
        <w:sdtContent>
          <w:p w:rsidR="00B10000" w:rsidRDefault="009C7B25">
            <w:pPr>
              <w:pStyle w:val="a4"/>
              <w:jc w:val="center"/>
            </w:pPr>
            <w:r>
              <w:pict>
                <v:rect id="_x0000_i1029" style="width:571.2pt;height:2pt" o:hralign="center" o:hrstd="t" o:hrnoshade="t" o:hr="t" fillcolor="#e7a631" stroked="f"/>
              </w:pict>
            </w:r>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00753C">
              <w:rPr>
                <w:b/>
                <w:noProof/>
              </w:rPr>
              <w:t>1</w:t>
            </w:r>
            <w:r>
              <w:rPr>
                <w:b/>
                <w:sz w:val="24"/>
                <w:szCs w:val="24"/>
              </w:rPr>
              <w:fldChar w:fldCharType="end"/>
            </w:r>
            <w:r w:rsidR="00B10000">
              <w:rPr>
                <w:lang w:val="zh-CN"/>
              </w:rPr>
              <w:t xml:space="preserve"> / </w:t>
            </w:r>
            <w:r>
              <w:rPr>
                <w:b/>
                <w:sz w:val="24"/>
                <w:szCs w:val="24"/>
              </w:rPr>
              <w:fldChar w:fldCharType="begin"/>
            </w:r>
            <w:r w:rsidR="00B10000">
              <w:rPr>
                <w:b/>
              </w:rPr>
              <w:instrText>NUMPAGES</w:instrText>
            </w:r>
            <w:r>
              <w:rPr>
                <w:b/>
                <w:sz w:val="24"/>
                <w:szCs w:val="24"/>
              </w:rPr>
              <w:fldChar w:fldCharType="separate"/>
            </w:r>
            <w:r w:rsidR="0000753C">
              <w:rPr>
                <w:b/>
                <w:noProof/>
              </w:rPr>
              <w:t>7</w:t>
            </w:r>
            <w:r>
              <w:rPr>
                <w:b/>
                <w:sz w:val="24"/>
                <w:szCs w:val="24"/>
              </w:rPr>
              <w:fldChar w:fldCharType="end"/>
            </w:r>
          </w:p>
        </w:sdtContent>
      </w:sdt>
    </w:sdtContent>
  </w:sdt>
  <w:p w:rsidR="00B10000" w:rsidRDefault="00B100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F1E" w:rsidRDefault="00DD0F1E" w:rsidP="00B10000">
      <w:r>
        <w:separator/>
      </w:r>
    </w:p>
  </w:footnote>
  <w:footnote w:type="continuationSeparator" w:id="0">
    <w:p w:rsidR="00DD0F1E" w:rsidRDefault="00DD0F1E"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9C7B25"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B10000" w:rsidRDefault="009C7B25" w:rsidP="00B10000">
                  <w:pPr>
                    <w:pStyle w:val="12"/>
                  </w:pPr>
                  <w:r w:rsidRPr="009C7B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7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B10000" w:rsidRPr="006E0F3C" w:rsidRDefault="00A952EA" w:rsidP="00B10000">
                  <w:pPr>
                    <w:pStyle w:val="2"/>
                  </w:pPr>
                  <w:r>
                    <w:rPr>
                      <w:rFonts w:hint="eastAsia"/>
                    </w:rPr>
                    <w:t>2014</w:t>
                  </w:r>
                  <w:r w:rsidR="00B10000" w:rsidRPr="006E0F3C">
                    <w:rPr>
                      <w:rFonts w:hint="eastAsia"/>
                    </w:rPr>
                    <w:t>年</w:t>
                  </w:r>
                  <w:r>
                    <w:rPr>
                      <w:rFonts w:hint="eastAsia"/>
                    </w:rPr>
                    <w:t>3月对冲基金行业报告</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9C7B25" w:rsidP="00A952EA">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B10000" w:rsidRDefault="009C7B25" w:rsidP="00B10000">
                  <w:pPr>
                    <w:pStyle w:val="a6"/>
                  </w:pPr>
                  <w:r w:rsidRPr="009C7B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B10000" w:rsidRPr="006E0F3C" w:rsidRDefault="00B10000" w:rsidP="008840A4">
                  <w:pPr>
                    <w:pStyle w:val="a5"/>
                    <w:spacing w:after="240"/>
                  </w:pPr>
                  <w:proofErr w:type="gramStart"/>
                  <w:r w:rsidRPr="006E0F3C">
                    <w:rPr>
                      <w:rFonts w:hint="eastAsia"/>
                    </w:rPr>
                    <w:t>凯石工场研究</w:t>
                  </w:r>
                  <w:proofErr w:type="gramEnd"/>
                  <w:r w:rsidRPr="006E0F3C">
                    <w:rPr>
                      <w:rFonts w:hint="eastAsia"/>
                    </w:rPr>
                    <w:t>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B10000" w:rsidRPr="006E0F3C" w:rsidRDefault="00A952EA" w:rsidP="00B10000">
                  <w:pPr>
                    <w:pStyle w:val="a7"/>
                    <w:jc w:val="right"/>
                  </w:pPr>
                  <w:r>
                    <w:rPr>
                      <w:rFonts w:hint="eastAsia"/>
                    </w:rPr>
                    <w:t>2014</w:t>
                  </w:r>
                  <w:r w:rsidRPr="006E0F3C">
                    <w:rPr>
                      <w:rFonts w:hint="eastAsia"/>
                    </w:rPr>
                    <w:t>年</w:t>
                  </w:r>
                  <w:r>
                    <w:rPr>
                      <w:rFonts w:hint="eastAsia"/>
                    </w:rPr>
                    <w:t>03</w:t>
                  </w:r>
                  <w:r w:rsidRPr="006E0F3C">
                    <w:rPr>
                      <w:rFonts w:hint="eastAsia"/>
                    </w:rPr>
                    <w:t>月</w:t>
                  </w:r>
                  <w:r>
                    <w:rPr>
                      <w:rFonts w:hint="eastAsia"/>
                    </w:rPr>
                    <w:t>25</w:t>
                  </w:r>
                  <w:r w:rsidRPr="006E0F3C">
                    <w:rPr>
                      <w:rFonts w:hint="eastAsia"/>
                    </w:rPr>
                    <w:t>日</w:t>
                  </w:r>
                </w:p>
              </w:txbxContent>
            </v:textbox>
          </v:shape>
          <v:shape id="_x0000_s1029" type="#_x0000_t202" style="position:absolute;left:3214;top:1377;width:8090;height:1018;mso-height-percent:200;mso-height-percent:200;mso-width-relative:margin;mso-height-relative:margin" strokecolor="white">
            <v:textbox style="mso-next-textbox:#_x0000_s1029;mso-fit-shape-to-text:t">
              <w:txbxContent>
                <w:p w:rsidR="00B10000" w:rsidRDefault="00A952EA" w:rsidP="00B10000">
                  <w:pPr>
                    <w:pStyle w:val="a8"/>
                    <w:jc w:val="right"/>
                  </w:pPr>
                  <w:r>
                    <w:t>市场起伏</w:t>
                  </w:r>
                  <w:r>
                    <w:t>“</w:t>
                  </w:r>
                  <w:r>
                    <w:t>择时</w:t>
                  </w:r>
                  <w:r>
                    <w:t>”</w:t>
                  </w:r>
                  <w:r>
                    <w:t>为上，投资策略防御为主</w:t>
                  </w:r>
                </w:p>
                <w:p w:rsidR="00B10000" w:rsidRPr="00624366" w:rsidRDefault="00A952EA" w:rsidP="00B10000">
                  <w:pPr>
                    <w:pStyle w:val="a8"/>
                    <w:jc w:val="right"/>
                    <w:rPr>
                      <w:sz w:val="28"/>
                      <w:szCs w:val="28"/>
                    </w:rPr>
                  </w:pPr>
                  <w:r w:rsidRPr="00A952EA">
                    <w:rPr>
                      <w:rFonts w:hint="eastAsia"/>
                      <w:sz w:val="28"/>
                      <w:szCs w:val="28"/>
                    </w:rPr>
                    <w:t>2014年3月对冲基金行业报告</w:t>
                  </w:r>
                </w:p>
              </w:txbxContent>
            </v:textbox>
          </v:shape>
          <v:shape id="_x0000_s1030" type="#_x0000_t202" style="position:absolute;left:3246;top:2578;width:7993;height:627" strokecolor="white">
            <v:textbox style="mso-next-textbox:#_x0000_s1030">
              <w:txbxContent>
                <w:p w:rsidR="00B10000" w:rsidRPr="006E0F3C" w:rsidRDefault="00A952EA" w:rsidP="00B10000">
                  <w:pPr>
                    <w:pStyle w:val="a9"/>
                  </w:pPr>
                  <w:proofErr w:type="gramStart"/>
                  <w:r>
                    <w:rPr>
                      <w:rFonts w:hint="eastAsia"/>
                    </w:rPr>
                    <w:t>杨舒</w:t>
                  </w:r>
                  <w:proofErr w:type="gramEnd"/>
                  <w:r w:rsidR="00B10000" w:rsidRPr="006E0F3C">
                    <w:rPr>
                      <w:rFonts w:hint="eastAsia"/>
                    </w:rPr>
                    <w:t xml:space="preserve"> </w:t>
                  </w:r>
                  <w:r>
                    <w:rPr>
                      <w:rFonts w:hint="eastAsia"/>
                    </w:rPr>
                    <w:t>高级</w:t>
                  </w:r>
                  <w:r w:rsidR="00B10000" w:rsidRPr="006E0F3C">
                    <w:rPr>
                      <w:rFonts w:hint="eastAsia"/>
                    </w:rPr>
                    <w:t xml:space="preserve">分析师 </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7D6434AE"/>
    <w:multiLevelType w:val="hybridMultilevel"/>
    <w:tmpl w:val="5BC062AC"/>
    <w:lvl w:ilvl="0" w:tplc="DDC8F30C">
      <w:start w:val="1"/>
      <w:numFmt w:val="bullet"/>
      <w:lvlText w:val=""/>
      <w:lvlJc w:val="left"/>
      <w:pPr>
        <w:ind w:left="4219" w:hanging="420"/>
      </w:pPr>
      <w:rPr>
        <w:rFonts w:ascii="Wingdings 2" w:eastAsia="楷体_GB2312" w:hAnsi="Wingdings 2" w:hint="default"/>
        <w:b w:val="0"/>
        <w:i w:val="0"/>
        <w:sz w:val="18"/>
      </w:rPr>
    </w:lvl>
    <w:lvl w:ilvl="1" w:tplc="04090003" w:tentative="1">
      <w:start w:val="1"/>
      <w:numFmt w:val="bullet"/>
      <w:lvlText w:val=""/>
      <w:lvlJc w:val="left"/>
      <w:pPr>
        <w:ind w:left="4639" w:hanging="420"/>
      </w:pPr>
      <w:rPr>
        <w:rFonts w:ascii="Wingdings" w:hAnsi="Wingdings" w:hint="default"/>
      </w:rPr>
    </w:lvl>
    <w:lvl w:ilvl="2" w:tplc="04090005" w:tentative="1">
      <w:start w:val="1"/>
      <w:numFmt w:val="bullet"/>
      <w:lvlText w:val=""/>
      <w:lvlJc w:val="left"/>
      <w:pPr>
        <w:ind w:left="5059" w:hanging="420"/>
      </w:pPr>
      <w:rPr>
        <w:rFonts w:ascii="Wingdings" w:hAnsi="Wingdings" w:hint="default"/>
      </w:rPr>
    </w:lvl>
    <w:lvl w:ilvl="3" w:tplc="04090001" w:tentative="1">
      <w:start w:val="1"/>
      <w:numFmt w:val="bullet"/>
      <w:lvlText w:val=""/>
      <w:lvlJc w:val="left"/>
      <w:pPr>
        <w:ind w:left="5479" w:hanging="420"/>
      </w:pPr>
      <w:rPr>
        <w:rFonts w:ascii="Wingdings" w:hAnsi="Wingdings" w:hint="default"/>
      </w:rPr>
    </w:lvl>
    <w:lvl w:ilvl="4" w:tplc="04090003" w:tentative="1">
      <w:start w:val="1"/>
      <w:numFmt w:val="bullet"/>
      <w:lvlText w:val=""/>
      <w:lvlJc w:val="left"/>
      <w:pPr>
        <w:ind w:left="5899" w:hanging="420"/>
      </w:pPr>
      <w:rPr>
        <w:rFonts w:ascii="Wingdings" w:hAnsi="Wingdings" w:hint="default"/>
      </w:rPr>
    </w:lvl>
    <w:lvl w:ilvl="5" w:tplc="04090005" w:tentative="1">
      <w:start w:val="1"/>
      <w:numFmt w:val="bullet"/>
      <w:lvlText w:val=""/>
      <w:lvlJc w:val="left"/>
      <w:pPr>
        <w:ind w:left="6319" w:hanging="420"/>
      </w:pPr>
      <w:rPr>
        <w:rFonts w:ascii="Wingdings" w:hAnsi="Wingdings" w:hint="default"/>
      </w:rPr>
    </w:lvl>
    <w:lvl w:ilvl="6" w:tplc="04090001" w:tentative="1">
      <w:start w:val="1"/>
      <w:numFmt w:val="bullet"/>
      <w:lvlText w:val=""/>
      <w:lvlJc w:val="left"/>
      <w:pPr>
        <w:ind w:left="6739" w:hanging="420"/>
      </w:pPr>
      <w:rPr>
        <w:rFonts w:ascii="Wingdings" w:hAnsi="Wingdings" w:hint="default"/>
      </w:rPr>
    </w:lvl>
    <w:lvl w:ilvl="7" w:tplc="04090003" w:tentative="1">
      <w:start w:val="1"/>
      <w:numFmt w:val="bullet"/>
      <w:lvlText w:val=""/>
      <w:lvlJc w:val="left"/>
      <w:pPr>
        <w:ind w:left="7159" w:hanging="420"/>
      </w:pPr>
      <w:rPr>
        <w:rFonts w:ascii="Wingdings" w:hAnsi="Wingdings" w:hint="default"/>
      </w:rPr>
    </w:lvl>
    <w:lvl w:ilvl="8" w:tplc="04090005" w:tentative="1">
      <w:start w:val="1"/>
      <w:numFmt w:val="bullet"/>
      <w:lvlText w:val=""/>
      <w:lvlJc w:val="left"/>
      <w:pPr>
        <w:ind w:left="7579"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000"/>
    <w:rsid w:val="0000753C"/>
    <w:rsid w:val="00034C20"/>
    <w:rsid w:val="00062B6C"/>
    <w:rsid w:val="00085BF7"/>
    <w:rsid w:val="002B1C51"/>
    <w:rsid w:val="00333594"/>
    <w:rsid w:val="003629A1"/>
    <w:rsid w:val="003867C4"/>
    <w:rsid w:val="003A6147"/>
    <w:rsid w:val="00467E79"/>
    <w:rsid w:val="00486443"/>
    <w:rsid w:val="00534F82"/>
    <w:rsid w:val="00561462"/>
    <w:rsid w:val="005E5694"/>
    <w:rsid w:val="00610832"/>
    <w:rsid w:val="00623C62"/>
    <w:rsid w:val="00635482"/>
    <w:rsid w:val="00642AA4"/>
    <w:rsid w:val="00656031"/>
    <w:rsid w:val="006668B4"/>
    <w:rsid w:val="006B1B73"/>
    <w:rsid w:val="006E1A2B"/>
    <w:rsid w:val="0070710F"/>
    <w:rsid w:val="007A71EB"/>
    <w:rsid w:val="007B3051"/>
    <w:rsid w:val="0081385D"/>
    <w:rsid w:val="00873D95"/>
    <w:rsid w:val="008840A4"/>
    <w:rsid w:val="009206FD"/>
    <w:rsid w:val="00961E7F"/>
    <w:rsid w:val="009C7B25"/>
    <w:rsid w:val="009E75FC"/>
    <w:rsid w:val="009F7F1E"/>
    <w:rsid w:val="00A952EA"/>
    <w:rsid w:val="00AC7B94"/>
    <w:rsid w:val="00AE4171"/>
    <w:rsid w:val="00B10000"/>
    <w:rsid w:val="00B4373A"/>
    <w:rsid w:val="00B91B96"/>
    <w:rsid w:val="00BB0CE0"/>
    <w:rsid w:val="00BB7373"/>
    <w:rsid w:val="00C14D6E"/>
    <w:rsid w:val="00C806CE"/>
    <w:rsid w:val="00CD2B03"/>
    <w:rsid w:val="00DC7BBB"/>
    <w:rsid w:val="00DD0F1E"/>
    <w:rsid w:val="00F17E60"/>
    <w:rsid w:val="00F459C1"/>
    <w:rsid w:val="00F849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63548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841BF-EDE9-4278-8028-0584EE4B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shanghai vstone</cp:lastModifiedBy>
  <cp:revision>8</cp:revision>
  <dcterms:created xsi:type="dcterms:W3CDTF">2014-03-17T07:41:00Z</dcterms:created>
  <dcterms:modified xsi:type="dcterms:W3CDTF">2014-03-28T08:09:00Z</dcterms:modified>
</cp:coreProperties>
</file>