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00" w:rsidRPr="00FC54FE" w:rsidRDefault="00A70401" w:rsidP="00B10000">
      <w:pPr>
        <w:widowControl/>
        <w:spacing w:after="120" w:line="240" w:lineRule="exact"/>
        <w:ind w:left="3430"/>
        <w:rPr>
          <w:rFonts w:ascii="楷体" w:eastAsia="楷体" w:hAnsi="楷体" w:cs="Times New Roman"/>
          <w:b/>
          <w:bCs/>
          <w:color w:val="0070C0"/>
          <w:kern w:val="0"/>
          <w:sz w:val="24"/>
          <w:szCs w:val="20"/>
          <w:lang w:val="en-GB"/>
        </w:rPr>
      </w:pPr>
      <w:r w:rsidRPr="00FC54FE">
        <w:rPr>
          <w:rFonts w:ascii="楷体" w:eastAsia="楷体" w:hAnsi="楷体" w:cs="Times New Roman" w:hint="eastAsia"/>
          <w:b/>
          <w:bCs/>
          <w:color w:val="0070C0"/>
          <w:kern w:val="0"/>
          <w:sz w:val="24"/>
          <w:szCs w:val="20"/>
          <w:lang w:val="en-GB"/>
        </w:rPr>
        <w:t>导语</w:t>
      </w:r>
    </w:p>
    <w:p w:rsidR="008016D9" w:rsidRPr="00FC54FE" w:rsidRDefault="008016D9" w:rsidP="008016D9">
      <w:pPr>
        <w:pStyle w:val="ab"/>
        <w:spacing w:after="163"/>
        <w:ind w:firstLineChars="200" w:firstLine="420"/>
        <w:rPr>
          <w:rFonts w:ascii="楷体" w:eastAsia="楷体" w:hAnsi="楷体"/>
          <w:color w:val="auto"/>
        </w:rPr>
      </w:pPr>
      <w:r w:rsidRPr="00FC54FE">
        <w:rPr>
          <w:rFonts w:ascii="楷体" w:eastAsia="楷体" w:hAnsi="楷体" w:hint="eastAsia"/>
        </w:rPr>
        <w:t>虽然近期美国经济数据因气候等因素出现波动，但</w:t>
      </w:r>
      <w:r w:rsidR="004F5F12" w:rsidRPr="00FC54FE">
        <w:rPr>
          <w:rFonts w:ascii="楷体" w:eastAsia="楷体" w:hAnsi="楷体" w:hint="eastAsia"/>
        </w:rPr>
        <w:t>无需过度担忧增长；美联储表态支持宽松、护航美国经济；此外</w:t>
      </w:r>
      <w:r w:rsidRPr="00FC54FE">
        <w:rPr>
          <w:rFonts w:ascii="楷体" w:eastAsia="楷体" w:hAnsi="楷体" w:hint="eastAsia"/>
        </w:rPr>
        <w:t>债务上限问题亦不出意外的最终得到解决，总体来看美国</w:t>
      </w:r>
      <w:r w:rsidR="006E2421">
        <w:rPr>
          <w:rFonts w:ascii="楷体" w:eastAsia="楷体" w:hAnsi="楷体" w:hint="eastAsia"/>
        </w:rPr>
        <w:t>仍</w:t>
      </w:r>
      <w:r w:rsidRPr="00FC54FE">
        <w:rPr>
          <w:rFonts w:ascii="楷体" w:eastAsia="楷体" w:hAnsi="楷体" w:hint="eastAsia"/>
        </w:rPr>
        <w:t>是现阶段值得重点配置的市场</w:t>
      </w:r>
      <w:r w:rsidR="006E2421">
        <w:rPr>
          <w:rFonts w:ascii="楷体" w:eastAsia="楷体" w:hAnsi="楷体" w:hint="eastAsia"/>
        </w:rPr>
        <w:t>之一</w:t>
      </w:r>
      <w:r w:rsidRPr="00FC54FE">
        <w:rPr>
          <w:rFonts w:ascii="楷体" w:eastAsia="楷体" w:hAnsi="楷体" w:hint="eastAsia"/>
        </w:rPr>
        <w:t>。制造业继续引领欧洲经济复苏，服务业温和增长形势也有所加快，但俄乌战争疑云引发的危机效应或成为近期威胁欧洲市场的重要不确定性，短期谨防地缘政治风险。</w:t>
      </w:r>
    </w:p>
    <w:p w:rsidR="008016D9" w:rsidRPr="00FC54FE" w:rsidRDefault="00FC263C" w:rsidP="008016D9">
      <w:pPr>
        <w:pStyle w:val="ab"/>
        <w:spacing w:after="163"/>
        <w:ind w:firstLineChars="200" w:firstLine="420"/>
        <w:rPr>
          <w:rFonts w:ascii="楷体" w:eastAsia="楷体" w:hAnsi="楷体"/>
          <w:color w:val="auto"/>
        </w:rPr>
      </w:pPr>
      <w:r>
        <w:rPr>
          <w:rFonts w:eastAsia="楷体_GB2312" w:hint="eastAsia"/>
          <w:color w:val="auto"/>
        </w:rPr>
        <w:t>数据显示中国</w:t>
      </w:r>
      <w:r w:rsidRPr="00E4421C">
        <w:rPr>
          <w:rFonts w:eastAsia="楷体_GB2312" w:hint="eastAsia"/>
          <w:color w:val="auto"/>
        </w:rPr>
        <w:t>经济延续下滑趋势，对于信用风险的担忧加大短期经济下行压力和资本市场的波动</w:t>
      </w:r>
      <w:r w:rsidR="00D94957">
        <w:rPr>
          <w:rFonts w:eastAsia="楷体_GB2312" w:hint="eastAsia"/>
          <w:color w:val="auto"/>
        </w:rPr>
        <w:t>，</w:t>
      </w:r>
      <w:r w:rsidRPr="00FC54FE">
        <w:rPr>
          <w:rFonts w:ascii="楷体" w:eastAsia="楷体" w:hAnsi="楷体" w:hint="eastAsia"/>
        </w:rPr>
        <w:t>港股整体配置价值尚需等待。</w:t>
      </w:r>
      <w:r w:rsidRPr="00E4421C">
        <w:rPr>
          <w:rFonts w:eastAsia="楷体_GB2312" w:hint="eastAsia"/>
          <w:color w:val="auto"/>
        </w:rPr>
        <w:t>两会期间改革推进红利的释放，改革相关主题投资机会关注度上升</w:t>
      </w:r>
      <w:r w:rsidR="00D94957">
        <w:rPr>
          <w:rFonts w:eastAsia="楷体_GB2312" w:hint="eastAsia"/>
          <w:color w:val="auto"/>
        </w:rPr>
        <w:t>，</w:t>
      </w:r>
      <w:r w:rsidR="008016D9" w:rsidRPr="00FC54FE">
        <w:rPr>
          <w:rFonts w:ascii="楷体" w:eastAsia="楷体" w:hAnsi="楷体" w:hint="eastAsia"/>
        </w:rPr>
        <w:t>结构性机会可以尝试把握，产品投资建议选择主动型。</w:t>
      </w:r>
      <w:r w:rsidR="00F01B0B" w:rsidRPr="00F01B0B">
        <w:rPr>
          <w:rFonts w:ascii="楷体" w:eastAsia="楷体" w:hAnsi="楷体" w:hint="eastAsia"/>
        </w:rPr>
        <w:t>乌克兰局势</w:t>
      </w:r>
      <w:r w:rsidR="00F01B0B">
        <w:rPr>
          <w:rFonts w:ascii="楷体" w:eastAsia="楷体" w:hAnsi="楷体" w:hint="eastAsia"/>
        </w:rPr>
        <w:t>令国际市场担忧原油供给受到冲击，直接导致近期国际市场油价</w:t>
      </w:r>
      <w:r w:rsidR="004F7FEC">
        <w:rPr>
          <w:rFonts w:ascii="楷体" w:eastAsia="楷体" w:hAnsi="楷体" w:hint="eastAsia"/>
        </w:rPr>
        <w:t>飙升，</w:t>
      </w:r>
      <w:r w:rsidR="00F01B0B">
        <w:rPr>
          <w:rFonts w:ascii="楷体" w:eastAsia="楷体" w:hAnsi="楷体" w:hint="eastAsia"/>
        </w:rPr>
        <w:t>黄金价格也由于避险因素大幅反弹，</w:t>
      </w:r>
      <w:r w:rsidR="008016D9" w:rsidRPr="00F01B0B">
        <w:rPr>
          <w:rFonts w:ascii="楷体" w:eastAsia="楷体" w:hAnsi="楷体" w:hint="eastAsia"/>
        </w:rPr>
        <w:t>商品基金</w:t>
      </w:r>
      <w:r w:rsidR="00175064">
        <w:rPr>
          <w:rFonts w:ascii="楷体" w:eastAsia="楷体" w:hAnsi="楷体" w:hint="eastAsia"/>
        </w:rPr>
        <w:t>或</w:t>
      </w:r>
      <w:r w:rsidR="00F01B0B" w:rsidRPr="00F01B0B">
        <w:rPr>
          <w:rFonts w:ascii="楷体" w:eastAsia="楷体" w:hAnsi="楷体" w:hint="eastAsia"/>
        </w:rPr>
        <w:t>存在阶段性机会</w:t>
      </w:r>
      <w:r w:rsidR="00175064">
        <w:rPr>
          <w:rFonts w:ascii="楷体" w:eastAsia="楷体" w:hAnsi="楷体" w:hint="eastAsia"/>
        </w:rPr>
        <w:t>，但需要根据局势变化灵活把握</w:t>
      </w:r>
      <w:r w:rsidR="008016D9" w:rsidRPr="00F01B0B">
        <w:rPr>
          <w:rFonts w:ascii="楷体" w:eastAsia="楷体" w:hAnsi="楷体" w:hint="eastAsia"/>
        </w:rPr>
        <w:t>。</w:t>
      </w:r>
    </w:p>
    <w:p w:rsidR="001F0E37" w:rsidRPr="00FC54FE" w:rsidRDefault="008016D9" w:rsidP="008016D9">
      <w:pPr>
        <w:pStyle w:val="ab"/>
        <w:spacing w:after="163"/>
        <w:ind w:firstLineChars="200" w:firstLine="420"/>
        <w:rPr>
          <w:rFonts w:ascii="楷体" w:eastAsia="楷体" w:hAnsi="楷体"/>
          <w:b/>
          <w:color w:val="auto"/>
        </w:rPr>
      </w:pPr>
      <w:r w:rsidRPr="00FC54FE">
        <w:rPr>
          <w:rFonts w:ascii="楷体" w:eastAsia="楷体" w:hAnsi="楷体" w:hint="eastAsia"/>
        </w:rPr>
        <w:t>综上，3月份</w:t>
      </w:r>
      <w:r w:rsidRPr="00FC54FE">
        <w:rPr>
          <w:rFonts w:ascii="楷体" w:eastAsia="楷体" w:hAnsi="楷体"/>
        </w:rPr>
        <w:t>QDII</w:t>
      </w:r>
      <w:r w:rsidRPr="00FC54FE">
        <w:rPr>
          <w:rFonts w:ascii="楷体" w:eastAsia="楷体" w:hAnsi="楷体" w:hint="eastAsia"/>
        </w:rPr>
        <w:t>投资建议主要配置美股指基，适当搭配在港股市场做主动投资的基金产品。具体产品推荐国泰纳斯达克</w:t>
      </w:r>
      <w:r w:rsidRPr="00FC54FE">
        <w:rPr>
          <w:rFonts w:ascii="楷体" w:eastAsia="楷体" w:hAnsi="楷体"/>
        </w:rPr>
        <w:t>100</w:t>
      </w:r>
      <w:r w:rsidRPr="00FC54FE">
        <w:rPr>
          <w:rFonts w:ascii="楷体" w:eastAsia="楷体" w:hAnsi="楷体" w:hint="eastAsia"/>
        </w:rPr>
        <w:t>指数基金、</w:t>
      </w:r>
      <w:r w:rsidR="00F01B0B" w:rsidRPr="005D1897">
        <w:rPr>
          <w:rFonts w:ascii="楷体" w:eastAsia="楷体" w:hAnsi="楷体" w:hint="eastAsia"/>
          <w:color w:val="auto"/>
        </w:rPr>
        <w:t>大成标普500等权重指数基金</w:t>
      </w:r>
      <w:r w:rsidR="00F01B0B">
        <w:rPr>
          <w:rFonts w:ascii="楷体" w:eastAsia="楷体" w:hAnsi="楷体" w:hint="eastAsia"/>
          <w:color w:val="auto"/>
        </w:rPr>
        <w:t>、</w:t>
      </w:r>
      <w:r w:rsidRPr="00FC54FE">
        <w:rPr>
          <w:rFonts w:ascii="楷体" w:eastAsia="楷体" w:hAnsi="楷体" w:hint="eastAsia"/>
          <w:color w:val="auto"/>
        </w:rPr>
        <w:t>富国中国中小盘(香港上市)股票型基金。</w:t>
      </w:r>
    </w:p>
    <w:p w:rsidR="00A70401" w:rsidRPr="00FC54FE" w:rsidRDefault="00A70401" w:rsidP="00A70401">
      <w:pPr>
        <w:widowControl/>
        <w:spacing w:after="120" w:line="240" w:lineRule="exact"/>
        <w:ind w:left="3430"/>
        <w:rPr>
          <w:rFonts w:ascii="楷体" w:eastAsia="楷体" w:hAnsi="楷体" w:cs="Times New Roman"/>
          <w:b/>
          <w:bCs/>
          <w:color w:val="0070C0"/>
          <w:kern w:val="0"/>
          <w:sz w:val="24"/>
          <w:szCs w:val="20"/>
          <w:lang w:val="en-GB"/>
        </w:rPr>
      </w:pPr>
      <w:r w:rsidRPr="00FC54FE">
        <w:rPr>
          <w:rFonts w:ascii="楷体" w:eastAsia="楷体" w:hAnsi="楷体" w:cs="Times New Roman" w:hint="eastAsia"/>
          <w:b/>
          <w:bCs/>
          <w:color w:val="0070C0"/>
          <w:kern w:val="0"/>
          <w:sz w:val="24"/>
          <w:szCs w:val="20"/>
          <w:lang w:val="en-GB"/>
        </w:rPr>
        <w:t>发达市场：</w:t>
      </w:r>
      <w:r w:rsidR="00D57F4A" w:rsidRPr="00FC54FE">
        <w:rPr>
          <w:rFonts w:ascii="楷体" w:eastAsia="楷体" w:hAnsi="楷体" w:cs="Times New Roman" w:hint="eastAsia"/>
          <w:b/>
          <w:bCs/>
          <w:color w:val="0070C0"/>
          <w:kern w:val="0"/>
          <w:sz w:val="24"/>
          <w:szCs w:val="20"/>
          <w:lang w:val="en-GB"/>
        </w:rPr>
        <w:t>美国经济</w:t>
      </w:r>
      <w:r w:rsidR="006E4B5D" w:rsidRPr="00FC54FE">
        <w:rPr>
          <w:rFonts w:ascii="楷体" w:eastAsia="楷体" w:hAnsi="楷体" w:cs="Times New Roman" w:hint="eastAsia"/>
          <w:b/>
          <w:bCs/>
          <w:color w:val="0070C0"/>
          <w:kern w:val="0"/>
          <w:sz w:val="24"/>
          <w:szCs w:val="20"/>
          <w:lang w:val="en-GB"/>
        </w:rPr>
        <w:t>缓慢</w:t>
      </w:r>
      <w:r w:rsidR="00D57F4A" w:rsidRPr="00FC54FE">
        <w:rPr>
          <w:rFonts w:ascii="楷体" w:eastAsia="楷体" w:hAnsi="楷体" w:cs="Times New Roman" w:hint="eastAsia"/>
          <w:b/>
          <w:bCs/>
          <w:color w:val="0070C0"/>
          <w:kern w:val="0"/>
          <w:sz w:val="24"/>
          <w:szCs w:val="20"/>
          <w:lang w:val="en-GB"/>
        </w:rPr>
        <w:t>复苏</w:t>
      </w:r>
      <w:r w:rsidR="000F61AF" w:rsidRPr="00FC54FE">
        <w:rPr>
          <w:rFonts w:ascii="楷体" w:eastAsia="楷体" w:hAnsi="楷体" w:cs="Times New Roman" w:hint="eastAsia"/>
          <w:b/>
          <w:bCs/>
          <w:color w:val="0070C0"/>
          <w:kern w:val="0"/>
          <w:sz w:val="24"/>
          <w:szCs w:val="20"/>
          <w:lang w:val="en-GB"/>
        </w:rPr>
        <w:t>，</w:t>
      </w:r>
      <w:r w:rsidR="00D57F4A" w:rsidRPr="00FC54FE">
        <w:rPr>
          <w:rFonts w:ascii="楷体" w:eastAsia="楷体" w:hAnsi="楷体" w:cs="Times New Roman" w:hint="eastAsia"/>
          <w:b/>
          <w:bCs/>
          <w:color w:val="0070C0"/>
          <w:kern w:val="0"/>
          <w:sz w:val="24"/>
          <w:szCs w:val="20"/>
          <w:lang w:val="en-GB"/>
        </w:rPr>
        <w:t>欧洲</w:t>
      </w:r>
      <w:r w:rsidR="00DB23AC" w:rsidRPr="00FC54FE">
        <w:rPr>
          <w:rFonts w:ascii="楷体" w:eastAsia="楷体" w:hAnsi="楷体" w:cs="Times New Roman" w:hint="eastAsia"/>
          <w:b/>
          <w:bCs/>
          <w:color w:val="0070C0"/>
          <w:kern w:val="0"/>
          <w:sz w:val="24"/>
          <w:szCs w:val="20"/>
          <w:lang w:val="en-GB"/>
        </w:rPr>
        <w:t>谨防</w:t>
      </w:r>
      <w:r w:rsidR="00D57F4A" w:rsidRPr="00FC54FE">
        <w:rPr>
          <w:rFonts w:ascii="楷体" w:eastAsia="楷体" w:hAnsi="楷体" w:cs="Times New Roman" w:hint="eastAsia"/>
          <w:b/>
          <w:bCs/>
          <w:color w:val="0070C0"/>
          <w:kern w:val="0"/>
          <w:sz w:val="24"/>
          <w:szCs w:val="20"/>
          <w:lang w:val="en-GB"/>
        </w:rPr>
        <w:t>地缘风险</w:t>
      </w:r>
    </w:p>
    <w:p w:rsidR="006E4B5D" w:rsidRPr="00FC54FE" w:rsidRDefault="004C722B" w:rsidP="00913283">
      <w:pPr>
        <w:pStyle w:val="ab"/>
        <w:numPr>
          <w:ilvl w:val="4"/>
          <w:numId w:val="1"/>
        </w:numPr>
        <w:spacing w:after="163"/>
        <w:rPr>
          <w:rFonts w:ascii="楷体" w:eastAsia="楷体" w:hAnsi="楷体"/>
          <w:szCs w:val="21"/>
        </w:rPr>
      </w:pPr>
      <w:r w:rsidRPr="00FC54FE">
        <w:rPr>
          <w:rFonts w:ascii="楷体" w:eastAsia="楷体" w:hAnsi="楷体" w:hint="eastAsia"/>
          <w:szCs w:val="21"/>
        </w:rPr>
        <w:t>2014年世界经济</w:t>
      </w:r>
      <w:r w:rsidR="00032FF0">
        <w:rPr>
          <w:rFonts w:ascii="楷体" w:eastAsia="楷体" w:hAnsi="楷体" w:hint="eastAsia"/>
          <w:szCs w:val="21"/>
        </w:rPr>
        <w:t>继续</w:t>
      </w:r>
      <w:r w:rsidRPr="00FC54FE">
        <w:rPr>
          <w:rFonts w:ascii="楷体" w:eastAsia="楷体" w:hAnsi="楷体" w:hint="eastAsia"/>
          <w:szCs w:val="21"/>
        </w:rPr>
        <w:t>保持温和复苏态势，发达国家</w:t>
      </w:r>
      <w:r w:rsidR="00032FF0">
        <w:rPr>
          <w:rFonts w:ascii="楷体" w:eastAsia="楷体" w:hAnsi="楷体" w:hint="eastAsia"/>
          <w:szCs w:val="21"/>
        </w:rPr>
        <w:t>在</w:t>
      </w:r>
      <w:r w:rsidRPr="00FC54FE">
        <w:rPr>
          <w:rFonts w:ascii="楷体" w:eastAsia="楷体" w:hAnsi="楷体" w:hint="eastAsia"/>
          <w:szCs w:val="21"/>
        </w:rPr>
        <w:t>经济增速</w:t>
      </w:r>
      <w:r w:rsidR="00032FF0">
        <w:rPr>
          <w:rFonts w:ascii="楷体" w:eastAsia="楷体" w:hAnsi="楷体" w:hint="eastAsia"/>
          <w:szCs w:val="21"/>
        </w:rPr>
        <w:t>上扮演越来越重要的角色</w:t>
      </w:r>
      <w:r w:rsidRPr="00FC54FE">
        <w:rPr>
          <w:rFonts w:ascii="楷体" w:eastAsia="楷体" w:hAnsi="楷体" w:hint="eastAsia"/>
          <w:szCs w:val="21"/>
        </w:rPr>
        <w:t>。</w:t>
      </w:r>
      <w:r w:rsidR="00E963B0" w:rsidRPr="00FC54FE">
        <w:rPr>
          <w:rFonts w:ascii="楷体" w:eastAsia="楷体" w:hAnsi="楷体" w:hint="eastAsia"/>
          <w:szCs w:val="21"/>
        </w:rPr>
        <w:t>在为即将召开的20国集团会议准备的</w:t>
      </w:r>
      <w:r w:rsidR="00AA6F30" w:rsidRPr="00FC54FE">
        <w:rPr>
          <w:rFonts w:ascii="楷体" w:eastAsia="楷体" w:hAnsi="楷体" w:hint="eastAsia"/>
          <w:szCs w:val="21"/>
        </w:rPr>
        <w:t>报告中</w:t>
      </w:r>
      <w:r w:rsidR="00E963B0" w:rsidRPr="00FC54FE">
        <w:rPr>
          <w:rFonts w:ascii="楷体" w:eastAsia="楷体" w:hAnsi="楷体" w:hint="eastAsia"/>
          <w:szCs w:val="21"/>
        </w:rPr>
        <w:t>IMF人士称，全球经济</w:t>
      </w:r>
      <w:r w:rsidR="00AA6F30" w:rsidRPr="00FC54FE">
        <w:rPr>
          <w:rFonts w:ascii="楷体" w:eastAsia="楷体" w:hAnsi="楷体" w:hint="eastAsia"/>
          <w:szCs w:val="21"/>
        </w:rPr>
        <w:t>在</w:t>
      </w:r>
      <w:r w:rsidR="00E73117" w:rsidRPr="00FC54FE">
        <w:rPr>
          <w:rFonts w:ascii="楷体" w:eastAsia="楷体" w:hAnsi="楷体" w:hint="eastAsia"/>
          <w:szCs w:val="21"/>
        </w:rPr>
        <w:t>20</w:t>
      </w:r>
      <w:r w:rsidR="00AA6F30" w:rsidRPr="00FC54FE">
        <w:rPr>
          <w:rFonts w:ascii="楷体" w:eastAsia="楷体" w:hAnsi="楷体" w:hint="eastAsia"/>
          <w:szCs w:val="21"/>
        </w:rPr>
        <w:t>14年、</w:t>
      </w:r>
      <w:r w:rsidR="00E73117" w:rsidRPr="00FC54FE">
        <w:rPr>
          <w:rFonts w:ascii="楷体" w:eastAsia="楷体" w:hAnsi="楷体" w:hint="eastAsia"/>
          <w:szCs w:val="21"/>
        </w:rPr>
        <w:t>20</w:t>
      </w:r>
      <w:r w:rsidR="00AA6F30" w:rsidRPr="00FC54FE">
        <w:rPr>
          <w:rFonts w:ascii="楷体" w:eastAsia="楷体" w:hAnsi="楷体" w:hint="eastAsia"/>
          <w:szCs w:val="21"/>
        </w:rPr>
        <w:t>15年将进一步改善，</w:t>
      </w:r>
      <w:r w:rsidR="00E963B0" w:rsidRPr="00FC54FE">
        <w:rPr>
          <w:rFonts w:ascii="楷体" w:eastAsia="楷体" w:hAnsi="楷体" w:hint="eastAsia"/>
          <w:szCs w:val="21"/>
        </w:rPr>
        <w:t>预计今年经济率增长约为3.75%，</w:t>
      </w:r>
      <w:r w:rsidRPr="00FC54FE">
        <w:rPr>
          <w:rFonts w:ascii="楷体" w:eastAsia="楷体" w:hAnsi="楷体" w:hint="eastAsia"/>
          <w:szCs w:val="21"/>
        </w:rPr>
        <w:t>明</w:t>
      </w:r>
      <w:r w:rsidR="00E963B0" w:rsidRPr="00FC54FE">
        <w:rPr>
          <w:rFonts w:ascii="楷体" w:eastAsia="楷体" w:hAnsi="楷体" w:hint="eastAsia"/>
          <w:szCs w:val="21"/>
        </w:rPr>
        <w:t>年为4.0%。</w:t>
      </w:r>
    </w:p>
    <w:p w:rsidR="00256A3A" w:rsidRPr="00FC54FE" w:rsidRDefault="00256A3A" w:rsidP="00256A3A">
      <w:pPr>
        <w:widowControl/>
        <w:spacing w:after="120"/>
        <w:ind w:left="3430"/>
        <w:rPr>
          <w:rFonts w:ascii="楷体" w:eastAsia="楷体" w:hAnsi="楷体"/>
          <w:b/>
          <w:bCs/>
          <w:color w:val="0070C0"/>
          <w:kern w:val="0"/>
          <w:szCs w:val="21"/>
          <w:lang w:val="en-GB"/>
        </w:rPr>
      </w:pPr>
      <w:r w:rsidRPr="00FC54FE">
        <w:rPr>
          <w:rFonts w:ascii="楷体" w:eastAsia="楷体" w:hAnsi="楷体" w:hint="eastAsia"/>
          <w:b/>
          <w:bCs/>
          <w:color w:val="0070C0"/>
          <w:kern w:val="0"/>
          <w:szCs w:val="21"/>
          <w:lang w:val="en-GB"/>
        </w:rPr>
        <w:t>美国</w:t>
      </w:r>
      <w:r w:rsidR="001E40D5" w:rsidRPr="00FC54FE">
        <w:rPr>
          <w:rFonts w:ascii="楷体" w:eastAsia="楷体" w:hAnsi="楷体" w:hint="eastAsia"/>
          <w:b/>
          <w:bCs/>
          <w:color w:val="0070C0"/>
          <w:kern w:val="0"/>
          <w:szCs w:val="21"/>
          <w:lang w:val="en-GB"/>
        </w:rPr>
        <w:t>：</w:t>
      </w:r>
      <w:r w:rsidR="00461D50" w:rsidRPr="00FC54FE">
        <w:rPr>
          <w:rFonts w:ascii="楷体" w:eastAsia="楷体" w:hAnsi="楷体" w:hint="eastAsia"/>
          <w:b/>
          <w:bCs/>
          <w:color w:val="0070C0"/>
          <w:kern w:val="0"/>
          <w:szCs w:val="21"/>
          <w:lang w:val="en-GB"/>
        </w:rPr>
        <w:t>耶伦表态支持宽松，“严寒</w:t>
      </w:r>
      <w:r w:rsidR="00461D50" w:rsidRPr="00FC54FE">
        <w:rPr>
          <w:rFonts w:ascii="楷体" w:eastAsia="楷体" w:hAnsi="楷体"/>
          <w:b/>
          <w:bCs/>
          <w:color w:val="0070C0"/>
          <w:kern w:val="0"/>
          <w:szCs w:val="21"/>
          <w:lang w:val="en-GB"/>
        </w:rPr>
        <w:t>”</w:t>
      </w:r>
      <w:r w:rsidR="00461D50" w:rsidRPr="00FC54FE">
        <w:rPr>
          <w:rFonts w:ascii="楷体" w:eastAsia="楷体" w:hAnsi="楷体" w:hint="eastAsia"/>
          <w:b/>
          <w:bCs/>
          <w:color w:val="0070C0"/>
          <w:kern w:val="0"/>
          <w:szCs w:val="21"/>
          <w:lang w:val="en-GB"/>
        </w:rPr>
        <w:t>渐退数据趋暖</w:t>
      </w:r>
    </w:p>
    <w:p w:rsidR="00956509" w:rsidRPr="00FC54FE" w:rsidRDefault="00956509" w:rsidP="00770C89">
      <w:pPr>
        <w:pStyle w:val="ab"/>
        <w:numPr>
          <w:ilvl w:val="4"/>
          <w:numId w:val="1"/>
        </w:numPr>
        <w:spacing w:after="163"/>
        <w:rPr>
          <w:rFonts w:ascii="楷体" w:eastAsia="楷体" w:hAnsi="楷体"/>
        </w:rPr>
      </w:pPr>
      <w:r w:rsidRPr="00FC54FE">
        <w:rPr>
          <w:rFonts w:ascii="楷体" w:eastAsia="楷体" w:hAnsi="楷体"/>
        </w:rPr>
        <w:t>2</w:t>
      </w:r>
      <w:r w:rsidRPr="00FC54FE">
        <w:rPr>
          <w:rFonts w:ascii="楷体" w:eastAsia="楷体" w:hAnsi="楷体" w:hint="eastAsia"/>
        </w:rPr>
        <w:t>月</w:t>
      </w:r>
      <w:r w:rsidRPr="00FC54FE">
        <w:rPr>
          <w:rFonts w:ascii="楷体" w:eastAsia="楷体" w:hAnsi="楷体"/>
        </w:rPr>
        <w:t>11</w:t>
      </w:r>
      <w:r w:rsidRPr="00FC54FE">
        <w:rPr>
          <w:rFonts w:ascii="楷体" w:eastAsia="楷体" w:hAnsi="楷体" w:hint="eastAsia"/>
        </w:rPr>
        <w:t>日，美联储主席耶伦赴众议院金融服务委员会出席听证会，就美国目前宏观经济状况及变化</w:t>
      </w:r>
      <w:r w:rsidR="0046397E" w:rsidRPr="00FC54FE">
        <w:rPr>
          <w:rFonts w:ascii="楷体" w:eastAsia="楷体" w:hAnsi="楷体" w:hint="eastAsia"/>
        </w:rPr>
        <w:t>趋势、未来货币政策操作和金融体系监管做了解读说明，</w:t>
      </w:r>
      <w:r w:rsidR="00770C89" w:rsidRPr="00FC54FE">
        <w:rPr>
          <w:rFonts w:ascii="楷体" w:eastAsia="楷体" w:hAnsi="楷体" w:hint="eastAsia"/>
        </w:rPr>
        <w:t>称</w:t>
      </w:r>
      <w:r w:rsidRPr="00FC54FE">
        <w:rPr>
          <w:rFonts w:ascii="楷体" w:eastAsia="楷体" w:hAnsi="楷体" w:hint="eastAsia"/>
        </w:rPr>
        <w:t>将继续保持政策的连续性，逐步退出</w:t>
      </w:r>
      <w:r w:rsidRPr="00FC54FE">
        <w:rPr>
          <w:rFonts w:ascii="楷体" w:eastAsia="楷体" w:hAnsi="楷体"/>
        </w:rPr>
        <w:t>QE</w:t>
      </w:r>
      <w:r w:rsidR="00D57F4A" w:rsidRPr="00FC54FE">
        <w:rPr>
          <w:rFonts w:ascii="楷体" w:eastAsia="楷体" w:hAnsi="楷体" w:hint="eastAsia"/>
        </w:rPr>
        <w:t>，维持超低政策利率，</w:t>
      </w:r>
      <w:r w:rsidRPr="00FC54FE">
        <w:rPr>
          <w:rFonts w:ascii="楷体" w:eastAsia="楷体" w:hAnsi="楷体" w:hint="eastAsia"/>
        </w:rPr>
        <w:t>向市场表达了明确的支持宽松态度</w:t>
      </w:r>
      <w:r w:rsidR="00D462D3" w:rsidRPr="00FC54FE">
        <w:rPr>
          <w:rFonts w:ascii="楷体" w:eastAsia="楷体" w:hAnsi="楷体" w:hint="eastAsia"/>
        </w:rPr>
        <w:t>，</w:t>
      </w:r>
      <w:r w:rsidRPr="00FC54FE">
        <w:rPr>
          <w:rFonts w:ascii="楷体" w:eastAsia="楷体" w:hAnsi="楷体" w:hint="eastAsia"/>
        </w:rPr>
        <w:t>并</w:t>
      </w:r>
      <w:r w:rsidR="00770C89" w:rsidRPr="00FC54FE">
        <w:rPr>
          <w:rFonts w:ascii="楷体" w:eastAsia="楷体" w:hAnsi="楷体" w:hint="eastAsia"/>
        </w:rPr>
        <w:t>提出</w:t>
      </w:r>
      <w:r w:rsidRPr="00FC54FE">
        <w:rPr>
          <w:rFonts w:ascii="楷体" w:eastAsia="楷体" w:hAnsi="楷体" w:hint="eastAsia"/>
        </w:rPr>
        <w:t>在</w:t>
      </w:r>
      <w:r w:rsidRPr="00FC54FE">
        <w:rPr>
          <w:rFonts w:ascii="楷体" w:eastAsia="楷体" w:hAnsi="楷体"/>
        </w:rPr>
        <w:t>QE</w:t>
      </w:r>
      <w:r w:rsidR="00770C89" w:rsidRPr="00FC54FE">
        <w:rPr>
          <w:rFonts w:ascii="楷体" w:eastAsia="楷体" w:hAnsi="楷体" w:hint="eastAsia"/>
        </w:rPr>
        <w:t>退出后会在相当长</w:t>
      </w:r>
      <w:r w:rsidRPr="00FC54FE">
        <w:rPr>
          <w:rFonts w:ascii="楷体" w:eastAsia="楷体" w:hAnsi="楷体" w:hint="eastAsia"/>
        </w:rPr>
        <w:t>时间内维持宽松的政策环境，即使失业率回落至</w:t>
      </w:r>
      <w:r w:rsidRPr="00FC54FE">
        <w:rPr>
          <w:rFonts w:ascii="楷体" w:eastAsia="楷体" w:hAnsi="楷体"/>
        </w:rPr>
        <w:t>6.5%</w:t>
      </w:r>
      <w:r w:rsidRPr="00FC54FE">
        <w:rPr>
          <w:rFonts w:ascii="楷体" w:eastAsia="楷体" w:hAnsi="楷体" w:hint="eastAsia"/>
        </w:rPr>
        <w:t>以下，只要通胀水平在</w:t>
      </w:r>
      <w:r w:rsidRPr="00FC54FE">
        <w:rPr>
          <w:rFonts w:ascii="楷体" w:eastAsia="楷体" w:hAnsi="楷体"/>
        </w:rPr>
        <w:t>2%</w:t>
      </w:r>
      <w:r w:rsidRPr="00FC54FE">
        <w:rPr>
          <w:rFonts w:ascii="楷体" w:eastAsia="楷体" w:hAnsi="楷体" w:hint="eastAsia"/>
        </w:rPr>
        <w:t>以下，美联储仍将维持超低政策利率。</w:t>
      </w:r>
      <w:r w:rsidR="007910D2" w:rsidRPr="00FC54FE">
        <w:rPr>
          <w:rFonts w:ascii="楷体" w:eastAsia="楷体" w:hAnsi="楷体" w:hint="eastAsia"/>
        </w:rPr>
        <w:t>耶伦国会证词语言偏鸽派，</w:t>
      </w:r>
      <w:r w:rsidR="004F5F12" w:rsidRPr="00FC54FE">
        <w:rPr>
          <w:rFonts w:ascii="楷体" w:eastAsia="楷体" w:hAnsi="楷体" w:hint="eastAsia"/>
        </w:rPr>
        <w:t>护航美国经济意图明显。</w:t>
      </w:r>
      <w:r w:rsidR="00A33C93" w:rsidRPr="00FC54FE">
        <w:rPr>
          <w:rFonts w:ascii="楷体" w:eastAsia="楷体" w:hAnsi="楷体" w:hint="eastAsia"/>
        </w:rPr>
        <w:t>另外，美国众议院</w:t>
      </w:r>
      <w:r w:rsidR="00C425AA">
        <w:rPr>
          <w:rFonts w:ascii="楷体" w:eastAsia="楷体" w:hAnsi="楷体" w:hint="eastAsia"/>
        </w:rPr>
        <w:t>和参议院均</w:t>
      </w:r>
      <w:r w:rsidR="00A33C93" w:rsidRPr="00FC54FE">
        <w:rPr>
          <w:rFonts w:ascii="楷体" w:eastAsia="楷体" w:hAnsi="楷体" w:hint="eastAsia"/>
        </w:rPr>
        <w:t>通过了取消美国政府举债上限直至</w:t>
      </w:r>
      <w:r w:rsidR="00A33C93" w:rsidRPr="00FC54FE">
        <w:rPr>
          <w:rFonts w:ascii="楷体" w:eastAsia="楷体" w:hAnsi="楷体"/>
        </w:rPr>
        <w:t>2015</w:t>
      </w:r>
      <w:r w:rsidR="00A33C93" w:rsidRPr="00FC54FE">
        <w:rPr>
          <w:rFonts w:ascii="楷体" w:eastAsia="楷体" w:hAnsi="楷体" w:hint="eastAsia"/>
        </w:rPr>
        <w:t>年</w:t>
      </w:r>
      <w:r w:rsidR="00A33C93" w:rsidRPr="00FC54FE">
        <w:rPr>
          <w:rFonts w:ascii="楷体" w:eastAsia="楷体" w:hAnsi="楷体"/>
        </w:rPr>
        <w:t>3</w:t>
      </w:r>
      <w:r w:rsidR="00A33C93" w:rsidRPr="00FC54FE">
        <w:rPr>
          <w:rFonts w:ascii="楷体" w:eastAsia="楷体" w:hAnsi="楷体" w:hint="eastAsia"/>
        </w:rPr>
        <w:t>月的法案，</w:t>
      </w:r>
      <w:r w:rsidR="00C425AA">
        <w:rPr>
          <w:rFonts w:ascii="楷体" w:eastAsia="楷体" w:hAnsi="楷体" w:hint="eastAsia"/>
        </w:rPr>
        <w:t>仅等</w:t>
      </w:r>
      <w:r w:rsidR="00C425AA" w:rsidRPr="00C425AA">
        <w:rPr>
          <w:rFonts w:ascii="楷体" w:eastAsia="楷体" w:hAnsi="楷体" w:hint="eastAsia"/>
        </w:rPr>
        <w:t>美国总统奥巴马签署生效</w:t>
      </w:r>
      <w:r w:rsidR="007A06AE" w:rsidRPr="00FC54FE">
        <w:rPr>
          <w:rFonts w:ascii="楷体" w:eastAsia="楷体" w:hAnsi="楷体" w:hint="eastAsia"/>
        </w:rPr>
        <w:t>，</w:t>
      </w:r>
      <w:r w:rsidR="00C425AA">
        <w:rPr>
          <w:rFonts w:ascii="楷体" w:eastAsia="楷体" w:hAnsi="楷体" w:hint="eastAsia"/>
        </w:rPr>
        <w:t>这</w:t>
      </w:r>
      <w:r w:rsidR="00D57F4A" w:rsidRPr="00FC54FE">
        <w:rPr>
          <w:rFonts w:ascii="楷体" w:eastAsia="楷体" w:hAnsi="楷体" w:hint="eastAsia"/>
        </w:rPr>
        <w:t>意味着市场对于美国国债违约的担忧彻底消除。</w:t>
      </w:r>
    </w:p>
    <w:p w:rsidR="00EF11B0" w:rsidRPr="00FC54FE" w:rsidRDefault="00EF11B0" w:rsidP="00EF11B0">
      <w:pPr>
        <w:pStyle w:val="ab"/>
        <w:numPr>
          <w:ilvl w:val="4"/>
          <w:numId w:val="1"/>
        </w:numPr>
        <w:spacing w:after="163"/>
        <w:rPr>
          <w:rFonts w:ascii="楷体" w:eastAsia="楷体" w:hAnsi="楷体"/>
          <w:color w:val="FF0000"/>
        </w:rPr>
      </w:pPr>
      <w:r w:rsidRPr="00FC54FE">
        <w:rPr>
          <w:rFonts w:ascii="楷体" w:eastAsia="楷体" w:hAnsi="楷体" w:hint="eastAsia"/>
        </w:rPr>
        <w:t>近期美国</w:t>
      </w:r>
      <w:r w:rsidR="0018765E" w:rsidRPr="00FC54FE">
        <w:rPr>
          <w:rFonts w:ascii="楷体" w:eastAsia="楷体" w:hAnsi="楷体" w:hint="eastAsia"/>
        </w:rPr>
        <w:t>各项</w:t>
      </w:r>
      <w:r w:rsidR="002E6539" w:rsidRPr="00FC54FE">
        <w:rPr>
          <w:rFonts w:ascii="楷体" w:eastAsia="楷体" w:hAnsi="楷体" w:hint="eastAsia"/>
        </w:rPr>
        <w:t>经济</w:t>
      </w:r>
      <w:r w:rsidRPr="00FC54FE">
        <w:rPr>
          <w:rFonts w:ascii="楷体" w:eastAsia="楷体" w:hAnsi="楷体" w:hint="eastAsia"/>
        </w:rPr>
        <w:t>数据好坏参半，</w:t>
      </w:r>
      <w:r w:rsidR="009D763E" w:rsidRPr="00FC54FE">
        <w:rPr>
          <w:rFonts w:ascii="楷体" w:eastAsia="楷体" w:hAnsi="楷体" w:hint="eastAsia"/>
        </w:rPr>
        <w:t>主要归因于</w:t>
      </w:r>
      <w:r w:rsidR="000E4F92" w:rsidRPr="00FC54FE">
        <w:rPr>
          <w:rFonts w:ascii="楷体" w:eastAsia="楷体" w:hAnsi="楷体" w:hint="eastAsia"/>
        </w:rPr>
        <w:t>极端天气的扰动</w:t>
      </w:r>
      <w:r w:rsidR="00094002" w:rsidRPr="00FC54FE">
        <w:rPr>
          <w:rFonts w:ascii="楷体" w:eastAsia="楷体" w:hAnsi="楷体" w:hint="eastAsia"/>
        </w:rPr>
        <w:t>，对美国经济增长无需过度担忧</w:t>
      </w:r>
      <w:r w:rsidR="001B40F7" w:rsidRPr="00FC54FE">
        <w:rPr>
          <w:rFonts w:ascii="楷体" w:eastAsia="楷体" w:hAnsi="楷体" w:hint="eastAsia"/>
        </w:rPr>
        <w:t>。美国联邦储备委员会调查结果显示，今年1、2月美国大部分地区经济活动改善，但异常寒冷的天气阻碍了经济强劲增长</w:t>
      </w:r>
      <w:r w:rsidR="000E4F92" w:rsidRPr="00FC54FE">
        <w:rPr>
          <w:rFonts w:ascii="楷体" w:eastAsia="楷体" w:hAnsi="楷体" w:hint="eastAsia"/>
        </w:rPr>
        <w:t>。不过这也意味着一旦天气</w:t>
      </w:r>
      <w:r w:rsidR="009D763E" w:rsidRPr="00FC54FE">
        <w:rPr>
          <w:rFonts w:ascii="楷体" w:eastAsia="楷体" w:hAnsi="楷体" w:hint="eastAsia"/>
        </w:rPr>
        <w:t>回归常态，美国经济</w:t>
      </w:r>
      <w:r w:rsidR="000E4F92" w:rsidRPr="00FC54FE">
        <w:rPr>
          <w:rFonts w:ascii="楷体" w:eastAsia="楷体" w:hAnsi="楷体" w:hint="eastAsia"/>
        </w:rPr>
        <w:t>会加快增长</w:t>
      </w:r>
      <w:r w:rsidRPr="00FC54FE">
        <w:rPr>
          <w:rFonts w:ascii="楷体" w:eastAsia="楷体" w:hAnsi="楷体" w:hint="eastAsia"/>
        </w:rPr>
        <w:t>。</w:t>
      </w:r>
      <w:r w:rsidR="00D27A67" w:rsidRPr="00FC54FE">
        <w:rPr>
          <w:rFonts w:ascii="楷体" w:eastAsia="楷体" w:hAnsi="楷体"/>
        </w:rPr>
        <w:t>PMI</w:t>
      </w:r>
      <w:r w:rsidR="009C15AC" w:rsidRPr="00FC54FE">
        <w:rPr>
          <w:rFonts w:ascii="楷体" w:eastAsia="楷体" w:hAnsi="楷体" w:hint="eastAsia"/>
        </w:rPr>
        <w:t>等</w:t>
      </w:r>
      <w:r w:rsidR="00D27A67" w:rsidRPr="00FC54FE">
        <w:rPr>
          <w:rFonts w:ascii="楷体" w:eastAsia="楷体" w:hAnsi="楷体" w:hint="eastAsia"/>
        </w:rPr>
        <w:t>领先指标的转暖，预示寒冷天气对经济的暂时性不利影响已经开始逐渐消退。</w:t>
      </w:r>
    </w:p>
    <w:p w:rsidR="00B008AF" w:rsidRPr="00FC54FE" w:rsidRDefault="00CB6AAC" w:rsidP="00D27A67">
      <w:pPr>
        <w:pStyle w:val="ab"/>
        <w:numPr>
          <w:ilvl w:val="5"/>
          <w:numId w:val="2"/>
        </w:numPr>
        <w:spacing w:after="163"/>
        <w:ind w:left="4140" w:hanging="369"/>
        <w:rPr>
          <w:rFonts w:ascii="楷体" w:eastAsia="楷体" w:hAnsi="楷体"/>
        </w:rPr>
      </w:pPr>
      <w:r w:rsidRPr="00FC54FE">
        <w:rPr>
          <w:rFonts w:ascii="楷体" w:eastAsia="楷体" w:hAnsi="楷体" w:hint="eastAsia"/>
        </w:rPr>
        <w:t>严寒气候</w:t>
      </w:r>
      <w:r w:rsidR="00B008AF" w:rsidRPr="00FC54FE">
        <w:rPr>
          <w:rFonts w:ascii="楷体" w:eastAsia="楷体" w:hAnsi="楷体" w:hint="eastAsia"/>
        </w:rPr>
        <w:t>影响美国1月零售销售</w:t>
      </w:r>
      <w:r w:rsidRPr="00FC54FE">
        <w:rPr>
          <w:rFonts w:ascii="楷体" w:eastAsia="楷体" w:hAnsi="楷体" w:hint="eastAsia"/>
        </w:rPr>
        <w:t>环比下滑</w:t>
      </w:r>
      <w:r w:rsidR="007E0A2D" w:rsidRPr="00FC54FE">
        <w:rPr>
          <w:rFonts w:ascii="楷体" w:eastAsia="楷体" w:hAnsi="楷体" w:hint="eastAsia"/>
        </w:rPr>
        <w:t>，尤其是很多辖区的汽车销售情况，同时也影响制造业销售和生产</w:t>
      </w:r>
      <w:r w:rsidRPr="00FC54FE">
        <w:rPr>
          <w:rFonts w:ascii="楷体" w:eastAsia="楷体" w:hAnsi="楷体" w:hint="eastAsia"/>
        </w:rPr>
        <w:t>。</w:t>
      </w:r>
      <w:r w:rsidR="001B40F7" w:rsidRPr="00FC54FE">
        <w:rPr>
          <w:rFonts w:ascii="楷体" w:eastAsia="楷体" w:hAnsi="楷体" w:hint="eastAsia"/>
        </w:rPr>
        <w:t>美国商务部公布的数据显示，美国</w:t>
      </w:r>
      <w:r w:rsidR="001B40F7" w:rsidRPr="00FC54FE">
        <w:rPr>
          <w:rFonts w:ascii="楷体" w:eastAsia="楷体" w:hAnsi="楷体"/>
        </w:rPr>
        <w:t>1</w:t>
      </w:r>
      <w:r w:rsidR="001B40F7" w:rsidRPr="00FC54FE">
        <w:rPr>
          <w:rFonts w:ascii="楷体" w:eastAsia="楷体" w:hAnsi="楷体" w:hint="eastAsia"/>
        </w:rPr>
        <w:t>月零售销售月率下跌</w:t>
      </w:r>
      <w:r w:rsidR="001B40F7" w:rsidRPr="00FC54FE">
        <w:rPr>
          <w:rFonts w:ascii="楷体" w:eastAsia="楷体" w:hAnsi="楷体"/>
        </w:rPr>
        <w:t>0.4%</w:t>
      </w:r>
      <w:r w:rsidR="001B40F7" w:rsidRPr="00FC54FE">
        <w:rPr>
          <w:rFonts w:ascii="楷体" w:eastAsia="楷体" w:hAnsi="楷体" w:hint="eastAsia"/>
        </w:rPr>
        <w:t>，其中汽车销售、服装、家具店、餐厅等类别降幅较大，</w:t>
      </w:r>
      <w:r w:rsidR="001B40F7" w:rsidRPr="00FC54FE">
        <w:rPr>
          <w:rFonts w:ascii="楷体" w:eastAsia="楷体" w:hAnsi="楷体"/>
        </w:rPr>
        <w:t>12</w:t>
      </w:r>
      <w:r w:rsidR="001B40F7" w:rsidRPr="00FC54FE">
        <w:rPr>
          <w:rFonts w:ascii="楷体" w:eastAsia="楷体" w:hAnsi="楷体" w:hint="eastAsia"/>
        </w:rPr>
        <w:t>月销售数据修正为下跌</w:t>
      </w:r>
      <w:r w:rsidR="001B40F7" w:rsidRPr="00FC54FE">
        <w:rPr>
          <w:rFonts w:ascii="楷体" w:eastAsia="楷体" w:hAnsi="楷体"/>
        </w:rPr>
        <w:t>0.1%</w:t>
      </w:r>
      <w:r w:rsidR="001B40F7" w:rsidRPr="00FC54FE">
        <w:rPr>
          <w:rFonts w:ascii="楷体" w:eastAsia="楷体" w:hAnsi="楷体" w:hint="eastAsia"/>
        </w:rPr>
        <w:t>，整体零售数据不及预期。</w:t>
      </w:r>
    </w:p>
    <w:p w:rsidR="007910D2" w:rsidRPr="00FC54FE" w:rsidRDefault="00A141D7" w:rsidP="00D27A67">
      <w:pPr>
        <w:pStyle w:val="ab"/>
        <w:numPr>
          <w:ilvl w:val="5"/>
          <w:numId w:val="2"/>
        </w:numPr>
        <w:spacing w:after="163"/>
        <w:ind w:left="4140" w:hanging="369"/>
        <w:rPr>
          <w:rFonts w:ascii="楷体" w:eastAsia="楷体" w:hAnsi="楷体"/>
        </w:rPr>
      </w:pPr>
      <w:r w:rsidRPr="00FC54FE">
        <w:rPr>
          <w:rFonts w:ascii="楷体" w:eastAsia="楷体" w:hAnsi="楷体" w:hint="eastAsia"/>
        </w:rPr>
        <w:lastRenderedPageBreak/>
        <w:t>就业市场</w:t>
      </w:r>
      <w:r w:rsidR="009B4856" w:rsidRPr="00FC54FE">
        <w:rPr>
          <w:rFonts w:ascii="楷体" w:eastAsia="楷体" w:hAnsi="楷体" w:hint="eastAsia"/>
        </w:rPr>
        <w:t>略</w:t>
      </w:r>
      <w:r w:rsidRPr="00FC54FE">
        <w:rPr>
          <w:rFonts w:ascii="楷体" w:eastAsia="楷体" w:hAnsi="楷体" w:hint="eastAsia"/>
        </w:rPr>
        <w:t>显改善迹象。</w:t>
      </w:r>
      <w:r w:rsidR="00C32457" w:rsidRPr="00FC54FE">
        <w:rPr>
          <w:rFonts w:ascii="楷体" w:eastAsia="楷体" w:hAnsi="楷体" w:hint="eastAsia"/>
        </w:rPr>
        <w:t>美国劳工部</w:t>
      </w:r>
      <w:r w:rsidR="00D237A0" w:rsidRPr="00FC54FE">
        <w:rPr>
          <w:rFonts w:ascii="楷体" w:eastAsia="楷体" w:hAnsi="楷体" w:hint="eastAsia"/>
        </w:rPr>
        <w:t>3月</w:t>
      </w:r>
      <w:r w:rsidR="00C32457" w:rsidRPr="00FC54FE">
        <w:rPr>
          <w:rFonts w:ascii="楷体" w:eastAsia="楷体" w:hAnsi="楷体" w:hint="eastAsia"/>
        </w:rPr>
        <w:t>6日公布的数据显示，截至3月1日的一周，美国首次申请失业救济人数为32.3万，比前一周减少2.6万人，为</w:t>
      </w:r>
      <w:r w:rsidRPr="00FC54FE">
        <w:rPr>
          <w:rFonts w:ascii="楷体" w:eastAsia="楷体" w:hAnsi="楷体" w:hint="eastAsia"/>
        </w:rPr>
        <w:t>3个月以来最低</w:t>
      </w:r>
      <w:r w:rsidR="00C32457" w:rsidRPr="00FC54FE">
        <w:rPr>
          <w:rFonts w:ascii="楷体" w:eastAsia="楷体" w:hAnsi="楷体" w:hint="eastAsia"/>
        </w:rPr>
        <w:t>。同期，首次申请失业救济人数四周移动平均值为33.65万，减少2000人。在截至2月22日的一周，美国全国领取失业救济总人数为290.7万，比前一周减少8000人。</w:t>
      </w:r>
      <w:r w:rsidR="00A83E8D">
        <w:rPr>
          <w:rFonts w:ascii="楷体" w:eastAsia="楷体" w:hAnsi="楷体" w:hint="eastAsia"/>
        </w:rPr>
        <w:t>另外，</w:t>
      </w:r>
      <w:r w:rsidRPr="00FC54FE">
        <w:rPr>
          <w:rFonts w:ascii="楷体" w:eastAsia="楷体" w:hAnsi="楷体" w:hint="eastAsia"/>
        </w:rPr>
        <w:t>美国劳工部将于3月7日发布2</w:t>
      </w:r>
      <w:r w:rsidR="00960120" w:rsidRPr="00FC54FE">
        <w:rPr>
          <w:rFonts w:ascii="楷体" w:eastAsia="楷体" w:hAnsi="楷体" w:hint="eastAsia"/>
        </w:rPr>
        <w:t>月非农部门就业报告，</w:t>
      </w:r>
      <w:r w:rsidRPr="00FC54FE">
        <w:rPr>
          <w:rFonts w:ascii="楷体" w:eastAsia="楷体" w:hAnsi="楷体" w:hint="eastAsia"/>
        </w:rPr>
        <w:t>1月</w:t>
      </w:r>
      <w:r w:rsidR="00A216FF" w:rsidRPr="00FC54FE">
        <w:rPr>
          <w:rFonts w:ascii="楷体" w:eastAsia="楷体" w:hAnsi="楷体" w:hint="eastAsia"/>
        </w:rPr>
        <w:t>的</w:t>
      </w:r>
      <w:r w:rsidRPr="00FC54FE">
        <w:rPr>
          <w:rFonts w:ascii="楷体" w:eastAsia="楷体" w:hAnsi="楷体" w:hint="eastAsia"/>
        </w:rPr>
        <w:t>美国非农部门新增就业岗位</w:t>
      </w:r>
      <w:r w:rsidR="009B4856" w:rsidRPr="00FC54FE">
        <w:rPr>
          <w:rFonts w:ascii="楷体" w:eastAsia="楷体" w:hAnsi="楷体" w:hint="eastAsia"/>
        </w:rPr>
        <w:t>11.3</w:t>
      </w:r>
      <w:r w:rsidRPr="00FC54FE">
        <w:rPr>
          <w:rFonts w:ascii="楷体" w:eastAsia="楷体" w:hAnsi="楷体" w:hint="eastAsia"/>
        </w:rPr>
        <w:t>万个，失业率降至</w:t>
      </w:r>
      <w:r w:rsidR="009B4856" w:rsidRPr="00FC54FE">
        <w:rPr>
          <w:rFonts w:ascii="楷体" w:eastAsia="楷体" w:hAnsi="楷体" w:hint="eastAsia"/>
        </w:rPr>
        <w:t>6.6%</w:t>
      </w:r>
      <w:r w:rsidRPr="00FC54FE">
        <w:rPr>
          <w:rFonts w:ascii="楷体" w:eastAsia="楷体" w:hAnsi="楷体" w:hint="eastAsia"/>
        </w:rPr>
        <w:t>的5年新低。</w:t>
      </w:r>
      <w:r w:rsidR="009B4856" w:rsidRPr="00FC54FE">
        <w:rPr>
          <w:rFonts w:ascii="楷体" w:eastAsia="楷体" w:hAnsi="楷体" w:hint="eastAsia"/>
        </w:rPr>
        <w:t>但美国2月ISM非制造业PMI指数</w:t>
      </w:r>
      <w:r w:rsidR="00A216FF" w:rsidRPr="00FC54FE">
        <w:rPr>
          <w:rFonts w:ascii="楷体" w:eastAsia="楷体" w:hAnsi="楷体" w:hint="eastAsia"/>
        </w:rPr>
        <w:t>的</w:t>
      </w:r>
      <w:r w:rsidR="009B4856" w:rsidRPr="00FC54FE">
        <w:rPr>
          <w:rFonts w:ascii="楷体" w:eastAsia="楷体" w:hAnsi="楷体" w:hint="eastAsia"/>
        </w:rPr>
        <w:t>就业指数由1月</w:t>
      </w:r>
      <w:r w:rsidR="00960120" w:rsidRPr="00FC54FE">
        <w:rPr>
          <w:rFonts w:ascii="楷体" w:eastAsia="楷体" w:hAnsi="楷体" w:hint="eastAsia"/>
        </w:rPr>
        <w:t>创3年来新高</w:t>
      </w:r>
      <w:r w:rsidR="009B4856" w:rsidRPr="00FC54FE">
        <w:rPr>
          <w:rFonts w:ascii="楷体" w:eastAsia="楷体" w:hAnsi="楷体" w:hint="eastAsia"/>
        </w:rPr>
        <w:t>的56.4跌至47.5，表明2月非制造业雇佣在萎缩。</w:t>
      </w:r>
      <w:r w:rsidR="00960120" w:rsidRPr="00FC54FE">
        <w:rPr>
          <w:rFonts w:ascii="楷体" w:eastAsia="楷体" w:hAnsi="楷体" w:hint="eastAsia"/>
        </w:rPr>
        <w:t>疲软的ISM非制造业数据公布后，高盛、德银经济学家下调非农就业数据预期。</w:t>
      </w:r>
    </w:p>
    <w:p w:rsidR="00EF07D8" w:rsidRPr="00FC54FE" w:rsidRDefault="00A141D7" w:rsidP="00EF07D8">
      <w:pPr>
        <w:pStyle w:val="ab"/>
        <w:numPr>
          <w:ilvl w:val="5"/>
          <w:numId w:val="2"/>
        </w:numPr>
        <w:spacing w:after="163"/>
        <w:ind w:left="4140" w:hanging="369"/>
        <w:rPr>
          <w:rFonts w:ascii="楷体" w:eastAsia="楷体" w:hAnsi="楷体"/>
          <w:color w:val="auto"/>
        </w:rPr>
      </w:pPr>
      <w:r w:rsidRPr="00FC54FE">
        <w:rPr>
          <w:rFonts w:ascii="楷体" w:eastAsia="楷体" w:hAnsi="楷体" w:hint="eastAsia"/>
        </w:rPr>
        <w:t>制造业好于预期。</w:t>
      </w:r>
      <w:r w:rsidR="00094002" w:rsidRPr="00FC54FE">
        <w:rPr>
          <w:rFonts w:ascii="楷体" w:eastAsia="楷体" w:hAnsi="楷体" w:hint="eastAsia"/>
        </w:rPr>
        <w:t>市场研究公司</w:t>
      </w:r>
      <w:r w:rsidR="00094002" w:rsidRPr="00FC54FE">
        <w:rPr>
          <w:rFonts w:ascii="楷体" w:eastAsia="楷体" w:hAnsi="楷体"/>
        </w:rPr>
        <w:t>Markit</w:t>
      </w:r>
      <w:r w:rsidR="00094002" w:rsidRPr="00FC54FE">
        <w:rPr>
          <w:rFonts w:ascii="楷体" w:eastAsia="楷体" w:hAnsi="楷体" w:hint="eastAsia"/>
        </w:rPr>
        <w:t>公布，</w:t>
      </w:r>
      <w:r w:rsidR="00094002" w:rsidRPr="00FC54FE">
        <w:rPr>
          <w:rFonts w:ascii="楷体" w:eastAsia="楷体" w:hAnsi="楷体"/>
        </w:rPr>
        <w:t>2</w:t>
      </w:r>
      <w:r w:rsidR="00BE4E1B" w:rsidRPr="00FC54FE">
        <w:rPr>
          <w:rFonts w:ascii="楷体" w:eastAsia="楷体" w:hAnsi="楷体" w:hint="eastAsia"/>
        </w:rPr>
        <w:t>月份美国制造业采购经理人指数(</w:t>
      </w:r>
      <w:r w:rsidR="00094002" w:rsidRPr="00FC54FE">
        <w:rPr>
          <w:rFonts w:ascii="楷体" w:eastAsia="楷体" w:hAnsi="楷体"/>
        </w:rPr>
        <w:t>PMI</w:t>
      </w:r>
      <w:r w:rsidR="00BE4E1B" w:rsidRPr="00FC54FE">
        <w:rPr>
          <w:rFonts w:ascii="楷体" w:eastAsia="楷体" w:hAnsi="楷体" w:hint="eastAsia"/>
        </w:rPr>
        <w:t>)</w:t>
      </w:r>
      <w:r w:rsidR="004F3768" w:rsidRPr="00FC54FE">
        <w:rPr>
          <w:rFonts w:ascii="楷体" w:eastAsia="楷体" w:hAnsi="楷体" w:hint="eastAsia"/>
        </w:rPr>
        <w:t>从</w:t>
      </w:r>
      <w:r w:rsidR="004F3768" w:rsidRPr="00FC54FE">
        <w:rPr>
          <w:rFonts w:ascii="楷体" w:eastAsia="楷体" w:hAnsi="楷体"/>
        </w:rPr>
        <w:t>1</w:t>
      </w:r>
      <w:r w:rsidR="004F3768" w:rsidRPr="00FC54FE">
        <w:rPr>
          <w:rFonts w:ascii="楷体" w:eastAsia="楷体" w:hAnsi="楷体" w:hint="eastAsia"/>
        </w:rPr>
        <w:t>月份</w:t>
      </w:r>
      <w:r w:rsidR="004F3768" w:rsidRPr="00FC54FE">
        <w:rPr>
          <w:rFonts w:ascii="楷体" w:eastAsia="楷体" w:hAnsi="楷体"/>
        </w:rPr>
        <w:t>53.7</w:t>
      </w:r>
      <w:r w:rsidR="004F3768" w:rsidRPr="00FC54FE">
        <w:rPr>
          <w:rFonts w:ascii="楷体" w:eastAsia="楷体" w:hAnsi="楷体" w:hint="eastAsia"/>
        </w:rPr>
        <w:t>点的终值上升至</w:t>
      </w:r>
      <w:r w:rsidR="004F3768" w:rsidRPr="00FC54FE">
        <w:rPr>
          <w:rFonts w:ascii="楷体" w:eastAsia="楷体" w:hAnsi="楷体"/>
        </w:rPr>
        <w:t>56.7</w:t>
      </w:r>
      <w:r w:rsidR="004F3768" w:rsidRPr="00FC54FE">
        <w:rPr>
          <w:rFonts w:ascii="楷体" w:eastAsia="楷体" w:hAnsi="楷体" w:hint="eastAsia"/>
        </w:rPr>
        <w:t>点</w:t>
      </w:r>
      <w:r w:rsidR="00094002" w:rsidRPr="00FC54FE">
        <w:rPr>
          <w:rFonts w:ascii="楷体" w:eastAsia="楷体" w:hAnsi="楷体" w:hint="eastAsia"/>
        </w:rPr>
        <w:t>，创下将近四年以来的最高水平，部分由于新订单增长。</w:t>
      </w:r>
      <w:r w:rsidR="00EF07D8" w:rsidRPr="00FC54FE">
        <w:rPr>
          <w:rFonts w:ascii="楷体" w:eastAsia="楷体" w:hAnsi="楷体" w:hint="eastAsia"/>
        </w:rPr>
        <w:t>美国供应管理协会公布</w:t>
      </w:r>
      <w:r w:rsidR="00D27B4C" w:rsidRPr="00FC54FE">
        <w:rPr>
          <w:rFonts w:ascii="楷体" w:eastAsia="楷体" w:hAnsi="楷体" w:hint="eastAsia"/>
        </w:rPr>
        <w:t>的</w:t>
      </w:r>
      <w:r w:rsidR="00EF07D8" w:rsidRPr="00FC54FE">
        <w:rPr>
          <w:rFonts w:ascii="楷体" w:eastAsia="楷体" w:hAnsi="楷体" w:hint="eastAsia"/>
        </w:rPr>
        <w:t>2月ISM制造业PMI</w:t>
      </w:r>
      <w:r w:rsidR="00D27B4C" w:rsidRPr="00FC54FE">
        <w:rPr>
          <w:rFonts w:ascii="楷体" w:eastAsia="楷体" w:hAnsi="楷体" w:hint="eastAsia"/>
        </w:rPr>
        <w:t>指数53.2，</w:t>
      </w:r>
      <w:r w:rsidR="007A7488" w:rsidRPr="00FC54FE">
        <w:rPr>
          <w:rFonts w:ascii="楷体" w:eastAsia="楷体" w:hAnsi="楷体" w:hint="eastAsia"/>
        </w:rPr>
        <w:t>大幅好于预期</w:t>
      </w:r>
      <w:r w:rsidR="00D27B4C" w:rsidRPr="00FC54FE">
        <w:rPr>
          <w:rFonts w:ascii="楷体" w:eastAsia="楷体" w:hAnsi="楷体" w:hint="eastAsia"/>
        </w:rPr>
        <w:t>52.0</w:t>
      </w:r>
      <w:r w:rsidR="009B4856" w:rsidRPr="00FC54FE">
        <w:rPr>
          <w:rFonts w:ascii="楷体" w:eastAsia="楷体" w:hAnsi="楷体" w:hint="eastAsia"/>
        </w:rPr>
        <w:t>。数据</w:t>
      </w:r>
      <w:r w:rsidR="007A7488" w:rsidRPr="00FC54FE">
        <w:rPr>
          <w:rFonts w:ascii="楷体" w:eastAsia="楷体" w:hAnsi="楷体" w:hint="eastAsia"/>
        </w:rPr>
        <w:t>表明美国制造业正温和回温</w:t>
      </w:r>
      <w:r w:rsidR="009B4856" w:rsidRPr="00FC54FE">
        <w:rPr>
          <w:rFonts w:ascii="楷体" w:eastAsia="楷体" w:hAnsi="楷体" w:hint="eastAsia"/>
        </w:rPr>
        <w:t>。</w:t>
      </w:r>
      <w:r w:rsidR="007A7488" w:rsidRPr="00FC54FE">
        <w:rPr>
          <w:rFonts w:ascii="楷体" w:eastAsia="楷体" w:hAnsi="楷体" w:hint="eastAsia"/>
        </w:rPr>
        <w:t>但</w:t>
      </w:r>
      <w:r w:rsidR="00EF07D8" w:rsidRPr="00FC54FE">
        <w:rPr>
          <w:rFonts w:ascii="楷体" w:eastAsia="楷体" w:hAnsi="楷体" w:hint="eastAsia"/>
        </w:rPr>
        <w:t>美国2月ISM非制造业PMI指数51.6创四年新低，不及预期的53.5</w:t>
      </w:r>
      <w:r w:rsidR="00622EF3" w:rsidRPr="00FC54FE">
        <w:rPr>
          <w:rFonts w:ascii="楷体" w:eastAsia="楷体" w:hAnsi="楷体" w:hint="eastAsia"/>
        </w:rPr>
        <w:t>，较1</w:t>
      </w:r>
      <w:r w:rsidR="00EF07D8" w:rsidRPr="00FC54FE">
        <w:rPr>
          <w:rFonts w:ascii="楷体" w:eastAsia="楷体" w:hAnsi="楷体" w:hint="eastAsia"/>
        </w:rPr>
        <w:t>月的54.0</w:t>
      </w:r>
      <w:r w:rsidR="00960120" w:rsidRPr="00FC54FE">
        <w:rPr>
          <w:rFonts w:ascii="楷体" w:eastAsia="楷体" w:hAnsi="楷体" w:hint="eastAsia"/>
        </w:rPr>
        <w:t>大幅下滑</w:t>
      </w:r>
      <w:r w:rsidR="00EF07D8" w:rsidRPr="00FC54FE">
        <w:rPr>
          <w:rFonts w:ascii="楷体" w:eastAsia="楷体" w:hAnsi="楷体" w:hint="eastAsia"/>
        </w:rPr>
        <w:t>。</w:t>
      </w:r>
    </w:p>
    <w:p w:rsidR="00F9255C" w:rsidRPr="00FC54FE" w:rsidRDefault="00061CAE" w:rsidP="00094002">
      <w:pPr>
        <w:pStyle w:val="ab"/>
        <w:numPr>
          <w:ilvl w:val="5"/>
          <w:numId w:val="2"/>
        </w:numPr>
        <w:spacing w:after="163"/>
        <w:ind w:left="4140" w:hanging="369"/>
        <w:rPr>
          <w:rFonts w:ascii="楷体" w:eastAsia="楷体" w:hAnsi="楷体"/>
        </w:rPr>
      </w:pPr>
      <w:r w:rsidRPr="00FC54FE">
        <w:rPr>
          <w:rFonts w:ascii="楷体" w:eastAsia="楷体" w:hAnsi="楷体" w:hint="eastAsia"/>
        </w:rPr>
        <w:t>物价指数</w:t>
      </w:r>
      <w:r w:rsidR="00B22D4F" w:rsidRPr="00FC54FE">
        <w:rPr>
          <w:rFonts w:ascii="楷体" w:eastAsia="楷体" w:hAnsi="楷体" w:hint="eastAsia"/>
        </w:rPr>
        <w:t>温和上升</w:t>
      </w:r>
      <w:r w:rsidR="00105DEB" w:rsidRPr="00FC54FE">
        <w:rPr>
          <w:rFonts w:ascii="楷体" w:eastAsia="楷体" w:hAnsi="楷体" w:hint="eastAsia"/>
        </w:rPr>
        <w:t>。</w:t>
      </w:r>
      <w:r w:rsidR="007910D2" w:rsidRPr="00FC54FE">
        <w:rPr>
          <w:rFonts w:ascii="楷体" w:eastAsia="楷体" w:hAnsi="楷体" w:hint="eastAsia"/>
        </w:rPr>
        <w:t>美国劳工部公布</w:t>
      </w:r>
      <w:r w:rsidR="00105DEB" w:rsidRPr="00FC54FE">
        <w:rPr>
          <w:rFonts w:ascii="楷体" w:eastAsia="楷体" w:hAnsi="楷体" w:hint="eastAsia"/>
        </w:rPr>
        <w:t>的</w:t>
      </w:r>
      <w:r w:rsidR="007910D2" w:rsidRPr="00FC54FE">
        <w:rPr>
          <w:rFonts w:ascii="楷体" w:eastAsia="楷体" w:hAnsi="楷体"/>
        </w:rPr>
        <w:t>1</w:t>
      </w:r>
      <w:r w:rsidR="007910D2" w:rsidRPr="00FC54FE">
        <w:rPr>
          <w:rFonts w:ascii="楷体" w:eastAsia="楷体" w:hAnsi="楷体" w:hint="eastAsia"/>
        </w:rPr>
        <w:t>月</w:t>
      </w:r>
      <w:r w:rsidR="00622EF3" w:rsidRPr="00FC54FE">
        <w:rPr>
          <w:rFonts w:ascii="楷体" w:eastAsia="楷体" w:hAnsi="楷体" w:hint="eastAsia"/>
        </w:rPr>
        <w:t>生产者价格指数</w:t>
      </w:r>
      <w:r w:rsidR="00622EF3" w:rsidRPr="00FC54FE">
        <w:rPr>
          <w:rFonts w:ascii="楷体" w:eastAsia="楷体" w:hAnsi="楷体"/>
        </w:rPr>
        <w:t>(PPI)</w:t>
      </w:r>
      <w:r w:rsidR="007910D2" w:rsidRPr="00FC54FE">
        <w:rPr>
          <w:rFonts w:ascii="楷体" w:eastAsia="楷体" w:hAnsi="楷体" w:hint="eastAsia"/>
        </w:rPr>
        <w:t>月率上升</w:t>
      </w:r>
      <w:r w:rsidR="007910D2" w:rsidRPr="00FC54FE">
        <w:rPr>
          <w:rFonts w:ascii="楷体" w:eastAsia="楷体" w:hAnsi="楷体"/>
        </w:rPr>
        <w:t>0.2%</w:t>
      </w:r>
      <w:r w:rsidR="007910D2" w:rsidRPr="00FC54FE">
        <w:rPr>
          <w:rFonts w:ascii="楷体" w:eastAsia="楷体" w:hAnsi="楷体" w:hint="eastAsia"/>
        </w:rPr>
        <w:t>，预期上升</w:t>
      </w:r>
      <w:r w:rsidR="007910D2" w:rsidRPr="00FC54FE">
        <w:rPr>
          <w:rFonts w:ascii="楷体" w:eastAsia="楷体" w:hAnsi="楷体"/>
        </w:rPr>
        <w:t>0.1%</w:t>
      </w:r>
      <w:r w:rsidR="007910D2" w:rsidRPr="00FC54FE">
        <w:rPr>
          <w:rFonts w:ascii="楷体" w:eastAsia="楷体" w:hAnsi="楷体" w:hint="eastAsia"/>
        </w:rPr>
        <w:t>，前值上升</w:t>
      </w:r>
      <w:r w:rsidR="007910D2" w:rsidRPr="00FC54FE">
        <w:rPr>
          <w:rFonts w:ascii="楷体" w:eastAsia="楷体" w:hAnsi="楷体"/>
        </w:rPr>
        <w:t>0.1%</w:t>
      </w:r>
      <w:r w:rsidR="007910D2" w:rsidRPr="00FC54FE">
        <w:rPr>
          <w:rFonts w:ascii="楷体" w:eastAsia="楷体" w:hAnsi="楷体" w:hint="eastAsia"/>
        </w:rPr>
        <w:t>；年率上升</w:t>
      </w:r>
      <w:r w:rsidR="007910D2" w:rsidRPr="00FC54FE">
        <w:rPr>
          <w:rFonts w:ascii="楷体" w:eastAsia="楷体" w:hAnsi="楷体"/>
        </w:rPr>
        <w:t>1.2%</w:t>
      </w:r>
      <w:r w:rsidR="007910D2" w:rsidRPr="00FC54FE">
        <w:rPr>
          <w:rFonts w:ascii="楷体" w:eastAsia="楷体" w:hAnsi="楷体" w:hint="eastAsia"/>
        </w:rPr>
        <w:t>，预期上升</w:t>
      </w:r>
      <w:r w:rsidR="007910D2" w:rsidRPr="00FC54FE">
        <w:rPr>
          <w:rFonts w:ascii="楷体" w:eastAsia="楷体" w:hAnsi="楷体"/>
        </w:rPr>
        <w:t>1.2%</w:t>
      </w:r>
      <w:r w:rsidR="007910D2" w:rsidRPr="00FC54FE">
        <w:rPr>
          <w:rFonts w:ascii="楷体" w:eastAsia="楷体" w:hAnsi="楷体" w:hint="eastAsia"/>
        </w:rPr>
        <w:t>；</w:t>
      </w:r>
      <w:r w:rsidR="007910D2" w:rsidRPr="00FC54FE">
        <w:rPr>
          <w:rFonts w:ascii="楷体" w:eastAsia="楷体" w:hAnsi="楷体"/>
        </w:rPr>
        <w:t>1</w:t>
      </w:r>
      <w:r w:rsidR="007910D2" w:rsidRPr="00FC54FE">
        <w:rPr>
          <w:rFonts w:ascii="楷体" w:eastAsia="楷体" w:hAnsi="楷体" w:hint="eastAsia"/>
        </w:rPr>
        <w:t>月核心</w:t>
      </w:r>
      <w:r w:rsidR="007910D2" w:rsidRPr="00FC54FE">
        <w:rPr>
          <w:rFonts w:ascii="楷体" w:eastAsia="楷体" w:hAnsi="楷体"/>
        </w:rPr>
        <w:t>PPI</w:t>
      </w:r>
      <w:r w:rsidR="007910D2" w:rsidRPr="00FC54FE">
        <w:rPr>
          <w:rFonts w:ascii="楷体" w:eastAsia="楷体" w:hAnsi="楷体" w:hint="eastAsia"/>
        </w:rPr>
        <w:t>月率上升</w:t>
      </w:r>
      <w:r w:rsidR="007910D2" w:rsidRPr="00FC54FE">
        <w:rPr>
          <w:rFonts w:ascii="楷体" w:eastAsia="楷体" w:hAnsi="楷体"/>
        </w:rPr>
        <w:t>0.2%</w:t>
      </w:r>
      <w:r w:rsidR="007910D2" w:rsidRPr="00FC54FE">
        <w:rPr>
          <w:rFonts w:ascii="楷体" w:eastAsia="楷体" w:hAnsi="楷体" w:hint="eastAsia"/>
        </w:rPr>
        <w:t>，预期上升</w:t>
      </w:r>
      <w:r w:rsidR="007910D2" w:rsidRPr="00FC54FE">
        <w:rPr>
          <w:rFonts w:ascii="楷体" w:eastAsia="楷体" w:hAnsi="楷体"/>
        </w:rPr>
        <w:t>0.2%</w:t>
      </w:r>
      <w:r w:rsidR="007910D2" w:rsidRPr="00FC54FE">
        <w:rPr>
          <w:rFonts w:ascii="楷体" w:eastAsia="楷体" w:hAnsi="楷体" w:hint="eastAsia"/>
        </w:rPr>
        <w:t>，前值持平；年率上升</w:t>
      </w:r>
      <w:r w:rsidR="007910D2" w:rsidRPr="00FC54FE">
        <w:rPr>
          <w:rFonts w:ascii="楷体" w:eastAsia="楷体" w:hAnsi="楷体"/>
        </w:rPr>
        <w:t>1.3%</w:t>
      </w:r>
      <w:r w:rsidR="007910D2" w:rsidRPr="00FC54FE">
        <w:rPr>
          <w:rFonts w:ascii="楷体" w:eastAsia="楷体" w:hAnsi="楷体" w:hint="eastAsia"/>
        </w:rPr>
        <w:t>，预期上升</w:t>
      </w:r>
      <w:r w:rsidR="007910D2" w:rsidRPr="00FC54FE">
        <w:rPr>
          <w:rFonts w:ascii="楷体" w:eastAsia="楷体" w:hAnsi="楷体"/>
        </w:rPr>
        <w:t>1.4%</w:t>
      </w:r>
      <w:r w:rsidR="007910D2" w:rsidRPr="00FC54FE">
        <w:rPr>
          <w:rFonts w:ascii="楷体" w:eastAsia="楷体" w:hAnsi="楷体" w:hint="eastAsia"/>
        </w:rPr>
        <w:t>。</w:t>
      </w:r>
      <w:r w:rsidR="00910F47" w:rsidRPr="00FC54FE">
        <w:rPr>
          <w:rFonts w:ascii="楷体" w:eastAsia="楷体" w:hAnsi="楷体"/>
        </w:rPr>
        <w:t>PPI</w:t>
      </w:r>
      <w:r w:rsidR="00910F47" w:rsidRPr="00FC54FE">
        <w:rPr>
          <w:rFonts w:ascii="楷体" w:eastAsia="楷体" w:hAnsi="楷体" w:hint="eastAsia"/>
        </w:rPr>
        <w:t>的上涨</w:t>
      </w:r>
      <w:r w:rsidR="007910D2" w:rsidRPr="00FC54FE">
        <w:rPr>
          <w:rFonts w:ascii="楷体" w:eastAsia="楷体" w:hAnsi="楷体" w:hint="eastAsia"/>
        </w:rPr>
        <w:t>可能预示未来几个月通胀率的升温。</w:t>
      </w:r>
      <w:r w:rsidR="00105DEB" w:rsidRPr="00FC54FE">
        <w:rPr>
          <w:rFonts w:ascii="楷体" w:eastAsia="楷体" w:hAnsi="楷体" w:hint="eastAsia"/>
        </w:rPr>
        <w:t>消费者物价指数方面</w:t>
      </w:r>
      <w:r w:rsidR="00C67CBB" w:rsidRPr="00FC54FE">
        <w:rPr>
          <w:rFonts w:ascii="楷体" w:eastAsia="楷体" w:hAnsi="楷体"/>
        </w:rPr>
        <w:t>(</w:t>
      </w:r>
      <w:r w:rsidR="00C67CBB" w:rsidRPr="00FC54FE">
        <w:rPr>
          <w:rFonts w:ascii="楷体" w:eastAsia="楷体" w:hAnsi="楷体" w:hint="eastAsia"/>
        </w:rPr>
        <w:t>C</w:t>
      </w:r>
      <w:r w:rsidR="00C67CBB" w:rsidRPr="00FC54FE">
        <w:rPr>
          <w:rFonts w:ascii="楷体" w:eastAsia="楷体" w:hAnsi="楷体"/>
        </w:rPr>
        <w:t>PI)</w:t>
      </w:r>
      <w:r w:rsidR="00105DEB" w:rsidRPr="00FC54FE">
        <w:rPr>
          <w:rFonts w:ascii="楷体" w:eastAsia="楷体" w:hAnsi="楷体" w:hint="eastAsia"/>
        </w:rPr>
        <w:t>，劳工部公布1月环比上升0.1%</w:t>
      </w:r>
      <w:r w:rsidR="005726C2" w:rsidRPr="00FC54FE">
        <w:rPr>
          <w:rFonts w:ascii="楷体" w:eastAsia="楷体" w:hAnsi="楷体" w:hint="eastAsia"/>
        </w:rPr>
        <w:t>。</w:t>
      </w:r>
      <w:r w:rsidR="00105DEB" w:rsidRPr="00FC54FE">
        <w:rPr>
          <w:rFonts w:ascii="楷体" w:eastAsia="楷体" w:hAnsi="楷体" w:hint="eastAsia"/>
        </w:rPr>
        <w:t>由于美国冬季天气比往年正常情况较冷的缘故，能源需求有所提升，</w:t>
      </w:r>
      <w:r w:rsidR="005726C2" w:rsidRPr="00FC54FE">
        <w:rPr>
          <w:rFonts w:ascii="楷体" w:eastAsia="楷体" w:hAnsi="楷体" w:hint="eastAsia"/>
        </w:rPr>
        <w:t>当月能源价格上升0.6%</w:t>
      </w:r>
      <w:r w:rsidR="00105DEB" w:rsidRPr="00FC54FE">
        <w:rPr>
          <w:rFonts w:ascii="楷体" w:eastAsia="楷体" w:hAnsi="楷体" w:hint="eastAsia"/>
        </w:rPr>
        <w:t>。粮食价格在1月份基本持平，环比涨幅仅为0.1%。</w:t>
      </w:r>
    </w:p>
    <w:p w:rsidR="007A7488" w:rsidRPr="00FC54FE" w:rsidRDefault="007A7488" w:rsidP="007A7488">
      <w:pPr>
        <w:pStyle w:val="ab"/>
        <w:numPr>
          <w:ilvl w:val="5"/>
          <w:numId w:val="2"/>
        </w:numPr>
        <w:spacing w:after="163"/>
        <w:ind w:left="4140" w:hanging="369"/>
        <w:rPr>
          <w:rFonts w:ascii="楷体" w:eastAsia="楷体" w:hAnsi="楷体"/>
        </w:rPr>
      </w:pPr>
      <w:r w:rsidRPr="00FC54FE">
        <w:rPr>
          <w:rFonts w:ascii="楷体" w:eastAsia="楷体" w:hAnsi="楷体" w:hint="eastAsia"/>
        </w:rPr>
        <w:t>美国新屋销售环比回升。美国商务部发布报告称，</w:t>
      </w:r>
      <w:r w:rsidRPr="00FC54FE">
        <w:rPr>
          <w:rFonts w:ascii="楷体" w:eastAsia="楷体" w:hAnsi="楷体"/>
        </w:rPr>
        <w:t>1</w:t>
      </w:r>
      <w:r w:rsidRPr="00FC54FE">
        <w:rPr>
          <w:rFonts w:ascii="楷体" w:eastAsia="楷体" w:hAnsi="楷体" w:hint="eastAsia"/>
        </w:rPr>
        <w:t>月新屋销售较前月上升</w:t>
      </w:r>
      <w:r w:rsidRPr="00FC54FE">
        <w:rPr>
          <w:rFonts w:ascii="楷体" w:eastAsia="楷体" w:hAnsi="楷体"/>
        </w:rPr>
        <w:t>9.6%</w:t>
      </w:r>
      <w:r w:rsidRPr="00FC54FE">
        <w:rPr>
          <w:rFonts w:ascii="楷体" w:eastAsia="楷体" w:hAnsi="楷体" w:hint="eastAsia"/>
        </w:rPr>
        <w:t>，经季节调整后的新屋销售年率为</w:t>
      </w:r>
      <w:r w:rsidRPr="00FC54FE">
        <w:rPr>
          <w:rFonts w:ascii="楷体" w:eastAsia="楷体" w:hAnsi="楷体"/>
        </w:rPr>
        <w:t>46.8</w:t>
      </w:r>
      <w:r w:rsidRPr="00FC54FE">
        <w:rPr>
          <w:rFonts w:ascii="楷体" w:eastAsia="楷体" w:hAnsi="楷体" w:hint="eastAsia"/>
        </w:rPr>
        <w:t>万户，</w:t>
      </w:r>
      <w:r w:rsidR="00432DB1" w:rsidRPr="00FC54FE">
        <w:rPr>
          <w:rFonts w:ascii="楷体" w:eastAsia="楷体" w:hAnsi="楷体" w:hint="eastAsia"/>
        </w:rPr>
        <w:t>较12</w:t>
      </w:r>
      <w:r w:rsidRPr="00FC54FE">
        <w:rPr>
          <w:rFonts w:ascii="楷体" w:eastAsia="楷体" w:hAnsi="楷体" w:hint="eastAsia"/>
        </w:rPr>
        <w:t>月增长4万，大幅超出市场预期，并创下</w:t>
      </w:r>
      <w:r w:rsidRPr="00FC54FE">
        <w:rPr>
          <w:rFonts w:ascii="楷体" w:eastAsia="楷体" w:hAnsi="楷体"/>
        </w:rPr>
        <w:t>5</w:t>
      </w:r>
      <w:r w:rsidRPr="00FC54FE">
        <w:rPr>
          <w:rFonts w:ascii="楷体" w:eastAsia="楷体" w:hAnsi="楷体" w:hint="eastAsia"/>
        </w:rPr>
        <w:t>年来的新高。新屋销售在严寒中的反弹表现出较强的需求韧性，意味着美国经济复苏动能仍十分强劲。但房屋价格由去年的平均10%回落至3%，叠加新屋开工数明显放缓、二手房交易清淡，说明地产市场受到贷款利率攀升的冲击。我们预测14年美国地产市场因需求稳定而维持回升趋势，但回升幅度受高利率影响而有所放缓。</w:t>
      </w:r>
    </w:p>
    <w:p w:rsidR="00BB5803" w:rsidRPr="00FC54FE" w:rsidRDefault="00A83E8D" w:rsidP="005E26B9">
      <w:pPr>
        <w:pStyle w:val="ab"/>
        <w:numPr>
          <w:ilvl w:val="4"/>
          <w:numId w:val="1"/>
        </w:numPr>
        <w:spacing w:after="163"/>
        <w:rPr>
          <w:rFonts w:ascii="楷体" w:eastAsia="楷体" w:hAnsi="楷体"/>
          <w:color w:val="auto"/>
        </w:rPr>
      </w:pPr>
      <w:r>
        <w:rPr>
          <w:rFonts w:ascii="楷体" w:eastAsia="楷体" w:hAnsi="楷体" w:hint="eastAsia"/>
        </w:rPr>
        <w:t>在上述综合因素作用下，</w:t>
      </w:r>
      <w:r w:rsidR="008120C3" w:rsidRPr="00FC54FE">
        <w:rPr>
          <w:rFonts w:ascii="楷体" w:eastAsia="楷体" w:hAnsi="楷体" w:hint="eastAsia"/>
        </w:rPr>
        <w:t>市场对美国经济前景的信心再度高涨</w:t>
      </w:r>
      <w:r w:rsidR="005E26B9" w:rsidRPr="00FC54FE">
        <w:rPr>
          <w:rFonts w:ascii="楷体" w:eastAsia="楷体" w:hAnsi="楷体" w:hint="eastAsia"/>
        </w:rPr>
        <w:t>，2月美国三大指数重回上升通道，标普500指数、道琼斯工业指数、纳斯达克指数分别上涨4.31%、3.97%和4.95%。</w:t>
      </w:r>
      <w:r w:rsidR="008120C3" w:rsidRPr="00FC54FE">
        <w:rPr>
          <w:rFonts w:ascii="楷体" w:eastAsia="楷体" w:hAnsi="楷体" w:hint="eastAsia"/>
        </w:rPr>
        <w:t>在此背景下，美国总统奥巴马推出总额高达3.9万亿美元的2015财年联邦政府财政预算报告。</w:t>
      </w:r>
      <w:r w:rsidR="008E2054" w:rsidRPr="00FC54FE">
        <w:rPr>
          <w:rFonts w:ascii="楷体" w:eastAsia="楷体" w:hAnsi="楷体" w:hint="eastAsia"/>
        </w:rPr>
        <w:t>可以</w:t>
      </w:r>
      <w:r w:rsidR="008120C3" w:rsidRPr="00FC54FE">
        <w:rPr>
          <w:rFonts w:ascii="楷体" w:eastAsia="楷体" w:hAnsi="楷体" w:hint="eastAsia"/>
        </w:rPr>
        <w:t>看出，随着美国政府财政情况的好转，政府预算重心逐渐从减赤字向促增长倾斜。</w:t>
      </w:r>
    </w:p>
    <w:p w:rsidR="00023796" w:rsidRPr="00FC54FE" w:rsidRDefault="005F5E5D" w:rsidP="00023796">
      <w:pPr>
        <w:widowControl/>
        <w:spacing w:after="120"/>
        <w:ind w:left="3430"/>
        <w:rPr>
          <w:rFonts w:ascii="楷体" w:eastAsia="楷体" w:hAnsi="楷体"/>
          <w:b/>
          <w:bCs/>
          <w:color w:val="0070C0"/>
          <w:kern w:val="0"/>
          <w:szCs w:val="21"/>
          <w:lang w:val="en-GB"/>
        </w:rPr>
      </w:pPr>
      <w:r w:rsidRPr="00FC54FE">
        <w:rPr>
          <w:rFonts w:ascii="楷体" w:eastAsia="楷体" w:hAnsi="楷体" w:hint="eastAsia"/>
          <w:b/>
          <w:bCs/>
          <w:color w:val="0070C0"/>
          <w:kern w:val="0"/>
          <w:szCs w:val="21"/>
          <w:lang w:val="en-GB"/>
        </w:rPr>
        <w:t>欧洲</w:t>
      </w:r>
      <w:r w:rsidR="007E7D79" w:rsidRPr="00FC54FE">
        <w:rPr>
          <w:rFonts w:ascii="楷体" w:eastAsia="楷体" w:hAnsi="楷体" w:hint="eastAsia"/>
          <w:b/>
          <w:bCs/>
          <w:color w:val="0070C0"/>
          <w:kern w:val="0"/>
          <w:szCs w:val="21"/>
          <w:lang w:val="en-GB"/>
        </w:rPr>
        <w:t>：</w:t>
      </w:r>
      <w:r w:rsidR="00DB23AC" w:rsidRPr="00FC54FE">
        <w:rPr>
          <w:rFonts w:ascii="楷体" w:eastAsia="楷体" w:hAnsi="楷体" w:hint="eastAsia"/>
          <w:b/>
          <w:bCs/>
          <w:color w:val="0070C0"/>
          <w:kern w:val="0"/>
          <w:szCs w:val="21"/>
          <w:lang w:val="en-GB"/>
        </w:rPr>
        <w:t>经济增速高于预期，</w:t>
      </w:r>
      <w:r w:rsidR="00CA39A7" w:rsidRPr="00FC54FE">
        <w:rPr>
          <w:rFonts w:ascii="楷体" w:eastAsia="楷体" w:hAnsi="楷体" w:hint="eastAsia"/>
          <w:b/>
          <w:bCs/>
          <w:color w:val="0070C0"/>
          <w:kern w:val="0"/>
          <w:szCs w:val="21"/>
          <w:lang w:val="en-GB"/>
        </w:rPr>
        <w:t>防范地缘政治风险</w:t>
      </w:r>
    </w:p>
    <w:p w:rsidR="00367156" w:rsidRPr="00367156" w:rsidRDefault="009E1A26" w:rsidP="00AD3C64">
      <w:pPr>
        <w:pStyle w:val="ab"/>
        <w:numPr>
          <w:ilvl w:val="4"/>
          <w:numId w:val="1"/>
        </w:numPr>
        <w:spacing w:after="163"/>
        <w:rPr>
          <w:rFonts w:ascii="楷体" w:eastAsia="楷体" w:hAnsi="楷体"/>
          <w:color w:val="auto"/>
        </w:rPr>
      </w:pPr>
      <w:r w:rsidRPr="00FC54FE">
        <w:rPr>
          <w:rFonts w:ascii="楷体" w:eastAsia="楷体" w:hAnsi="楷体" w:hint="eastAsia"/>
        </w:rPr>
        <w:t>欧元区2月份经济增速高于初步数据，为2011年年中以来最快增长水平。</w:t>
      </w:r>
      <w:r w:rsidR="00E73CA5" w:rsidRPr="00FC54FE">
        <w:rPr>
          <w:rFonts w:ascii="楷体" w:eastAsia="楷体" w:hAnsi="楷体" w:hint="eastAsia"/>
          <w:color w:val="auto"/>
        </w:rPr>
        <w:t>制造业继续引领欧洲经济复苏，服务业温和增长形势也有所加快。1月Markit制造业PMI初值为53.9（上月终值52.7），超出预期</w:t>
      </w:r>
      <w:r w:rsidR="00A77AB0" w:rsidRPr="00FC54FE">
        <w:rPr>
          <w:rFonts w:ascii="楷体" w:eastAsia="楷体" w:hAnsi="楷体" w:hint="eastAsia"/>
          <w:color w:val="auto"/>
        </w:rPr>
        <w:t>；</w:t>
      </w:r>
      <w:r w:rsidRPr="00FC54FE">
        <w:rPr>
          <w:rFonts w:ascii="楷体" w:eastAsia="楷体" w:hAnsi="楷体" w:hint="eastAsia"/>
        </w:rPr>
        <w:t>综合</w:t>
      </w:r>
      <w:r w:rsidR="00A77AB0" w:rsidRPr="00FC54FE">
        <w:rPr>
          <w:rFonts w:ascii="楷体" w:eastAsia="楷体" w:hAnsi="楷体" w:hint="eastAsia"/>
          <w:color w:val="auto"/>
        </w:rPr>
        <w:t>PMI</w:t>
      </w:r>
      <w:r w:rsidRPr="00FC54FE">
        <w:rPr>
          <w:rFonts w:ascii="楷体" w:eastAsia="楷体" w:hAnsi="楷体" w:hint="eastAsia"/>
        </w:rPr>
        <w:t>从1月份的52.9升至53.3，高于初值52.7</w:t>
      </w:r>
      <w:r w:rsidR="00A77AB0" w:rsidRPr="00FC54FE">
        <w:rPr>
          <w:rFonts w:ascii="楷体" w:eastAsia="楷体" w:hAnsi="楷体" w:hint="eastAsia"/>
        </w:rPr>
        <w:t>，</w:t>
      </w:r>
      <w:r w:rsidR="00A77AB0" w:rsidRPr="00FC54FE">
        <w:rPr>
          <w:rFonts w:ascii="楷体" w:eastAsia="楷体" w:hAnsi="楷体" w:hint="eastAsia"/>
          <w:color w:val="auto"/>
        </w:rPr>
        <w:t>创31个月来新高</w:t>
      </w:r>
      <w:r w:rsidRPr="00FC54FE">
        <w:rPr>
          <w:rFonts w:ascii="楷体" w:eastAsia="楷体" w:hAnsi="楷体" w:hint="eastAsia"/>
        </w:rPr>
        <w:t>。</w:t>
      </w:r>
      <w:r w:rsidR="00F5458F" w:rsidRPr="00FC54FE">
        <w:rPr>
          <w:rFonts w:ascii="楷体" w:eastAsia="楷体" w:hAnsi="楷体" w:hint="eastAsia"/>
          <w:color w:val="auto"/>
        </w:rPr>
        <w:t>Markit披露欧元区私营部门经济已连续七个月实现增长，增速为2011年来之最。</w:t>
      </w:r>
      <w:r w:rsidR="004C7DD1" w:rsidRPr="00FC54FE">
        <w:rPr>
          <w:rFonts w:ascii="楷体" w:eastAsia="楷体" w:hAnsi="楷体" w:hint="eastAsia"/>
        </w:rPr>
        <w:t>调查显示</w:t>
      </w:r>
      <w:r w:rsidRPr="00FC54FE">
        <w:rPr>
          <w:rFonts w:ascii="楷体" w:eastAsia="楷体" w:hAnsi="楷体" w:hint="eastAsia"/>
        </w:rPr>
        <w:t>欧元区企业开始增加就业岗位，劳动力市场也可能开始好转。</w:t>
      </w:r>
      <w:r w:rsidR="00A77AB0" w:rsidRPr="00FC54FE">
        <w:rPr>
          <w:rFonts w:ascii="楷体" w:eastAsia="楷体" w:hAnsi="楷体" w:hint="eastAsia"/>
          <w:color w:val="auto"/>
        </w:rPr>
        <w:t>从地区看，德国的增长依旧强，法国的衰退则有所减缓，其他地区的经济形势也开始进一步好转。</w:t>
      </w:r>
      <w:r w:rsidR="004C7DD1" w:rsidRPr="00FC54FE">
        <w:rPr>
          <w:rFonts w:ascii="楷体" w:eastAsia="楷体" w:hAnsi="楷体" w:hint="eastAsia"/>
        </w:rPr>
        <w:t>随着消费信心的改善，区内零售销售也出现回暖迹象，经济增长不再仅</w:t>
      </w:r>
      <w:r w:rsidR="00F74436" w:rsidRPr="00FC54FE">
        <w:rPr>
          <w:rFonts w:ascii="楷体" w:eastAsia="楷体" w:hAnsi="楷体" w:hint="eastAsia"/>
        </w:rPr>
        <w:t>依靠出口拉动。</w:t>
      </w:r>
    </w:p>
    <w:p w:rsidR="00F60F2E" w:rsidRPr="00FC54FE" w:rsidRDefault="00F60F2E" w:rsidP="00AD3C64">
      <w:pPr>
        <w:pStyle w:val="ab"/>
        <w:numPr>
          <w:ilvl w:val="4"/>
          <w:numId w:val="1"/>
        </w:numPr>
        <w:spacing w:after="163"/>
        <w:rPr>
          <w:rFonts w:ascii="楷体" w:eastAsia="楷体" w:hAnsi="楷体"/>
          <w:color w:val="auto"/>
        </w:rPr>
      </w:pPr>
      <w:r w:rsidRPr="00FC54FE">
        <w:rPr>
          <w:rFonts w:ascii="楷体" w:eastAsia="楷体" w:hAnsi="楷体" w:hint="eastAsia"/>
          <w:color w:val="auto"/>
        </w:rPr>
        <w:t>与之相一致，欧洲经济研究中心(ZEW)数据显示，欧元区1月经济景气指数大幅走高，ZEW经济景气指数升至73.3（前值68.3），经济现况指数升至-48.2（前值-54.4）。</w:t>
      </w:r>
      <w:r w:rsidRPr="00FC54FE">
        <w:rPr>
          <w:rFonts w:ascii="楷体" w:eastAsia="楷体" w:hAnsi="楷体" w:hint="eastAsia"/>
        </w:rPr>
        <w:t>北京时间3月6日晚间，欧洲央行宣布维持基准利率于0.25%不变</w:t>
      </w:r>
      <w:r w:rsidR="004C7DD1" w:rsidRPr="00FC54FE">
        <w:rPr>
          <w:rFonts w:ascii="楷体" w:eastAsia="楷体" w:hAnsi="楷体" w:hint="eastAsia"/>
        </w:rPr>
        <w:t>，降息步伐或暂缓</w:t>
      </w:r>
      <w:r w:rsidRPr="00FC54FE">
        <w:rPr>
          <w:rFonts w:ascii="楷体" w:eastAsia="楷体" w:hAnsi="楷体" w:hint="eastAsia"/>
        </w:rPr>
        <w:t>。</w:t>
      </w:r>
      <w:r w:rsidR="004C7DD1" w:rsidRPr="00FC54FE">
        <w:rPr>
          <w:rFonts w:ascii="楷体" w:eastAsia="楷体" w:hAnsi="楷体" w:hint="eastAsia"/>
        </w:rPr>
        <w:t>央行行长德拉吉称，欧洲央行的最新经济展望报告显示未来3年的经济增速将高于去年12月的预估值，2014年将达到1.2%，此后两年将进一步加速增长。</w:t>
      </w:r>
    </w:p>
    <w:p w:rsidR="009E1A26" w:rsidRPr="00FC54FE" w:rsidRDefault="00F74436" w:rsidP="00F60F2E">
      <w:pPr>
        <w:pStyle w:val="ab"/>
        <w:numPr>
          <w:ilvl w:val="4"/>
          <w:numId w:val="1"/>
        </w:numPr>
        <w:spacing w:after="163"/>
        <w:rPr>
          <w:rFonts w:ascii="楷体" w:eastAsia="楷体" w:hAnsi="楷体"/>
        </w:rPr>
      </w:pPr>
      <w:r w:rsidRPr="00FC54FE">
        <w:rPr>
          <w:rFonts w:ascii="楷体" w:eastAsia="楷体" w:hAnsi="楷体" w:hint="eastAsia"/>
        </w:rPr>
        <w:lastRenderedPageBreak/>
        <w:t>不过，欧元区通胀、就业和信贷数据仍偏弱，内需方面仍面临企业和政府部门去杠杆、就业市场恶化的问题。</w:t>
      </w:r>
      <w:r w:rsidR="00F60F2E" w:rsidRPr="00FC54FE">
        <w:rPr>
          <w:rFonts w:ascii="楷体" w:eastAsia="楷体" w:hAnsi="楷体" w:hint="eastAsia"/>
        </w:rPr>
        <w:t>欧元区多国主权债券收益率近期大幅下降，在吸引部分资金阶段回流债市的同时，也引发对于通缩压力的担心。</w:t>
      </w:r>
      <w:r w:rsidR="00F5458F" w:rsidRPr="00FC54FE">
        <w:rPr>
          <w:rFonts w:ascii="楷体" w:eastAsia="楷体" w:hAnsi="楷体" w:hint="eastAsia"/>
        </w:rPr>
        <w:t>对此</w:t>
      </w:r>
      <w:r w:rsidR="00F60F2E" w:rsidRPr="00FC54FE">
        <w:rPr>
          <w:rFonts w:ascii="楷体" w:eastAsia="楷体" w:hAnsi="楷体" w:hint="eastAsia"/>
        </w:rPr>
        <w:t>德拉吉表示，欧元区通胀和通缩的风险都是有限的，但是欧元区脆弱的经济复苏进程受挫的风险却不容忽视。这一方面意味着阶段看欧洲央行将主要使用温和的刺激政策以维护经济复苏，采取负利率或者欧洲版QE的可能性暂不大；另一方面与我们年度展望预期一致，在成员国经济间的不平衡、高失业率等因素制约下，欧元区整体经济复苏还需要不断巩固。</w:t>
      </w:r>
    </w:p>
    <w:p w:rsidR="00CA5245" w:rsidRPr="00FC54FE" w:rsidRDefault="00367156" w:rsidP="00CA5245">
      <w:pPr>
        <w:pStyle w:val="ab"/>
        <w:numPr>
          <w:ilvl w:val="4"/>
          <w:numId w:val="1"/>
        </w:numPr>
        <w:spacing w:after="163"/>
        <w:rPr>
          <w:rFonts w:ascii="楷体" w:eastAsia="楷体" w:hAnsi="楷体"/>
        </w:rPr>
      </w:pPr>
      <w:r>
        <w:rPr>
          <w:rFonts w:ascii="楷体" w:eastAsia="楷体" w:hAnsi="楷体" w:hint="eastAsia"/>
        </w:rPr>
        <w:t>不过，</w:t>
      </w:r>
      <w:r w:rsidR="004F609C" w:rsidRPr="00FC54FE">
        <w:rPr>
          <w:rFonts w:ascii="楷体" w:eastAsia="楷体" w:hAnsi="楷体" w:hint="eastAsia"/>
        </w:rPr>
        <w:t>近日俄乌战争疑云导致国际地缘政治风险骤增</w:t>
      </w:r>
      <w:r w:rsidR="004D59A9" w:rsidRPr="00FC54FE">
        <w:rPr>
          <w:rFonts w:ascii="楷体" w:eastAsia="楷体" w:hAnsi="楷体" w:hint="eastAsia"/>
        </w:rPr>
        <w:t>，</w:t>
      </w:r>
      <w:r w:rsidR="00001D5C" w:rsidRPr="00FC54FE">
        <w:rPr>
          <w:rFonts w:ascii="楷体" w:eastAsia="楷体" w:hAnsi="楷体" w:hint="eastAsia"/>
        </w:rPr>
        <w:t>或</w:t>
      </w:r>
      <w:r w:rsidR="00004C9F" w:rsidRPr="00FC54FE">
        <w:rPr>
          <w:rFonts w:ascii="楷体" w:eastAsia="楷体" w:hAnsi="楷体" w:hint="eastAsia"/>
        </w:rPr>
        <w:t>成为</w:t>
      </w:r>
      <w:r w:rsidR="00001D5C" w:rsidRPr="00FC54FE">
        <w:rPr>
          <w:rFonts w:ascii="楷体" w:eastAsia="楷体" w:hAnsi="楷体" w:hint="eastAsia"/>
        </w:rPr>
        <w:t>威胁</w:t>
      </w:r>
      <w:r w:rsidR="00004C9F" w:rsidRPr="00FC54FE">
        <w:rPr>
          <w:rFonts w:ascii="楷体" w:eastAsia="楷体" w:hAnsi="楷体" w:hint="eastAsia"/>
        </w:rPr>
        <w:t>3月</w:t>
      </w:r>
      <w:r w:rsidR="00001D5C" w:rsidRPr="00FC54FE">
        <w:rPr>
          <w:rFonts w:ascii="楷体" w:eastAsia="楷体" w:hAnsi="楷体" w:hint="eastAsia"/>
        </w:rPr>
        <w:t>欧洲</w:t>
      </w:r>
      <w:r w:rsidR="00004C9F" w:rsidRPr="00FC54FE">
        <w:rPr>
          <w:rFonts w:ascii="楷体" w:eastAsia="楷体" w:hAnsi="楷体" w:hint="eastAsia"/>
        </w:rPr>
        <w:t>市场的</w:t>
      </w:r>
      <w:r w:rsidR="00001D5C" w:rsidRPr="00FC54FE">
        <w:rPr>
          <w:rFonts w:ascii="楷体" w:eastAsia="楷体" w:hAnsi="楷体" w:hint="eastAsia"/>
        </w:rPr>
        <w:t>重要不确定性</w:t>
      </w:r>
      <w:r w:rsidR="004F609C" w:rsidRPr="00FC54FE">
        <w:rPr>
          <w:rFonts w:ascii="楷体" w:eastAsia="楷体" w:hAnsi="楷体" w:hint="eastAsia"/>
        </w:rPr>
        <w:t>。</w:t>
      </w:r>
      <w:r w:rsidR="00CA5245" w:rsidRPr="00FC54FE">
        <w:rPr>
          <w:rFonts w:ascii="楷体" w:eastAsia="楷体" w:hAnsi="楷体" w:hint="eastAsia"/>
        </w:rPr>
        <w:t>俄罗斯卢布跌破历史新低，</w:t>
      </w:r>
      <w:r w:rsidR="004F609C" w:rsidRPr="00FC54FE">
        <w:rPr>
          <w:rFonts w:ascii="楷体" w:eastAsia="楷体" w:hAnsi="楷体" w:hint="eastAsia"/>
        </w:rPr>
        <w:t>继印度、阿根廷、土耳其</w:t>
      </w:r>
      <w:r w:rsidR="00CA5245" w:rsidRPr="00FC54FE">
        <w:rPr>
          <w:rFonts w:ascii="楷体" w:eastAsia="楷体" w:hAnsi="楷体" w:hint="eastAsia"/>
        </w:rPr>
        <w:t>后成为全球抛售新兴市场资产的最新受害者。危机效应迅速传导至亚洲和欧洲市场，</w:t>
      </w:r>
      <w:r w:rsidR="00004C9F" w:rsidRPr="00FC54FE">
        <w:rPr>
          <w:rFonts w:ascii="楷体" w:eastAsia="楷体" w:hAnsi="楷体" w:hint="eastAsia"/>
        </w:rPr>
        <w:t>欧股、港股亦纷纷下挫，黄金买盘大幅上升。若</w:t>
      </w:r>
      <w:r w:rsidR="004F00E9" w:rsidRPr="00FC54FE">
        <w:rPr>
          <w:rFonts w:ascii="楷体" w:eastAsia="楷体" w:hAnsi="楷体" w:hint="eastAsia"/>
        </w:rPr>
        <w:t>爆发全面战争</w:t>
      </w:r>
      <w:r w:rsidR="00004C9F" w:rsidRPr="00FC54FE">
        <w:rPr>
          <w:rFonts w:ascii="楷体" w:eastAsia="楷体" w:hAnsi="楷体" w:hint="eastAsia"/>
        </w:rPr>
        <w:t>，预计首当其冲且程度相对剧烈的将</w:t>
      </w:r>
      <w:r w:rsidR="004F00E9" w:rsidRPr="00FC54FE">
        <w:rPr>
          <w:rFonts w:ascii="楷体" w:eastAsia="楷体" w:hAnsi="楷体" w:hint="eastAsia"/>
        </w:rPr>
        <w:t>是东欧市场，随着局势的蔓延或扩撒到中东、欧洲等地区。</w:t>
      </w:r>
      <w:r w:rsidR="004D59A9" w:rsidRPr="00FC54FE">
        <w:rPr>
          <w:rFonts w:ascii="楷体" w:eastAsia="楷体" w:hAnsi="楷体" w:hint="eastAsia"/>
        </w:rPr>
        <w:t>对市场来说，目前的紧张情绪可能会</w:t>
      </w:r>
      <w:r>
        <w:rPr>
          <w:rFonts w:ascii="楷体" w:eastAsia="楷体" w:hAnsi="楷体" w:hint="eastAsia"/>
        </w:rPr>
        <w:t>继续</w:t>
      </w:r>
      <w:r w:rsidR="004D59A9" w:rsidRPr="00FC54FE">
        <w:rPr>
          <w:rFonts w:ascii="楷体" w:eastAsia="楷体" w:hAnsi="楷体" w:hint="eastAsia"/>
        </w:rPr>
        <w:t>推高黄金、石油等部分大宗商品价格。</w:t>
      </w:r>
      <w:r w:rsidR="00004C9F" w:rsidRPr="00FC54FE">
        <w:rPr>
          <w:rFonts w:ascii="楷体" w:eastAsia="楷体" w:hAnsi="楷体" w:hint="eastAsia"/>
        </w:rPr>
        <w:t>不过我们认为</w:t>
      </w:r>
      <w:r w:rsidR="0026039C" w:rsidRPr="00FC54FE">
        <w:rPr>
          <w:rFonts w:ascii="楷体" w:eastAsia="楷体" w:hAnsi="楷体" w:hint="eastAsia"/>
        </w:rPr>
        <w:t>，</w:t>
      </w:r>
      <w:r w:rsidR="005853D6" w:rsidRPr="00FC54FE">
        <w:rPr>
          <w:rFonts w:ascii="楷体" w:eastAsia="楷体" w:hAnsi="楷体" w:hint="eastAsia"/>
        </w:rPr>
        <w:t>乌克兰问题不存在地区长期冲突的可能，从各国国力来看，俄罗斯与欧洲均无法承担起长期战争。因此，</w:t>
      </w:r>
      <w:r w:rsidR="00004C9F" w:rsidRPr="00FC54FE">
        <w:rPr>
          <w:rFonts w:ascii="楷体" w:eastAsia="楷体" w:hAnsi="楷体" w:hint="eastAsia"/>
        </w:rPr>
        <w:t>乌克兰地缘危机升级并实质性打击全球市场的可能性很低，</w:t>
      </w:r>
      <w:r w:rsidR="005853D6" w:rsidRPr="00FC54FE">
        <w:rPr>
          <w:rFonts w:ascii="楷体" w:eastAsia="楷体" w:hAnsi="楷体" w:hint="eastAsia"/>
        </w:rPr>
        <w:t>对欧元区经济</w:t>
      </w:r>
      <w:r w:rsidR="00004C9F" w:rsidRPr="00FC54FE">
        <w:rPr>
          <w:rFonts w:ascii="楷体" w:eastAsia="楷体" w:hAnsi="楷体" w:hint="eastAsia"/>
        </w:rPr>
        <w:t>冲击效应持续时间</w:t>
      </w:r>
      <w:r w:rsidR="00271636" w:rsidRPr="00FC54FE">
        <w:rPr>
          <w:rFonts w:ascii="楷体" w:eastAsia="楷体" w:hAnsi="楷体" w:hint="eastAsia"/>
        </w:rPr>
        <w:t>预计</w:t>
      </w:r>
      <w:r w:rsidR="00004C9F" w:rsidRPr="00FC54FE">
        <w:rPr>
          <w:rFonts w:ascii="楷体" w:eastAsia="楷体" w:hAnsi="楷体" w:hint="eastAsia"/>
        </w:rPr>
        <w:t>不会很长。</w:t>
      </w:r>
    </w:p>
    <w:p w:rsidR="00A70401" w:rsidRPr="00FC54FE" w:rsidRDefault="00A70401" w:rsidP="00A70401">
      <w:pPr>
        <w:widowControl/>
        <w:spacing w:after="120" w:line="240" w:lineRule="exact"/>
        <w:ind w:left="3430"/>
        <w:rPr>
          <w:rFonts w:ascii="楷体" w:eastAsia="楷体" w:hAnsi="楷体" w:cs="Times New Roman"/>
          <w:b/>
          <w:bCs/>
          <w:color w:val="0070C0"/>
          <w:kern w:val="0"/>
          <w:sz w:val="24"/>
          <w:szCs w:val="20"/>
          <w:lang w:val="en-GB"/>
        </w:rPr>
      </w:pPr>
      <w:r w:rsidRPr="00FC54FE">
        <w:rPr>
          <w:rFonts w:ascii="楷体" w:eastAsia="楷体" w:hAnsi="楷体" w:cs="Times New Roman" w:hint="eastAsia"/>
          <w:b/>
          <w:bCs/>
          <w:color w:val="0070C0"/>
          <w:kern w:val="0"/>
          <w:sz w:val="24"/>
          <w:szCs w:val="20"/>
          <w:lang w:val="en-GB"/>
        </w:rPr>
        <w:t>新兴市场：</w:t>
      </w:r>
      <w:r w:rsidR="002C5411">
        <w:rPr>
          <w:rFonts w:ascii="楷体" w:eastAsia="楷体" w:hAnsi="楷体" w:cs="Times New Roman" w:hint="eastAsia"/>
          <w:b/>
          <w:bCs/>
          <w:color w:val="0070C0"/>
          <w:kern w:val="0"/>
          <w:sz w:val="24"/>
          <w:szCs w:val="20"/>
          <w:lang w:val="en-GB"/>
        </w:rPr>
        <w:t>继续</w:t>
      </w:r>
      <w:r w:rsidR="008F0E10" w:rsidRPr="00FC54FE">
        <w:rPr>
          <w:rFonts w:ascii="楷体" w:eastAsia="楷体" w:hAnsi="楷体" w:cs="Times New Roman" w:hint="eastAsia"/>
          <w:b/>
          <w:bCs/>
          <w:color w:val="0070C0"/>
          <w:kern w:val="0"/>
          <w:sz w:val="24"/>
          <w:szCs w:val="20"/>
          <w:lang w:val="en-GB"/>
        </w:rPr>
        <w:t>承压，未来分化</w:t>
      </w:r>
    </w:p>
    <w:p w:rsidR="00DA29C6" w:rsidRPr="00FC54FE" w:rsidRDefault="00DA29C6" w:rsidP="0003225B">
      <w:pPr>
        <w:pStyle w:val="ab"/>
        <w:numPr>
          <w:ilvl w:val="4"/>
          <w:numId w:val="1"/>
        </w:numPr>
        <w:spacing w:after="163"/>
        <w:rPr>
          <w:rFonts w:ascii="楷体" w:eastAsia="楷体" w:hAnsi="楷体"/>
          <w:color w:val="auto"/>
        </w:rPr>
      </w:pPr>
      <w:r w:rsidRPr="00FC54FE">
        <w:rPr>
          <w:rFonts w:ascii="楷体" w:eastAsia="楷体" w:hAnsi="楷体"/>
        </w:rPr>
        <w:t>今年1</w:t>
      </w:r>
      <w:r w:rsidR="00F25534" w:rsidRPr="00FC54FE">
        <w:rPr>
          <w:rFonts w:ascii="楷体" w:eastAsia="楷体" w:hAnsi="楷体"/>
        </w:rPr>
        <w:t>月以来，</w:t>
      </w:r>
      <w:r w:rsidR="00F25534" w:rsidRPr="00FC54FE">
        <w:rPr>
          <w:rFonts w:ascii="楷体" w:eastAsia="楷体" w:hAnsi="楷体" w:hint="eastAsia"/>
        </w:rPr>
        <w:t>多数新兴市场面临严峻的资本流出以及如何维持风险资产价格稳定的难题</w:t>
      </w:r>
      <w:r w:rsidR="00F25534" w:rsidRPr="00FC54FE">
        <w:rPr>
          <w:rFonts w:ascii="楷体" w:eastAsia="楷体" w:hAnsi="楷体"/>
        </w:rPr>
        <w:t>，</w:t>
      </w:r>
      <w:r w:rsidRPr="00FC54FE">
        <w:rPr>
          <w:rFonts w:ascii="楷体" w:eastAsia="楷体" w:hAnsi="楷体"/>
        </w:rPr>
        <w:t>直接触发因素是美联储退出量化</w:t>
      </w:r>
      <w:r w:rsidR="00001113" w:rsidRPr="00FC54FE">
        <w:rPr>
          <w:rFonts w:ascii="楷体" w:eastAsia="楷体" w:hAnsi="楷体"/>
        </w:rPr>
        <w:t>宽松货币政策，改变全球流动性预期，而部分新兴市场国家自身的政治混乱和经济脆弱性</w:t>
      </w:r>
      <w:r w:rsidR="00F25534" w:rsidRPr="00FC54FE">
        <w:rPr>
          <w:rFonts w:ascii="楷体" w:eastAsia="楷体" w:hAnsi="楷体"/>
        </w:rPr>
        <w:t>等问题</w:t>
      </w:r>
      <w:r w:rsidRPr="00FC54FE">
        <w:rPr>
          <w:rFonts w:ascii="楷体" w:eastAsia="楷体" w:hAnsi="楷体"/>
        </w:rPr>
        <w:t>，引发了全球投资者对新兴市场的担忧，从而大规模抛售新兴经济体的资产。</w:t>
      </w:r>
      <w:r w:rsidR="00F25534" w:rsidRPr="00FC54FE">
        <w:rPr>
          <w:rFonts w:ascii="楷体" w:eastAsia="楷体" w:hAnsi="楷体"/>
        </w:rPr>
        <w:t>不过亦有分析指出，</w:t>
      </w:r>
      <w:r w:rsidR="00F25534" w:rsidRPr="00FC54FE">
        <w:rPr>
          <w:rFonts w:ascii="楷体" w:eastAsia="楷体" w:hAnsi="楷体" w:hint="eastAsia"/>
        </w:rPr>
        <w:t>投资者正从新兴市场蜂拥出逃的说法过于夸张。</w:t>
      </w:r>
      <w:r w:rsidR="001E60C8" w:rsidRPr="00FC54FE">
        <w:rPr>
          <w:rFonts w:ascii="楷体" w:eastAsia="楷体" w:hAnsi="楷体" w:hint="eastAsia"/>
        </w:rPr>
        <w:t>我们仍坚持2014年初的判断，即新兴市场表现将分化，经济基本面较好的新兴市场国家（如中国等金砖国家），尤其是其中估值相对合理的证券市场，受到的冲击会相对较小。</w:t>
      </w:r>
    </w:p>
    <w:p w:rsidR="00E41ECF" w:rsidRPr="00FC54FE" w:rsidRDefault="001D109E" w:rsidP="00E41ECF">
      <w:pPr>
        <w:pStyle w:val="ab"/>
        <w:numPr>
          <w:ilvl w:val="4"/>
          <w:numId w:val="1"/>
        </w:numPr>
        <w:spacing w:after="163"/>
        <w:rPr>
          <w:rFonts w:ascii="楷体" w:eastAsia="楷体" w:hAnsi="楷体"/>
        </w:rPr>
      </w:pPr>
      <w:r w:rsidRPr="00FC54FE">
        <w:rPr>
          <w:rFonts w:ascii="楷体" w:eastAsia="楷体" w:hAnsi="楷体" w:hint="eastAsia"/>
        </w:rPr>
        <w:t>根据国际货币基金组织报告，尽管新兴市场各国普遍承压，但通胀和经常账户赤字更高的国家受到的影响最大，例如巴西、</w:t>
      </w:r>
      <w:r w:rsidR="001A5D15" w:rsidRPr="00FC54FE">
        <w:rPr>
          <w:rFonts w:ascii="楷体" w:eastAsia="楷体" w:hAnsi="楷体" w:hint="eastAsia"/>
        </w:rPr>
        <w:t>印度尼西亚、土耳其和南非，还有一些国家的</w:t>
      </w:r>
      <w:r w:rsidR="00E41ECF" w:rsidRPr="00FC54FE">
        <w:rPr>
          <w:rFonts w:ascii="楷体" w:eastAsia="楷体" w:hAnsi="楷体" w:hint="eastAsia"/>
        </w:rPr>
        <w:t>政治动荡（如泰国、土耳其、南非和乌克兰)</w:t>
      </w:r>
      <w:r w:rsidR="001A5D15" w:rsidRPr="00FC54FE">
        <w:rPr>
          <w:rFonts w:ascii="楷体" w:eastAsia="楷体" w:hAnsi="楷体" w:hint="eastAsia"/>
        </w:rPr>
        <w:t>加剧形势恶化</w:t>
      </w:r>
      <w:r w:rsidRPr="00FC54FE">
        <w:rPr>
          <w:rFonts w:ascii="楷体" w:eastAsia="楷体" w:hAnsi="楷体" w:hint="eastAsia"/>
        </w:rPr>
        <w:t>。</w:t>
      </w:r>
      <w:r w:rsidR="00E41ECF" w:rsidRPr="00FC54FE">
        <w:rPr>
          <w:rFonts w:ascii="楷体" w:eastAsia="楷体" w:hAnsi="楷体" w:hint="eastAsia"/>
        </w:rPr>
        <w:t>从现有数据看，新兴经济体广泛的货币贬值并没有带来国际收支的好转，有些国家的外汇储备还在持续下滑。世界利率上升的趋势并没有结束，新兴经济体的压力也会随之承受更大压力。目前由于过去10年大宗商品的牛市，新兴经济体普遍积累了庞大的外汇储备，还没有哪个国家的外汇储备消耗殆尽，所以新兴国家理论上还没有到最危险的时候。</w:t>
      </w:r>
      <w:r w:rsidR="001A5D15" w:rsidRPr="00FC54FE">
        <w:rPr>
          <w:rFonts w:ascii="楷体" w:eastAsia="楷体" w:hAnsi="楷体" w:hint="eastAsia"/>
        </w:rPr>
        <w:t>如果真的出现克鲁格</w:t>
      </w:r>
      <w:r w:rsidR="00A02E6A">
        <w:rPr>
          <w:rFonts w:ascii="楷体" w:eastAsia="楷体" w:hAnsi="楷体" w:hint="eastAsia"/>
        </w:rPr>
        <w:t>曼曾提出的外汇储备加速消耗的现象，出现某个国家外汇储备消耗殆尽、</w:t>
      </w:r>
      <w:r w:rsidR="001A5D15" w:rsidRPr="00FC54FE">
        <w:rPr>
          <w:rFonts w:ascii="楷体" w:eastAsia="楷体" w:hAnsi="楷体" w:hint="eastAsia"/>
        </w:rPr>
        <w:t>无法支付外部债务的时候，就会产生更大的冲击。</w:t>
      </w:r>
    </w:p>
    <w:p w:rsidR="00A70401" w:rsidRPr="00FC54FE" w:rsidRDefault="009C095F" w:rsidP="001D000D">
      <w:pPr>
        <w:pStyle w:val="ab"/>
        <w:numPr>
          <w:ilvl w:val="4"/>
          <w:numId w:val="1"/>
        </w:numPr>
        <w:spacing w:after="163"/>
        <w:rPr>
          <w:rFonts w:ascii="楷体" w:eastAsia="楷体" w:hAnsi="楷体"/>
          <w:color w:val="auto"/>
        </w:rPr>
      </w:pPr>
      <w:r w:rsidRPr="00FC54FE">
        <w:rPr>
          <w:rFonts w:ascii="楷体" w:eastAsia="楷体" w:hAnsi="楷体" w:hint="eastAsia"/>
          <w:color w:val="auto"/>
        </w:rPr>
        <w:t>港股方面</w:t>
      </w:r>
      <w:r w:rsidR="00210515" w:rsidRPr="00FC54FE">
        <w:rPr>
          <w:rFonts w:ascii="楷体" w:eastAsia="楷体" w:hAnsi="楷体" w:hint="eastAsia"/>
          <w:color w:val="auto"/>
        </w:rPr>
        <w:t>，</w:t>
      </w:r>
      <w:r w:rsidR="0003225B" w:rsidRPr="00FC54FE">
        <w:rPr>
          <w:rFonts w:ascii="楷体" w:eastAsia="楷体" w:hAnsi="楷体" w:hint="eastAsia"/>
          <w:color w:val="auto"/>
        </w:rPr>
        <w:t>恒生指数估值低于历史</w:t>
      </w:r>
      <w:r w:rsidR="001E60C8" w:rsidRPr="00FC54FE">
        <w:rPr>
          <w:rFonts w:ascii="楷体" w:eastAsia="楷体" w:hAnsi="楷体" w:hint="eastAsia"/>
          <w:color w:val="auto"/>
        </w:rPr>
        <w:t>均值水平，与其他资本市场相比具有吸引力</w:t>
      </w:r>
      <w:r w:rsidR="0003225B" w:rsidRPr="00FC54FE">
        <w:rPr>
          <w:rFonts w:ascii="楷体" w:eastAsia="楷体" w:hAnsi="楷体" w:hint="eastAsia"/>
          <w:color w:val="auto"/>
        </w:rPr>
        <w:t>。</w:t>
      </w:r>
      <w:r w:rsidR="00210515" w:rsidRPr="00F01B0B">
        <w:rPr>
          <w:rFonts w:eastAsia="楷体_GB2312" w:hint="eastAsia"/>
          <w:color w:val="auto"/>
        </w:rPr>
        <w:t>不过，</w:t>
      </w:r>
      <w:r w:rsidR="00F01B0B">
        <w:rPr>
          <w:rFonts w:eastAsia="楷体_GB2312" w:hint="eastAsia"/>
          <w:color w:val="auto"/>
        </w:rPr>
        <w:t>数据显示中国</w:t>
      </w:r>
      <w:r w:rsidR="00F01B0B" w:rsidRPr="00E4421C">
        <w:rPr>
          <w:rFonts w:eastAsia="楷体_GB2312" w:hint="eastAsia"/>
          <w:color w:val="auto"/>
        </w:rPr>
        <w:t>经济延续下滑趋势，对于信用风险的担忧加大短期经济下行压力和资本市场的波动</w:t>
      </w:r>
      <w:r w:rsidR="00F01B0B">
        <w:rPr>
          <w:rFonts w:eastAsia="楷体_GB2312" w:hint="eastAsia"/>
          <w:color w:val="auto"/>
        </w:rPr>
        <w:t>，</w:t>
      </w:r>
      <w:r w:rsidR="00F01B0B" w:rsidRPr="00FC54FE">
        <w:rPr>
          <w:rFonts w:ascii="楷体" w:eastAsia="楷体" w:hAnsi="楷体" w:hint="eastAsia"/>
        </w:rPr>
        <w:t>港股整体配置价值尚需等待。</w:t>
      </w:r>
      <w:r w:rsidR="00F01B0B" w:rsidRPr="00E4421C">
        <w:rPr>
          <w:rFonts w:eastAsia="楷体_GB2312" w:hint="eastAsia"/>
          <w:color w:val="auto"/>
        </w:rPr>
        <w:t>3</w:t>
      </w:r>
      <w:r w:rsidR="00F01B0B" w:rsidRPr="00E4421C">
        <w:rPr>
          <w:rFonts w:eastAsia="楷体_GB2312" w:hint="eastAsia"/>
          <w:color w:val="auto"/>
        </w:rPr>
        <w:t>月份市场风险偏好有所下降，结合两会期间改革推进红利的释放，改革相关主题投资机会关注度上升</w:t>
      </w:r>
      <w:r w:rsidR="00F01B0B">
        <w:rPr>
          <w:rFonts w:eastAsia="楷体_GB2312" w:hint="eastAsia"/>
          <w:color w:val="auto"/>
        </w:rPr>
        <w:t>，</w:t>
      </w:r>
      <w:r w:rsidR="00F01B0B" w:rsidRPr="00FC54FE">
        <w:rPr>
          <w:rFonts w:ascii="楷体" w:eastAsia="楷体" w:hAnsi="楷体" w:hint="eastAsia"/>
        </w:rPr>
        <w:t>结构性机会可以尝试把握，产品投资建议选择主动型。</w:t>
      </w:r>
    </w:p>
    <w:tbl>
      <w:tblPr>
        <w:tblW w:w="7442" w:type="dxa"/>
        <w:tblInd w:w="340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7442"/>
      </w:tblGrid>
      <w:tr w:rsidR="00845CF9" w:rsidRPr="00FC54FE" w:rsidTr="0032541E">
        <w:trPr>
          <w:cantSplit/>
          <w:trHeight w:val="65"/>
        </w:trPr>
        <w:tc>
          <w:tcPr>
            <w:tcW w:w="7442" w:type="dxa"/>
            <w:shd w:val="clear" w:color="auto" w:fill="auto"/>
            <w:vAlign w:val="center"/>
          </w:tcPr>
          <w:p w:rsidR="00845CF9" w:rsidRPr="00FC54FE" w:rsidRDefault="00845CF9" w:rsidP="0032541E">
            <w:pPr>
              <w:pStyle w:val="SubTitleLargeTable"/>
              <w:pBdr>
                <w:top w:val="none" w:sz="0" w:space="0" w:color="auto"/>
              </w:pBdr>
              <w:rPr>
                <w:rFonts w:ascii="楷体" w:eastAsia="楷体" w:hAnsi="楷体"/>
                <w:b w:val="0"/>
                <w:color w:val="FF6600"/>
              </w:rPr>
            </w:pPr>
            <w:r w:rsidRPr="00FC54FE">
              <w:rPr>
                <w:rFonts w:ascii="楷体" w:eastAsia="楷体" w:hAnsi="楷体"/>
                <w:color w:val="FF6600"/>
              </w:rPr>
              <w:lastRenderedPageBreak/>
              <w:t>图表</w:t>
            </w:r>
            <w:r w:rsidRPr="00FC54FE">
              <w:rPr>
                <w:rFonts w:ascii="楷体" w:eastAsia="楷体" w:hAnsi="楷体" w:hint="eastAsia"/>
                <w:color w:val="FF6600"/>
              </w:rPr>
              <w:t>1：</w:t>
            </w:r>
            <w:r w:rsidRPr="00F92296">
              <w:rPr>
                <w:rFonts w:ascii="楷体" w:eastAsia="楷体" w:hAnsi="楷体" w:hint="eastAsia"/>
                <w:color w:val="FF6600"/>
              </w:rPr>
              <w:t>2014年以来全球主要股指走势比较</w:t>
            </w:r>
          </w:p>
        </w:tc>
      </w:tr>
      <w:tr w:rsidR="00845CF9" w:rsidRPr="00FC54FE" w:rsidTr="0032541E">
        <w:trPr>
          <w:cantSplit/>
          <w:trHeight w:val="3169"/>
        </w:trPr>
        <w:tc>
          <w:tcPr>
            <w:tcW w:w="7442" w:type="dxa"/>
            <w:shd w:val="clear" w:color="auto" w:fill="auto"/>
            <w:vAlign w:val="center"/>
          </w:tcPr>
          <w:p w:rsidR="00845CF9" w:rsidRPr="00FC54FE" w:rsidRDefault="00052FAC" w:rsidP="0032541E">
            <w:pPr>
              <w:snapToGrid w:val="0"/>
              <w:spacing w:line="10" w:lineRule="atLeast"/>
              <w:jc w:val="center"/>
              <w:rPr>
                <w:rFonts w:ascii="楷体" w:eastAsia="楷体" w:hAnsi="楷体"/>
                <w:b/>
              </w:rPr>
            </w:pPr>
            <w:r>
              <w:rPr>
                <w:rFonts w:ascii="楷体" w:eastAsia="楷体" w:hAnsi="楷体"/>
                <w:b/>
                <w:noProof/>
              </w:rPr>
              <w:drawing>
                <wp:inline distT="0" distB="0" distL="0" distR="0">
                  <wp:extent cx="4724400" cy="2028825"/>
                  <wp:effectExtent l="1905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a:stretch>
                            <a:fillRect/>
                          </a:stretch>
                        </pic:blipFill>
                        <pic:spPr bwMode="auto">
                          <a:xfrm>
                            <a:off x="0" y="0"/>
                            <a:ext cx="4724400" cy="2028825"/>
                          </a:xfrm>
                          <a:prstGeom prst="rect">
                            <a:avLst/>
                          </a:prstGeom>
                          <a:noFill/>
                          <a:ln w="9525">
                            <a:noFill/>
                            <a:miter lim="800000"/>
                            <a:headEnd/>
                            <a:tailEnd/>
                          </a:ln>
                        </pic:spPr>
                      </pic:pic>
                    </a:graphicData>
                  </a:graphic>
                </wp:inline>
              </w:drawing>
            </w:r>
          </w:p>
        </w:tc>
      </w:tr>
    </w:tbl>
    <w:p w:rsidR="00845CF9" w:rsidRPr="00FC54FE" w:rsidRDefault="00845CF9" w:rsidP="00845CF9">
      <w:pPr>
        <w:pStyle w:val="FootnoteNoline"/>
        <w:rPr>
          <w:rFonts w:ascii="楷体" w:eastAsia="楷体" w:hAnsi="楷体"/>
          <w:color w:val="FF6600"/>
        </w:rPr>
      </w:pPr>
      <w:r w:rsidRPr="00FC54FE">
        <w:rPr>
          <w:rFonts w:ascii="楷体" w:eastAsia="楷体" w:hAnsi="楷体" w:hint="eastAsia"/>
          <w:color w:val="FF6600"/>
        </w:rPr>
        <w:t>来源：凯石财富工场 财汇数据</w:t>
      </w:r>
    </w:p>
    <w:p w:rsidR="00607330" w:rsidRPr="00FC54FE" w:rsidRDefault="00607330" w:rsidP="00607330">
      <w:pPr>
        <w:widowControl/>
        <w:spacing w:after="120" w:line="240" w:lineRule="exact"/>
        <w:ind w:left="3430"/>
        <w:rPr>
          <w:rFonts w:ascii="楷体" w:eastAsia="楷体" w:hAnsi="楷体" w:cs="Times New Roman"/>
          <w:b/>
          <w:bCs/>
          <w:color w:val="0070C0"/>
          <w:kern w:val="0"/>
          <w:sz w:val="24"/>
          <w:szCs w:val="20"/>
          <w:lang w:val="en-GB"/>
        </w:rPr>
      </w:pPr>
      <w:r w:rsidRPr="00FC54FE">
        <w:rPr>
          <w:rFonts w:ascii="楷体" w:eastAsia="楷体" w:hAnsi="楷体" w:cs="Times New Roman" w:hint="eastAsia"/>
          <w:b/>
          <w:bCs/>
          <w:color w:val="0070C0"/>
          <w:kern w:val="0"/>
          <w:sz w:val="24"/>
          <w:szCs w:val="20"/>
          <w:lang w:val="en-GB"/>
        </w:rPr>
        <w:t>商品</w:t>
      </w:r>
      <w:r w:rsidR="00333E93" w:rsidRPr="00FC54FE">
        <w:rPr>
          <w:rFonts w:ascii="楷体" w:eastAsia="楷体" w:hAnsi="楷体" w:cs="Times New Roman" w:hint="eastAsia"/>
          <w:b/>
          <w:bCs/>
          <w:color w:val="0070C0"/>
          <w:kern w:val="0"/>
          <w:sz w:val="24"/>
          <w:szCs w:val="20"/>
          <w:lang w:val="en-GB"/>
        </w:rPr>
        <w:t>等</w:t>
      </w:r>
      <w:r w:rsidRPr="00FC54FE">
        <w:rPr>
          <w:rFonts w:ascii="楷体" w:eastAsia="楷体" w:hAnsi="楷体" w:cs="Times New Roman" w:hint="eastAsia"/>
          <w:b/>
          <w:bCs/>
          <w:color w:val="0070C0"/>
          <w:kern w:val="0"/>
          <w:sz w:val="24"/>
          <w:szCs w:val="20"/>
          <w:lang w:val="en-GB"/>
        </w:rPr>
        <w:t>市场：</w:t>
      </w:r>
      <w:r w:rsidR="001A5408" w:rsidRPr="00FC54FE">
        <w:rPr>
          <w:rFonts w:ascii="楷体" w:eastAsia="楷体" w:hAnsi="楷体" w:cs="Times New Roman" w:hint="eastAsia"/>
          <w:b/>
          <w:bCs/>
          <w:color w:val="0070C0"/>
          <w:kern w:val="0"/>
          <w:sz w:val="24"/>
          <w:szCs w:val="20"/>
          <w:lang w:val="en-GB"/>
        </w:rPr>
        <w:t>避险买盘提振黄金</w:t>
      </w:r>
      <w:r w:rsidR="00016E71">
        <w:rPr>
          <w:rFonts w:ascii="楷体" w:eastAsia="楷体" w:hAnsi="楷体" w:cs="Times New Roman" w:hint="eastAsia"/>
          <w:b/>
          <w:bCs/>
          <w:color w:val="0070C0"/>
          <w:kern w:val="0"/>
          <w:sz w:val="24"/>
          <w:szCs w:val="20"/>
          <w:lang w:val="en-GB"/>
        </w:rPr>
        <w:t>原油</w:t>
      </w:r>
      <w:r w:rsidR="00490A8E" w:rsidRPr="00FC54FE">
        <w:rPr>
          <w:rFonts w:ascii="楷体" w:eastAsia="楷体" w:hAnsi="楷体" w:cs="Times New Roman" w:hint="eastAsia"/>
          <w:b/>
          <w:bCs/>
          <w:color w:val="0070C0"/>
          <w:kern w:val="0"/>
          <w:sz w:val="24"/>
          <w:szCs w:val="20"/>
          <w:lang w:val="en-GB"/>
        </w:rPr>
        <w:t>反弹</w:t>
      </w:r>
    </w:p>
    <w:p w:rsidR="001A5408" w:rsidRPr="00FC54FE" w:rsidRDefault="00B872DF" w:rsidP="00DC5BF2">
      <w:pPr>
        <w:pStyle w:val="ab"/>
        <w:numPr>
          <w:ilvl w:val="4"/>
          <w:numId w:val="1"/>
        </w:numPr>
        <w:spacing w:after="163"/>
        <w:rPr>
          <w:rFonts w:ascii="楷体" w:eastAsia="楷体" w:hAnsi="楷体"/>
        </w:rPr>
      </w:pPr>
      <w:r w:rsidRPr="00FC54FE">
        <w:rPr>
          <w:rFonts w:ascii="楷体" w:eastAsia="楷体" w:hAnsi="楷体" w:hint="eastAsia"/>
        </w:rPr>
        <w:t>进入2月，金价继续延续1月的涨势，国际现货黄金收于1325.70美元/盎司，与1月相比上涨81.7美元/盎司，涨幅达6.6%。美国</w:t>
      </w:r>
      <w:r w:rsidR="001A5408" w:rsidRPr="00FC54FE">
        <w:rPr>
          <w:rFonts w:ascii="楷体" w:eastAsia="楷体" w:hAnsi="楷体" w:hint="eastAsia"/>
        </w:rPr>
        <w:t>阶段</w:t>
      </w:r>
      <w:r w:rsidRPr="00FC54FE">
        <w:rPr>
          <w:rFonts w:ascii="楷体" w:eastAsia="楷体" w:hAnsi="楷体" w:hint="eastAsia"/>
        </w:rPr>
        <w:t>经济数据</w:t>
      </w:r>
      <w:r w:rsidR="001A5408" w:rsidRPr="00FC54FE">
        <w:rPr>
          <w:rFonts w:ascii="楷体" w:eastAsia="楷体" w:hAnsi="楷体" w:hint="eastAsia"/>
        </w:rPr>
        <w:t>及股票市场</w:t>
      </w:r>
      <w:r w:rsidRPr="00FC54FE">
        <w:rPr>
          <w:rFonts w:ascii="楷体" w:eastAsia="楷体" w:hAnsi="楷体" w:hint="eastAsia"/>
        </w:rPr>
        <w:t>的波动成为金价的重大支撑，此外乌克兰局势升级令地域争端风险大增，黄金的避险保值功能凸显，</w:t>
      </w:r>
      <w:r w:rsidRPr="00FC54FE">
        <w:rPr>
          <w:rFonts w:ascii="楷体" w:eastAsia="楷体" w:hAnsi="楷体"/>
        </w:rPr>
        <w:t>金价大幅反弹</w:t>
      </w:r>
      <w:r w:rsidR="00202D6B" w:rsidRPr="00FC54FE">
        <w:rPr>
          <w:rFonts w:ascii="楷体" w:eastAsia="楷体" w:hAnsi="楷体"/>
        </w:rPr>
        <w:t>。</w:t>
      </w:r>
    </w:p>
    <w:p w:rsidR="00202D6B" w:rsidRPr="00FC54FE" w:rsidRDefault="001A5408" w:rsidP="00DC5BF2">
      <w:pPr>
        <w:pStyle w:val="ab"/>
        <w:numPr>
          <w:ilvl w:val="4"/>
          <w:numId w:val="1"/>
        </w:numPr>
        <w:spacing w:after="163"/>
        <w:rPr>
          <w:rFonts w:ascii="楷体" w:eastAsia="楷体" w:hAnsi="楷体"/>
        </w:rPr>
      </w:pPr>
      <w:r w:rsidRPr="00FC54FE">
        <w:rPr>
          <w:rFonts w:ascii="楷体" w:eastAsia="楷体" w:hAnsi="楷体"/>
        </w:rPr>
        <w:t>原油方面</w:t>
      </w:r>
      <w:r w:rsidR="006160C8" w:rsidRPr="00FC54FE">
        <w:rPr>
          <w:rFonts w:ascii="楷体" w:eastAsia="楷体" w:hAnsi="楷体"/>
        </w:rPr>
        <w:t>，</w:t>
      </w:r>
      <w:r w:rsidR="00F3150E">
        <w:rPr>
          <w:rFonts w:ascii="楷体" w:eastAsia="楷体" w:hAnsi="楷体" w:hint="eastAsia"/>
        </w:rPr>
        <w:t>随着</w:t>
      </w:r>
      <w:r w:rsidR="00183EE1">
        <w:rPr>
          <w:rFonts w:ascii="楷体" w:eastAsia="楷体" w:hAnsi="楷体" w:hint="eastAsia"/>
        </w:rPr>
        <w:t>东欧</w:t>
      </w:r>
      <w:r w:rsidR="00F3150E">
        <w:rPr>
          <w:rFonts w:ascii="楷体" w:eastAsia="楷体" w:hAnsi="楷体" w:hint="eastAsia"/>
        </w:rPr>
        <w:t>局势</w:t>
      </w:r>
      <w:r w:rsidR="00183EE1">
        <w:rPr>
          <w:rFonts w:ascii="楷体" w:eastAsia="楷体" w:hAnsi="楷体" w:hint="eastAsia"/>
        </w:rPr>
        <w:t>动荡，国际市场对原油供给受到冲击的担心明显升级，</w:t>
      </w:r>
      <w:r w:rsidR="004F7FEC" w:rsidRPr="004F7FEC">
        <w:rPr>
          <w:rFonts w:ascii="楷体" w:eastAsia="楷体" w:hAnsi="楷体" w:hint="eastAsia"/>
        </w:rPr>
        <w:t>直接导致</w:t>
      </w:r>
      <w:r w:rsidR="004F7FEC">
        <w:rPr>
          <w:rFonts w:ascii="楷体" w:eastAsia="楷体" w:hAnsi="楷体" w:hint="eastAsia"/>
        </w:rPr>
        <w:t>近期</w:t>
      </w:r>
      <w:r w:rsidR="004F7FEC" w:rsidRPr="004F7FEC">
        <w:rPr>
          <w:rFonts w:ascii="楷体" w:eastAsia="楷体" w:hAnsi="楷体" w:hint="eastAsia"/>
        </w:rPr>
        <w:t>国际市场油价大幅飙升，</w:t>
      </w:r>
      <w:r w:rsidR="004F7FEC">
        <w:rPr>
          <w:rFonts w:ascii="楷体" w:eastAsia="楷体" w:hAnsi="楷体" w:hint="eastAsia"/>
        </w:rPr>
        <w:t>叠加</w:t>
      </w:r>
      <w:r w:rsidR="002B0CF5" w:rsidRPr="00FC54FE">
        <w:rPr>
          <w:rFonts w:ascii="楷体" w:eastAsia="楷体" w:hAnsi="楷体"/>
        </w:rPr>
        <w:t>美国极端</w:t>
      </w:r>
      <w:r w:rsidR="004F7FEC">
        <w:rPr>
          <w:rFonts w:ascii="楷体" w:eastAsia="楷体" w:hAnsi="楷体"/>
        </w:rPr>
        <w:t>严寒气候持续推动</w:t>
      </w:r>
      <w:r w:rsidR="00202D6B" w:rsidRPr="00FC54FE">
        <w:rPr>
          <w:rFonts w:ascii="楷体" w:eastAsia="楷体" w:hAnsi="楷体"/>
        </w:rPr>
        <w:t>燃料需求上升，原油价格2月上涨5.28%，报102美元每桶。</w:t>
      </w:r>
      <w:r w:rsidR="002B0CF5" w:rsidRPr="00FC54FE">
        <w:rPr>
          <w:rFonts w:ascii="楷体" w:eastAsia="楷体" w:hAnsi="楷体"/>
        </w:rPr>
        <w:t>不过</w:t>
      </w:r>
      <w:r w:rsidR="002B0CF5" w:rsidRPr="00FC54FE">
        <w:rPr>
          <w:rFonts w:ascii="楷体" w:eastAsia="楷体" w:hAnsi="楷体" w:hint="eastAsia"/>
        </w:rPr>
        <w:t>随着时间的推移，短期内各大机构已加强取暖油的运输，将较大程度缓解柴油紧张的局面，我们预计原油的基本面对价格的支撑将会逐渐减弱。</w:t>
      </w:r>
    </w:p>
    <w:p w:rsidR="00A70401" w:rsidRPr="00FC54FE" w:rsidRDefault="00F92296" w:rsidP="00A70401">
      <w:pPr>
        <w:widowControl/>
        <w:spacing w:after="120" w:line="240" w:lineRule="exact"/>
        <w:ind w:left="3430"/>
        <w:rPr>
          <w:rFonts w:ascii="楷体" w:eastAsia="楷体" w:hAnsi="楷体" w:cs="Times New Roman"/>
          <w:b/>
          <w:bCs/>
          <w:color w:val="0070C0"/>
          <w:kern w:val="0"/>
          <w:sz w:val="24"/>
          <w:szCs w:val="20"/>
          <w:lang w:val="en-GB"/>
        </w:rPr>
      </w:pPr>
      <w:r>
        <w:rPr>
          <w:rFonts w:ascii="楷体" w:eastAsia="楷体" w:hAnsi="楷体" w:cs="Times New Roman" w:hint="eastAsia"/>
          <w:b/>
          <w:bCs/>
          <w:color w:val="0070C0"/>
          <w:kern w:val="0"/>
          <w:sz w:val="24"/>
          <w:szCs w:val="20"/>
          <w:lang w:val="en-GB"/>
        </w:rPr>
        <w:t>3</w:t>
      </w:r>
      <w:r w:rsidR="00A70401" w:rsidRPr="00FC54FE">
        <w:rPr>
          <w:rFonts w:ascii="楷体" w:eastAsia="楷体" w:hAnsi="楷体" w:cs="Times New Roman" w:hint="eastAsia"/>
          <w:b/>
          <w:bCs/>
          <w:color w:val="0070C0"/>
          <w:kern w:val="0"/>
          <w:sz w:val="24"/>
          <w:szCs w:val="20"/>
          <w:lang w:val="en-GB"/>
        </w:rPr>
        <w:t>月QDII投资：</w:t>
      </w:r>
      <w:r w:rsidR="0094404A" w:rsidRPr="00FC54FE">
        <w:rPr>
          <w:rFonts w:ascii="楷体" w:eastAsia="楷体" w:hAnsi="楷体" w:cs="Times New Roman" w:hint="eastAsia"/>
          <w:b/>
          <w:bCs/>
          <w:color w:val="0070C0"/>
          <w:kern w:val="0"/>
          <w:sz w:val="24"/>
          <w:szCs w:val="20"/>
          <w:lang w:val="en-GB"/>
        </w:rPr>
        <w:t>主配</w:t>
      </w:r>
      <w:r w:rsidR="00614E0D" w:rsidRPr="00FC54FE">
        <w:rPr>
          <w:rFonts w:ascii="楷体" w:eastAsia="楷体" w:hAnsi="楷体" w:cs="Times New Roman" w:hint="eastAsia"/>
          <w:b/>
          <w:bCs/>
          <w:color w:val="0070C0"/>
          <w:kern w:val="0"/>
          <w:sz w:val="24"/>
          <w:szCs w:val="20"/>
          <w:lang w:val="en-GB"/>
        </w:rPr>
        <w:t>美国市场</w:t>
      </w:r>
      <w:r w:rsidR="0094404A" w:rsidRPr="00FC54FE">
        <w:rPr>
          <w:rFonts w:ascii="楷体" w:eastAsia="楷体" w:hAnsi="楷体" w:cs="Times New Roman" w:hint="eastAsia"/>
          <w:b/>
          <w:bCs/>
          <w:color w:val="0070C0"/>
          <w:kern w:val="0"/>
          <w:sz w:val="24"/>
          <w:szCs w:val="20"/>
          <w:lang w:val="en-GB"/>
        </w:rPr>
        <w:t>，搭配港股主动产品</w:t>
      </w:r>
    </w:p>
    <w:p w:rsidR="00935742" w:rsidRPr="00935742" w:rsidRDefault="00935742" w:rsidP="00935742">
      <w:pPr>
        <w:pStyle w:val="ab"/>
        <w:numPr>
          <w:ilvl w:val="4"/>
          <w:numId w:val="1"/>
        </w:numPr>
        <w:spacing w:after="163"/>
        <w:rPr>
          <w:rFonts w:ascii="楷体" w:eastAsia="楷体" w:hAnsi="楷体"/>
          <w:color w:val="auto"/>
        </w:rPr>
      </w:pPr>
      <w:r w:rsidRPr="00935742">
        <w:rPr>
          <w:rFonts w:ascii="楷体" w:eastAsia="楷体" w:hAnsi="楷体" w:hint="eastAsia"/>
          <w:color w:val="auto"/>
        </w:rPr>
        <w:t>虽然近期美国经济数据因气候等因素出现波动，但无需过度担忧增长；美联储表态支持宽松、护航美国经济；此外债务上限问题亦不出意外的最终得到解决，总体来看美国仍是现阶段值得重点配置的市场之一。制造业继续引领欧洲经济复苏，服务业温和增长形势也有所加快，但俄乌战争疑云引发的危机效应或成为近期威胁欧洲市场的重要不确定性，短期谨防地缘政治风险。</w:t>
      </w:r>
    </w:p>
    <w:p w:rsidR="00935742" w:rsidRPr="00935742" w:rsidRDefault="00935742" w:rsidP="00935742">
      <w:pPr>
        <w:pStyle w:val="ab"/>
        <w:numPr>
          <w:ilvl w:val="4"/>
          <w:numId w:val="1"/>
        </w:numPr>
        <w:spacing w:after="163"/>
        <w:rPr>
          <w:rFonts w:ascii="楷体" w:eastAsia="楷体" w:hAnsi="楷体"/>
          <w:color w:val="auto"/>
        </w:rPr>
      </w:pPr>
      <w:r w:rsidRPr="00935742">
        <w:rPr>
          <w:rFonts w:ascii="楷体" w:eastAsia="楷体" w:hAnsi="楷体" w:hint="eastAsia"/>
          <w:color w:val="auto"/>
        </w:rPr>
        <w:t>数据显示中国经济延续下滑趋势，对于信用风险的担忧加大短期经济下行压力和资本市场的波动，港股整体配置价值尚需等待。结合两会期间改革推进红利的释放，改革相关主题投资机会关注度上升</w:t>
      </w:r>
      <w:r w:rsidR="00A169F8">
        <w:rPr>
          <w:rFonts w:ascii="楷体" w:eastAsia="楷体" w:hAnsi="楷体" w:hint="eastAsia"/>
          <w:color w:val="auto"/>
        </w:rPr>
        <w:t>，结构性机会可以尝试把握，产品投资建议选择主动型。乌克兰局势</w:t>
      </w:r>
      <w:r w:rsidRPr="00935742">
        <w:rPr>
          <w:rFonts w:ascii="楷体" w:eastAsia="楷体" w:hAnsi="楷体" w:hint="eastAsia"/>
          <w:color w:val="auto"/>
        </w:rPr>
        <w:t>令国际市场担忧原油供给受到冲击，直接导致近期国际市场油价飙升，同时黄金价格也由于避险因素大幅反弹，其他大宗商品需求可能会受到影响</w:t>
      </w:r>
      <w:r w:rsidR="00A64CD0">
        <w:rPr>
          <w:rFonts w:ascii="楷体" w:eastAsia="楷体" w:hAnsi="楷体" w:hint="eastAsia"/>
        </w:rPr>
        <w:t>，</w:t>
      </w:r>
      <w:r w:rsidR="00A64CD0" w:rsidRPr="00F01B0B">
        <w:rPr>
          <w:rFonts w:ascii="楷体" w:eastAsia="楷体" w:hAnsi="楷体" w:hint="eastAsia"/>
        </w:rPr>
        <w:t>商品基金</w:t>
      </w:r>
      <w:r w:rsidR="00A64CD0">
        <w:rPr>
          <w:rFonts w:ascii="楷体" w:eastAsia="楷体" w:hAnsi="楷体" w:hint="eastAsia"/>
        </w:rPr>
        <w:t>或</w:t>
      </w:r>
      <w:r w:rsidR="00A64CD0" w:rsidRPr="00F01B0B">
        <w:rPr>
          <w:rFonts w:ascii="楷体" w:eastAsia="楷体" w:hAnsi="楷体" w:hint="eastAsia"/>
        </w:rPr>
        <w:t>存在阶段性机会</w:t>
      </w:r>
      <w:r w:rsidR="00A64CD0">
        <w:rPr>
          <w:rFonts w:ascii="楷体" w:eastAsia="楷体" w:hAnsi="楷体" w:hint="eastAsia"/>
        </w:rPr>
        <w:t>，但需要根据局势变化灵活把握</w:t>
      </w:r>
      <w:r w:rsidR="00A64CD0" w:rsidRPr="00F01B0B">
        <w:rPr>
          <w:rFonts w:ascii="楷体" w:eastAsia="楷体" w:hAnsi="楷体" w:hint="eastAsia"/>
        </w:rPr>
        <w:t>。</w:t>
      </w:r>
    </w:p>
    <w:p w:rsidR="00D57F4A" w:rsidRPr="00B16D31" w:rsidRDefault="00935742" w:rsidP="00935742">
      <w:pPr>
        <w:pStyle w:val="ab"/>
        <w:numPr>
          <w:ilvl w:val="4"/>
          <w:numId w:val="1"/>
        </w:numPr>
        <w:spacing w:after="163"/>
        <w:rPr>
          <w:rFonts w:ascii="楷体" w:eastAsia="楷体" w:hAnsi="楷体"/>
          <w:color w:val="FF0000"/>
        </w:rPr>
      </w:pPr>
      <w:r w:rsidRPr="00935742">
        <w:rPr>
          <w:rFonts w:ascii="楷体" w:eastAsia="楷体" w:hAnsi="楷体" w:hint="eastAsia"/>
          <w:color w:val="auto"/>
        </w:rPr>
        <w:t>综上，3月份QDII投资建议主要配置美股指基，适当搭配在港股市场做主动投资的基金产品。具体产品推荐国泰纳斯达克100指数基金、大成标普500等权重指数基金、富国中国中小盘(香港上市)股票型基金。</w:t>
      </w:r>
    </w:p>
    <w:p w:rsidR="00A70401" w:rsidRPr="00FC54FE" w:rsidRDefault="00A70401" w:rsidP="00A70401">
      <w:pPr>
        <w:widowControl/>
        <w:spacing w:after="120" w:line="240" w:lineRule="exact"/>
        <w:ind w:left="3430"/>
        <w:rPr>
          <w:rFonts w:ascii="楷体" w:eastAsia="楷体" w:hAnsi="楷体" w:cs="Times New Roman"/>
          <w:b/>
          <w:bCs/>
          <w:color w:val="0070C0"/>
          <w:kern w:val="0"/>
          <w:sz w:val="24"/>
          <w:szCs w:val="20"/>
          <w:lang w:val="en-GB"/>
        </w:rPr>
      </w:pPr>
      <w:r w:rsidRPr="00FC54FE">
        <w:rPr>
          <w:rFonts w:ascii="楷体" w:eastAsia="楷体" w:hAnsi="楷体" w:cs="Times New Roman" w:hint="eastAsia"/>
          <w:b/>
          <w:bCs/>
          <w:color w:val="0070C0"/>
          <w:kern w:val="0"/>
          <w:sz w:val="24"/>
          <w:szCs w:val="20"/>
          <w:lang w:val="en-GB"/>
        </w:rPr>
        <w:t>牛基推荐：</w:t>
      </w:r>
      <w:r w:rsidR="00111800" w:rsidRPr="00FC54FE">
        <w:rPr>
          <w:rFonts w:ascii="楷体" w:eastAsia="楷体" w:hAnsi="楷体" w:cs="Times New Roman" w:hint="eastAsia"/>
          <w:b/>
          <w:bCs/>
          <w:color w:val="0070C0"/>
          <w:kern w:val="0"/>
          <w:sz w:val="24"/>
          <w:szCs w:val="20"/>
          <w:lang w:val="en-GB"/>
        </w:rPr>
        <w:t>国泰纳斯达克100指数基金、</w:t>
      </w:r>
      <w:r w:rsidR="00B16D31" w:rsidRPr="00B16D31">
        <w:rPr>
          <w:rFonts w:ascii="楷体" w:eastAsia="楷体" w:hAnsi="楷体" w:cs="Times New Roman" w:hint="eastAsia"/>
          <w:b/>
          <w:bCs/>
          <w:color w:val="0070C0"/>
          <w:kern w:val="0"/>
          <w:sz w:val="24"/>
          <w:szCs w:val="20"/>
          <w:lang w:val="en-GB"/>
        </w:rPr>
        <w:t>大成标普500等权重指数基金</w:t>
      </w:r>
      <w:r w:rsidR="00B16D31">
        <w:rPr>
          <w:rFonts w:ascii="楷体" w:eastAsia="楷体" w:hAnsi="楷体" w:cs="Times New Roman" w:hint="eastAsia"/>
          <w:b/>
          <w:bCs/>
          <w:color w:val="0070C0"/>
          <w:kern w:val="0"/>
          <w:sz w:val="24"/>
          <w:szCs w:val="20"/>
          <w:lang w:val="en-GB"/>
        </w:rPr>
        <w:t>、</w:t>
      </w:r>
      <w:r w:rsidR="00EE3125" w:rsidRPr="00FC54FE">
        <w:rPr>
          <w:rFonts w:ascii="楷体" w:eastAsia="楷体" w:hAnsi="楷体" w:cs="Times New Roman" w:hint="eastAsia"/>
          <w:b/>
          <w:bCs/>
          <w:color w:val="0070C0"/>
          <w:kern w:val="0"/>
          <w:sz w:val="24"/>
          <w:szCs w:val="20"/>
          <w:lang w:val="en-GB"/>
        </w:rPr>
        <w:t>富国中国中小盘</w:t>
      </w:r>
      <w:r w:rsidR="00EE3125" w:rsidRPr="00FC54FE">
        <w:rPr>
          <w:rFonts w:ascii="楷体" w:eastAsia="楷体" w:hAnsi="楷体" w:cs="Times New Roman"/>
          <w:b/>
          <w:bCs/>
          <w:color w:val="0070C0"/>
          <w:kern w:val="0"/>
          <w:sz w:val="24"/>
          <w:szCs w:val="20"/>
          <w:lang w:val="en-GB"/>
        </w:rPr>
        <w:t>(</w:t>
      </w:r>
      <w:r w:rsidR="00EE3125" w:rsidRPr="00FC54FE">
        <w:rPr>
          <w:rFonts w:ascii="楷体" w:eastAsia="楷体" w:hAnsi="楷体" w:cs="Times New Roman" w:hint="eastAsia"/>
          <w:b/>
          <w:bCs/>
          <w:color w:val="0070C0"/>
          <w:kern w:val="0"/>
          <w:sz w:val="24"/>
          <w:szCs w:val="20"/>
          <w:lang w:val="en-GB"/>
        </w:rPr>
        <w:t>香港上市</w:t>
      </w:r>
      <w:r w:rsidR="00EE3125" w:rsidRPr="00FC54FE">
        <w:rPr>
          <w:rFonts w:ascii="楷体" w:eastAsia="楷体" w:hAnsi="楷体" w:cs="Times New Roman"/>
          <w:b/>
          <w:bCs/>
          <w:color w:val="0070C0"/>
          <w:kern w:val="0"/>
          <w:sz w:val="24"/>
          <w:szCs w:val="20"/>
          <w:lang w:val="en-GB"/>
        </w:rPr>
        <w:t>)</w:t>
      </w:r>
      <w:r w:rsidR="00EE3125" w:rsidRPr="00FC54FE">
        <w:rPr>
          <w:rFonts w:ascii="楷体" w:eastAsia="楷体" w:hAnsi="楷体" w:cs="Times New Roman" w:hint="eastAsia"/>
          <w:b/>
          <w:bCs/>
          <w:color w:val="0070C0"/>
          <w:kern w:val="0"/>
          <w:sz w:val="24"/>
          <w:szCs w:val="20"/>
          <w:lang w:val="en-GB"/>
        </w:rPr>
        <w:t>股票型基金</w:t>
      </w:r>
    </w:p>
    <w:p w:rsidR="003F6CBD" w:rsidRDefault="00111800" w:rsidP="003F6CBD">
      <w:pPr>
        <w:pStyle w:val="ab"/>
        <w:numPr>
          <w:ilvl w:val="4"/>
          <w:numId w:val="1"/>
        </w:numPr>
        <w:spacing w:after="163"/>
        <w:rPr>
          <w:rFonts w:ascii="楷体" w:eastAsia="楷体" w:hAnsi="楷体"/>
          <w:color w:val="auto"/>
        </w:rPr>
      </w:pPr>
      <w:r w:rsidRPr="00FC54FE">
        <w:rPr>
          <w:rFonts w:ascii="楷体" w:eastAsia="楷体" w:hAnsi="楷体" w:hint="eastAsia"/>
          <w:color w:val="auto"/>
        </w:rPr>
        <w:t>国泰纳斯达克100指数基金</w:t>
      </w:r>
      <w:r w:rsidR="003F6CBD" w:rsidRPr="00FC54FE">
        <w:rPr>
          <w:rFonts w:ascii="楷体" w:eastAsia="楷体" w:hAnsi="楷体" w:hint="eastAsia"/>
          <w:color w:val="auto"/>
        </w:rPr>
        <w:t>：</w:t>
      </w:r>
      <w:r w:rsidR="004F4040" w:rsidRPr="00FC54FE">
        <w:rPr>
          <w:rFonts w:ascii="楷体" w:eastAsia="楷体" w:hAnsi="楷体" w:hint="eastAsia"/>
          <w:color w:val="auto"/>
        </w:rPr>
        <w:t>该基金跟踪美国纳斯达克100指数，股票资产主要采取完全复制法，即过严格的投资程序约束和数量化风险管理手段，以低成本、低换手率实现对纳斯达克100指数的有效跟踪，追求跟踪误差最小化。纳斯达克100指数成分股均具有高科技、高成长和非金融的特点，是美国科技股的代表，权重最大的为苹果电脑，另外包括微软、谷歌、英特尔等诸多知名公司。</w:t>
      </w:r>
    </w:p>
    <w:p w:rsidR="005D1897" w:rsidRPr="005D1897" w:rsidRDefault="00B16D31" w:rsidP="0063114B">
      <w:pPr>
        <w:pStyle w:val="ab"/>
        <w:numPr>
          <w:ilvl w:val="4"/>
          <w:numId w:val="1"/>
        </w:numPr>
        <w:spacing w:after="163"/>
        <w:rPr>
          <w:rFonts w:ascii="楷体" w:eastAsia="楷体" w:hAnsi="楷体"/>
          <w:color w:val="auto"/>
        </w:rPr>
      </w:pPr>
      <w:r w:rsidRPr="005D1897">
        <w:rPr>
          <w:rFonts w:ascii="楷体" w:eastAsia="楷体" w:hAnsi="楷体" w:hint="eastAsia"/>
          <w:color w:val="auto"/>
        </w:rPr>
        <w:lastRenderedPageBreak/>
        <w:t>大成标普500等权重指数基金：</w:t>
      </w:r>
      <w:r w:rsidR="0063114B" w:rsidRPr="005D1897">
        <w:rPr>
          <w:rFonts w:ascii="楷体" w:eastAsia="楷体" w:hAnsi="楷体" w:hint="eastAsia"/>
          <w:color w:val="auto"/>
        </w:rPr>
        <w:t>该基金通过严格的投资纪律约束和数量化风险管理手段，实现基金投资组合对标普500等权重指数的有效跟踪，追求跟踪误差最小化。基金还可能将一定比例的基金资产投资于与标普500等权重指数相关的公募基金、上市交易型基金，以优化投资组合的建立，达到节约交易成本和有效追踪标的指数表现的目的。</w:t>
      </w:r>
      <w:r w:rsidR="005D1897" w:rsidRPr="005D1897">
        <w:rPr>
          <w:rFonts w:ascii="楷体" w:eastAsia="楷体" w:hAnsi="楷体" w:hint="eastAsia"/>
          <w:color w:val="auto"/>
        </w:rPr>
        <w:t>标准普尔500系列指数具有采样面广、代表性强、精确度高、连续性好等特点，全面反映美国市场变化。</w:t>
      </w:r>
    </w:p>
    <w:p w:rsidR="0026039C" w:rsidRPr="00B16D31" w:rsidRDefault="00BE31B7" w:rsidP="00A70401">
      <w:pPr>
        <w:pStyle w:val="ab"/>
        <w:numPr>
          <w:ilvl w:val="4"/>
          <w:numId w:val="1"/>
        </w:numPr>
        <w:spacing w:after="163"/>
        <w:rPr>
          <w:rFonts w:ascii="楷体" w:eastAsia="楷体" w:hAnsi="楷体"/>
          <w:color w:val="auto"/>
        </w:rPr>
      </w:pPr>
      <w:r w:rsidRPr="00B16D31">
        <w:rPr>
          <w:rFonts w:ascii="楷体" w:eastAsia="楷体" w:hAnsi="楷体" w:hint="eastAsia"/>
          <w:color w:val="auto"/>
        </w:rPr>
        <w:t>富国中国中小盘(香港上市)股票型基金：该基金以通过积极主动的投资，重点投资香港市场中具有中国概念的优质中小盘股票进行投资。中小盘股票成长空间大，且香港市场上往往存在估值洼地，因此往往能为长期投资者带来超额收益。基金经理自下而上选股能力表现出色，重点投资标的符合中国经济转型和改革方向。</w:t>
      </w:r>
    </w:p>
    <w:tbl>
      <w:tblPr>
        <w:tblW w:w="10771" w:type="dxa"/>
        <w:tblLayout w:type="fixed"/>
        <w:tblCellMar>
          <w:left w:w="0" w:type="dxa"/>
          <w:right w:w="0" w:type="dxa"/>
        </w:tblCellMar>
        <w:tblLook w:val="0000"/>
      </w:tblPr>
      <w:tblGrid>
        <w:gridCol w:w="5272"/>
        <w:gridCol w:w="227"/>
        <w:gridCol w:w="5272"/>
      </w:tblGrid>
      <w:tr w:rsidR="00656031" w:rsidRPr="00FC54FE" w:rsidTr="003629A1">
        <w:trPr>
          <w:cantSplit/>
          <w:trHeight w:val="368"/>
        </w:trPr>
        <w:tc>
          <w:tcPr>
            <w:tcW w:w="5272" w:type="dxa"/>
            <w:tcBorders>
              <w:top w:val="single" w:sz="6" w:space="0" w:color="FF6600"/>
              <w:bottom w:val="single" w:sz="6" w:space="0" w:color="FF6600"/>
            </w:tcBorders>
            <w:shd w:val="clear" w:color="auto" w:fill="auto"/>
            <w:vAlign w:val="center"/>
          </w:tcPr>
          <w:p w:rsidR="00656031" w:rsidRPr="00FC54FE" w:rsidRDefault="003629A1" w:rsidP="00A71F90">
            <w:pPr>
              <w:pStyle w:val="SubTitleLargeTable"/>
              <w:pBdr>
                <w:top w:val="none" w:sz="0" w:space="0" w:color="auto"/>
              </w:pBdr>
              <w:rPr>
                <w:rFonts w:ascii="楷体" w:eastAsia="楷体" w:hAnsi="楷体"/>
                <w:color w:val="FF6600"/>
              </w:rPr>
            </w:pPr>
            <w:r w:rsidRPr="00FC54FE">
              <w:rPr>
                <w:rFonts w:ascii="楷体" w:eastAsia="楷体" w:hAnsi="楷体"/>
                <w:color w:val="FF6600"/>
              </w:rPr>
              <w:t>图表</w:t>
            </w:r>
            <w:r w:rsidR="00A71F90" w:rsidRPr="00FC54FE">
              <w:rPr>
                <w:rFonts w:ascii="楷体" w:eastAsia="楷体" w:hAnsi="楷体" w:hint="eastAsia"/>
                <w:color w:val="FF6600"/>
              </w:rPr>
              <w:t>2</w:t>
            </w:r>
            <w:r w:rsidRPr="00FC54FE">
              <w:rPr>
                <w:rFonts w:ascii="楷体" w:eastAsia="楷体" w:hAnsi="楷体" w:hint="eastAsia"/>
                <w:color w:val="FF6600"/>
              </w:rPr>
              <w:t>：</w:t>
            </w:r>
            <w:r w:rsidR="006D7395" w:rsidRPr="00FC54FE">
              <w:rPr>
                <w:rFonts w:ascii="楷体" w:eastAsia="楷体" w:hAnsi="楷体" w:hint="eastAsia"/>
                <w:color w:val="FF6600"/>
              </w:rPr>
              <w:t>国泰纳斯达克100指数基金</w:t>
            </w:r>
          </w:p>
        </w:tc>
        <w:tc>
          <w:tcPr>
            <w:tcW w:w="227" w:type="dxa"/>
            <w:vAlign w:val="center"/>
          </w:tcPr>
          <w:p w:rsidR="00656031" w:rsidRPr="00FC54FE" w:rsidRDefault="00656031" w:rsidP="00705C81">
            <w:pPr>
              <w:jc w:val="center"/>
              <w:rPr>
                <w:rFonts w:ascii="楷体" w:eastAsia="楷体" w:hAnsi="楷体" w:cs="Arial"/>
                <w:b/>
                <w:bCs/>
                <w:i/>
                <w:iCs/>
                <w:color w:val="FF6600"/>
                <w:kern w:val="0"/>
                <w:szCs w:val="21"/>
                <w:lang w:val="en-GB"/>
              </w:rPr>
            </w:pPr>
          </w:p>
        </w:tc>
        <w:tc>
          <w:tcPr>
            <w:tcW w:w="5272" w:type="dxa"/>
            <w:tcBorders>
              <w:top w:val="single" w:sz="6" w:space="0" w:color="FF6600"/>
              <w:bottom w:val="single" w:sz="6" w:space="0" w:color="FF6600"/>
            </w:tcBorders>
            <w:shd w:val="clear" w:color="auto" w:fill="auto"/>
            <w:vAlign w:val="center"/>
          </w:tcPr>
          <w:p w:rsidR="00656031" w:rsidRPr="00FC54FE" w:rsidRDefault="003629A1" w:rsidP="00F92296">
            <w:pPr>
              <w:pStyle w:val="SubTitleLargeTable"/>
              <w:pBdr>
                <w:top w:val="none" w:sz="0" w:space="0" w:color="auto"/>
              </w:pBdr>
              <w:rPr>
                <w:rFonts w:ascii="楷体" w:eastAsia="楷体" w:hAnsi="楷体"/>
                <w:color w:val="FF6600"/>
              </w:rPr>
            </w:pPr>
            <w:r w:rsidRPr="00FC54FE">
              <w:rPr>
                <w:rFonts w:ascii="楷体" w:eastAsia="楷体" w:hAnsi="楷体"/>
                <w:color w:val="FF6600"/>
              </w:rPr>
              <w:t>图表</w:t>
            </w:r>
            <w:r w:rsidR="00A71F90" w:rsidRPr="00FC54FE">
              <w:rPr>
                <w:rFonts w:ascii="楷体" w:eastAsia="楷体" w:hAnsi="楷体" w:hint="eastAsia"/>
                <w:color w:val="FF6600"/>
              </w:rPr>
              <w:t>3</w:t>
            </w:r>
            <w:r w:rsidRPr="00FC54FE">
              <w:rPr>
                <w:rFonts w:ascii="楷体" w:eastAsia="楷体" w:hAnsi="楷体" w:hint="eastAsia"/>
                <w:color w:val="FF6600"/>
              </w:rPr>
              <w:t>：</w:t>
            </w:r>
            <w:r w:rsidR="00F92296">
              <w:rPr>
                <w:rFonts w:ascii="楷体" w:eastAsia="楷体" w:hAnsi="楷体" w:hint="eastAsia"/>
                <w:color w:val="FF6600"/>
              </w:rPr>
              <w:t>大成</w:t>
            </w:r>
            <w:r w:rsidR="00851567" w:rsidRPr="00FC54FE">
              <w:rPr>
                <w:rFonts w:ascii="楷体" w:eastAsia="楷体" w:hAnsi="楷体"/>
                <w:color w:val="FF6600"/>
              </w:rPr>
              <w:t>标普</w:t>
            </w:r>
            <w:r w:rsidR="00851567" w:rsidRPr="00FC54FE">
              <w:rPr>
                <w:rFonts w:ascii="楷体" w:eastAsia="楷体" w:hAnsi="楷体" w:hint="eastAsia"/>
                <w:color w:val="FF6600"/>
              </w:rPr>
              <w:t>500</w:t>
            </w:r>
            <w:r w:rsidR="00F92296">
              <w:rPr>
                <w:rFonts w:ascii="楷体" w:eastAsia="楷体" w:hAnsi="楷体" w:hint="eastAsia"/>
                <w:color w:val="FF6600"/>
              </w:rPr>
              <w:t>等权重指数</w:t>
            </w:r>
            <w:r w:rsidR="00851567" w:rsidRPr="00FC54FE">
              <w:rPr>
                <w:rFonts w:ascii="楷体" w:eastAsia="楷体" w:hAnsi="楷体" w:hint="eastAsia"/>
                <w:color w:val="FF6600"/>
              </w:rPr>
              <w:t>基金</w:t>
            </w:r>
          </w:p>
        </w:tc>
      </w:tr>
      <w:tr w:rsidR="008840A4" w:rsidRPr="00FC54FE" w:rsidTr="00656031">
        <w:trPr>
          <w:cantSplit/>
          <w:trHeight w:val="3016"/>
        </w:trPr>
        <w:tc>
          <w:tcPr>
            <w:tcW w:w="5272" w:type="dxa"/>
            <w:tcBorders>
              <w:top w:val="single" w:sz="6" w:space="0" w:color="FF6600"/>
              <w:bottom w:val="single" w:sz="6" w:space="0" w:color="FF6600"/>
            </w:tcBorders>
            <w:shd w:val="clear" w:color="auto" w:fill="auto"/>
            <w:vAlign w:val="center"/>
          </w:tcPr>
          <w:p w:rsidR="008840A4" w:rsidRPr="00FC54FE" w:rsidRDefault="00DF7FE0" w:rsidP="00705C81">
            <w:pPr>
              <w:jc w:val="center"/>
              <w:rPr>
                <w:rFonts w:ascii="楷体" w:eastAsia="楷体" w:hAnsi="楷体"/>
              </w:rPr>
            </w:pPr>
            <w:r>
              <w:rPr>
                <w:rFonts w:ascii="楷体" w:eastAsia="楷体" w:hAnsi="楷体"/>
                <w:noProof/>
              </w:rPr>
              <w:drawing>
                <wp:inline distT="0" distB="0" distL="0" distR="0">
                  <wp:extent cx="3343275" cy="1504950"/>
                  <wp:effectExtent l="1905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3343275" cy="1504950"/>
                          </a:xfrm>
                          <a:prstGeom prst="rect">
                            <a:avLst/>
                          </a:prstGeom>
                          <a:noFill/>
                          <a:ln w="9525">
                            <a:noFill/>
                            <a:miter lim="800000"/>
                            <a:headEnd/>
                            <a:tailEnd/>
                          </a:ln>
                        </pic:spPr>
                      </pic:pic>
                    </a:graphicData>
                  </a:graphic>
                </wp:inline>
              </w:drawing>
            </w:r>
          </w:p>
        </w:tc>
        <w:tc>
          <w:tcPr>
            <w:tcW w:w="227" w:type="dxa"/>
            <w:vAlign w:val="center"/>
          </w:tcPr>
          <w:p w:rsidR="008840A4" w:rsidRPr="00FC54FE" w:rsidRDefault="008840A4" w:rsidP="00705C81">
            <w:pPr>
              <w:jc w:val="center"/>
              <w:rPr>
                <w:rFonts w:ascii="楷体" w:eastAsia="楷体" w:hAnsi="楷体"/>
              </w:rPr>
            </w:pPr>
          </w:p>
        </w:tc>
        <w:tc>
          <w:tcPr>
            <w:tcW w:w="5272" w:type="dxa"/>
            <w:tcBorders>
              <w:top w:val="single" w:sz="6" w:space="0" w:color="FF6600"/>
              <w:bottom w:val="single" w:sz="6" w:space="0" w:color="FF6600"/>
            </w:tcBorders>
            <w:shd w:val="clear" w:color="auto" w:fill="auto"/>
            <w:vAlign w:val="center"/>
          </w:tcPr>
          <w:p w:rsidR="008840A4" w:rsidRPr="00FC54FE" w:rsidRDefault="00F92296" w:rsidP="00705C81">
            <w:pPr>
              <w:jc w:val="center"/>
              <w:rPr>
                <w:rFonts w:ascii="楷体" w:eastAsia="楷体" w:hAnsi="楷体"/>
              </w:rPr>
            </w:pPr>
            <w:r>
              <w:rPr>
                <w:rFonts w:ascii="楷体" w:eastAsia="楷体" w:hAnsi="楷体"/>
                <w:noProof/>
              </w:rPr>
              <w:drawing>
                <wp:inline distT="0" distB="0" distL="0" distR="0">
                  <wp:extent cx="3343275" cy="1457325"/>
                  <wp:effectExtent l="1905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3343275" cy="1457325"/>
                          </a:xfrm>
                          <a:prstGeom prst="rect">
                            <a:avLst/>
                          </a:prstGeom>
                          <a:noFill/>
                          <a:ln w="9525">
                            <a:noFill/>
                            <a:miter lim="800000"/>
                            <a:headEnd/>
                            <a:tailEnd/>
                          </a:ln>
                        </pic:spPr>
                      </pic:pic>
                    </a:graphicData>
                  </a:graphic>
                </wp:inline>
              </w:drawing>
            </w:r>
          </w:p>
        </w:tc>
      </w:tr>
    </w:tbl>
    <w:p w:rsidR="00BE7059" w:rsidRPr="00FC54FE" w:rsidRDefault="008840A4" w:rsidP="003F6CBD">
      <w:pPr>
        <w:pStyle w:val="FootnoteNoline"/>
        <w:ind w:left="0"/>
        <w:rPr>
          <w:rFonts w:ascii="楷体" w:eastAsia="楷体" w:hAnsi="楷体"/>
          <w:color w:val="FF6600"/>
        </w:rPr>
      </w:pPr>
      <w:r w:rsidRPr="00FC54FE">
        <w:rPr>
          <w:rFonts w:ascii="楷体" w:eastAsia="楷体" w:hAnsi="楷体" w:hint="eastAsia"/>
          <w:color w:val="FF6600"/>
        </w:rPr>
        <w:t>来源：</w:t>
      </w:r>
      <w:r w:rsidR="00C806CE" w:rsidRPr="00FC54FE">
        <w:rPr>
          <w:rFonts w:ascii="楷体" w:eastAsia="楷体" w:hAnsi="楷体" w:hint="eastAsia"/>
          <w:color w:val="FF6600"/>
        </w:rPr>
        <w:t>凯石财富工场</w:t>
      </w:r>
      <w:r w:rsidRPr="00FC54FE">
        <w:rPr>
          <w:rFonts w:ascii="楷体" w:eastAsia="楷体" w:hAnsi="楷体" w:hint="eastAsia"/>
          <w:color w:val="FF6600"/>
        </w:rPr>
        <w:t xml:space="preserve"> </w:t>
      </w:r>
      <w:r w:rsidR="00D019E8" w:rsidRPr="00FC54FE">
        <w:rPr>
          <w:rFonts w:ascii="楷体" w:eastAsia="楷体" w:hAnsi="楷体" w:hint="eastAsia"/>
          <w:color w:val="FF6600"/>
        </w:rPr>
        <w:t>wind</w:t>
      </w:r>
      <w:r w:rsidR="00BE7059" w:rsidRPr="00FC54FE">
        <w:rPr>
          <w:rFonts w:ascii="楷体" w:eastAsia="楷体" w:hAnsi="楷体" w:hint="eastAsia"/>
          <w:color w:val="FF6600"/>
        </w:rPr>
        <w:t xml:space="preserve"> </w:t>
      </w:r>
    </w:p>
    <w:tbl>
      <w:tblPr>
        <w:tblW w:w="5272" w:type="dxa"/>
        <w:tblLayout w:type="fixed"/>
        <w:tblCellMar>
          <w:left w:w="0" w:type="dxa"/>
          <w:right w:w="0" w:type="dxa"/>
        </w:tblCellMar>
        <w:tblLook w:val="0000"/>
      </w:tblPr>
      <w:tblGrid>
        <w:gridCol w:w="5272"/>
      </w:tblGrid>
      <w:tr w:rsidR="00EE53F9" w:rsidRPr="00FC54FE" w:rsidTr="00EE53F9">
        <w:trPr>
          <w:cantSplit/>
          <w:trHeight w:val="368"/>
        </w:trPr>
        <w:tc>
          <w:tcPr>
            <w:tcW w:w="5272" w:type="dxa"/>
            <w:tcBorders>
              <w:top w:val="single" w:sz="6" w:space="0" w:color="FF6600"/>
              <w:bottom w:val="single" w:sz="6" w:space="0" w:color="FF6600"/>
            </w:tcBorders>
            <w:shd w:val="clear" w:color="auto" w:fill="auto"/>
            <w:vAlign w:val="center"/>
          </w:tcPr>
          <w:p w:rsidR="00EE53F9" w:rsidRPr="00FC54FE" w:rsidRDefault="00EE53F9" w:rsidP="00EE53F9">
            <w:pPr>
              <w:pStyle w:val="SubTitleLargeTable"/>
              <w:pBdr>
                <w:top w:val="none" w:sz="0" w:space="0" w:color="auto"/>
              </w:pBdr>
              <w:rPr>
                <w:rFonts w:ascii="楷体" w:eastAsia="楷体" w:hAnsi="楷体"/>
                <w:color w:val="FF6600"/>
              </w:rPr>
            </w:pPr>
            <w:r w:rsidRPr="00FC54FE">
              <w:rPr>
                <w:rFonts w:ascii="楷体" w:eastAsia="楷体" w:hAnsi="楷体"/>
                <w:color w:val="FF6600"/>
              </w:rPr>
              <w:t>图表</w:t>
            </w:r>
            <w:r w:rsidRPr="00FC54FE">
              <w:rPr>
                <w:rFonts w:ascii="楷体" w:eastAsia="楷体" w:hAnsi="楷体" w:hint="eastAsia"/>
                <w:color w:val="FF6600"/>
              </w:rPr>
              <w:t>4：</w:t>
            </w:r>
            <w:r w:rsidR="00CB5092" w:rsidRPr="00FC54FE">
              <w:rPr>
                <w:rFonts w:ascii="楷体" w:eastAsia="楷体" w:hAnsi="楷体"/>
                <w:color w:val="FF6600"/>
              </w:rPr>
              <w:t>富国中国中小盘（香港上市）股票基金</w:t>
            </w:r>
          </w:p>
        </w:tc>
      </w:tr>
      <w:tr w:rsidR="00EE53F9" w:rsidRPr="00FC54FE" w:rsidTr="00EE53F9">
        <w:trPr>
          <w:cantSplit/>
          <w:trHeight w:val="3016"/>
        </w:trPr>
        <w:tc>
          <w:tcPr>
            <w:tcW w:w="5272" w:type="dxa"/>
            <w:tcBorders>
              <w:top w:val="single" w:sz="6" w:space="0" w:color="FF6600"/>
              <w:bottom w:val="single" w:sz="6" w:space="0" w:color="FF6600"/>
            </w:tcBorders>
            <w:shd w:val="clear" w:color="auto" w:fill="auto"/>
            <w:vAlign w:val="center"/>
          </w:tcPr>
          <w:p w:rsidR="00EE53F9" w:rsidRPr="00FC54FE" w:rsidRDefault="00F92296" w:rsidP="0032541E">
            <w:pPr>
              <w:jc w:val="center"/>
              <w:rPr>
                <w:rFonts w:ascii="楷体" w:eastAsia="楷体" w:hAnsi="楷体"/>
              </w:rPr>
            </w:pPr>
            <w:r>
              <w:rPr>
                <w:rFonts w:ascii="楷体" w:eastAsia="楷体" w:hAnsi="楷体"/>
                <w:noProof/>
              </w:rPr>
              <w:drawing>
                <wp:inline distT="0" distB="0" distL="0" distR="0">
                  <wp:extent cx="3343275" cy="1476375"/>
                  <wp:effectExtent l="19050" t="0" r="9525" b="0"/>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3343275" cy="1476375"/>
                          </a:xfrm>
                          <a:prstGeom prst="rect">
                            <a:avLst/>
                          </a:prstGeom>
                          <a:noFill/>
                          <a:ln w="9525">
                            <a:noFill/>
                            <a:miter lim="800000"/>
                            <a:headEnd/>
                            <a:tailEnd/>
                          </a:ln>
                        </pic:spPr>
                      </pic:pic>
                    </a:graphicData>
                  </a:graphic>
                </wp:inline>
              </w:drawing>
            </w:r>
          </w:p>
        </w:tc>
      </w:tr>
    </w:tbl>
    <w:p w:rsidR="00EE53F9" w:rsidRPr="00FC54FE" w:rsidRDefault="00EE53F9" w:rsidP="00EE53F9">
      <w:pPr>
        <w:pStyle w:val="FootnoteNoline"/>
        <w:ind w:left="0"/>
        <w:rPr>
          <w:rFonts w:ascii="楷体" w:eastAsia="楷体" w:hAnsi="楷体"/>
          <w:color w:val="FF6600"/>
          <w:lang w:val="en-US"/>
        </w:rPr>
      </w:pPr>
      <w:r w:rsidRPr="00FC54FE">
        <w:rPr>
          <w:rFonts w:ascii="楷体" w:eastAsia="楷体" w:hAnsi="楷体" w:hint="eastAsia"/>
          <w:color w:val="FF6600"/>
        </w:rPr>
        <w:t>来源：凯石财富工场 wind</w:t>
      </w:r>
      <w:r w:rsidRPr="00FC54FE">
        <w:rPr>
          <w:rFonts w:ascii="楷体" w:eastAsia="楷体" w:hAnsi="楷体" w:hint="eastAsia"/>
          <w:color w:val="FF6600"/>
          <w:lang w:val="en-US"/>
        </w:rPr>
        <w:t xml:space="preserve"> </w:t>
      </w:r>
    </w:p>
    <w:p w:rsidR="00B10000" w:rsidRPr="00FC54FE" w:rsidRDefault="00B10000">
      <w:pPr>
        <w:widowControl/>
        <w:jc w:val="left"/>
        <w:rPr>
          <w:rFonts w:ascii="楷体" w:eastAsia="楷体" w:hAnsi="楷体" w:cs="Times New Roman"/>
          <w:b/>
          <w:kern w:val="0"/>
          <w:szCs w:val="20"/>
          <w:lang w:val="en-GB"/>
        </w:rPr>
      </w:pPr>
      <w:r w:rsidRPr="00FC54FE">
        <w:rPr>
          <w:rFonts w:ascii="楷体" w:eastAsia="楷体" w:hAnsi="楷体"/>
          <w:b/>
          <w:kern w:val="0"/>
          <w:szCs w:val="20"/>
          <w:lang w:val="en-GB"/>
        </w:rPr>
        <w:br w:type="page"/>
      </w:r>
    </w:p>
    <w:p w:rsidR="00593E61" w:rsidRPr="00FC54FE" w:rsidRDefault="00593E61" w:rsidP="00593E61">
      <w:pPr>
        <w:pStyle w:val="aa"/>
        <w:spacing w:after="312"/>
        <w:rPr>
          <w:rFonts w:ascii="楷体" w:eastAsia="楷体" w:hAnsi="楷体"/>
          <w:b/>
          <w:sz w:val="21"/>
          <w:szCs w:val="21"/>
        </w:rPr>
      </w:pPr>
      <w:r w:rsidRPr="00FC54FE">
        <w:rPr>
          <w:rFonts w:ascii="楷体" w:eastAsia="楷体" w:hAnsi="楷体" w:hint="eastAsia"/>
          <w:b/>
          <w:kern w:val="0"/>
          <w:sz w:val="21"/>
          <w:szCs w:val="20"/>
          <w:lang w:val="en-GB"/>
        </w:rPr>
        <w:lastRenderedPageBreak/>
        <w:t>特别声明：</w:t>
      </w:r>
    </w:p>
    <w:p w:rsidR="00593E61" w:rsidRPr="00FC54FE" w:rsidRDefault="00593E61" w:rsidP="00BC0D84">
      <w:pPr>
        <w:pStyle w:val="aa"/>
        <w:spacing w:beforeLines="50" w:after="312"/>
        <w:rPr>
          <w:rFonts w:ascii="楷体" w:eastAsia="楷体" w:hAnsi="楷体"/>
          <w:kern w:val="0"/>
          <w:sz w:val="21"/>
          <w:szCs w:val="20"/>
          <w:lang w:val="en-GB"/>
        </w:rPr>
      </w:pPr>
      <w:r w:rsidRPr="00FC54FE">
        <w:rPr>
          <w:rFonts w:ascii="楷体" w:eastAsia="楷体" w:hAnsi="楷体"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593E61" w:rsidRPr="00FC54FE" w:rsidRDefault="00593E61" w:rsidP="00BC0D84">
      <w:pPr>
        <w:pStyle w:val="aa"/>
        <w:spacing w:beforeLines="50" w:after="312"/>
        <w:rPr>
          <w:rFonts w:ascii="楷体" w:eastAsia="楷体" w:hAnsi="楷体"/>
          <w:kern w:val="0"/>
          <w:sz w:val="21"/>
          <w:szCs w:val="20"/>
          <w:lang w:val="en-GB"/>
        </w:rPr>
      </w:pPr>
      <w:r w:rsidRPr="00FC54FE">
        <w:rPr>
          <w:rFonts w:ascii="楷体" w:eastAsia="楷体" w:hAnsi="楷体"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B10000" w:rsidRPr="00FC54FE" w:rsidRDefault="00593E61" w:rsidP="00BC0D84">
      <w:pPr>
        <w:pStyle w:val="aa"/>
        <w:spacing w:beforeLines="50" w:after="312"/>
        <w:rPr>
          <w:rFonts w:ascii="楷体" w:eastAsia="楷体" w:hAnsi="楷体"/>
          <w:kern w:val="0"/>
          <w:sz w:val="21"/>
          <w:szCs w:val="20"/>
          <w:lang w:val="en-GB"/>
        </w:rPr>
      </w:pPr>
      <w:r w:rsidRPr="00FC54FE">
        <w:rPr>
          <w:rFonts w:ascii="楷体" w:eastAsia="楷体" w:hAnsi="楷体"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B10000" w:rsidRPr="00FC54FE" w:rsidRDefault="00B10000">
      <w:pPr>
        <w:rPr>
          <w:rFonts w:ascii="楷体" w:eastAsia="楷体" w:hAnsi="楷体"/>
          <w:lang w:val="en-GB"/>
        </w:rPr>
      </w:pPr>
    </w:p>
    <w:sectPr w:rsidR="00B10000" w:rsidRPr="00FC54FE" w:rsidSect="00656031">
      <w:headerReference w:type="default" r:id="rId11"/>
      <w:footerReference w:type="default" r:id="rId12"/>
      <w:headerReference w:type="first" r:id="rId13"/>
      <w:footerReference w:type="first" r:id="rId14"/>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2F8" w:rsidRDefault="00FA12F8" w:rsidP="00B10000">
      <w:r>
        <w:separator/>
      </w:r>
    </w:p>
  </w:endnote>
  <w:endnote w:type="continuationSeparator" w:id="1">
    <w:p w:rsidR="00FA12F8" w:rsidRDefault="00FA12F8"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KaiTi_GB2312">
    <w:altName w:val="MS Gothic"/>
    <w:panose1 w:val="02010609060101010101"/>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000" w:rsidRDefault="00050D29">
    <w:pPr>
      <w:pStyle w:val="a4"/>
      <w:jc w:val="center"/>
    </w:pPr>
    <w:r>
      <w:pict>
        <v:rect id="_x0000_i1027" style="width:571.2pt;height:2pt" o:hralign="center" o:hrstd="t" o:hrnoshade="t" o:hr="t" fillcolor="#e7a631" stroked="f"/>
      </w:pict>
    </w:r>
    <w:sdt>
      <w:sdtPr>
        <w:id w:val="31118581"/>
        <w:docPartObj>
          <w:docPartGallery w:val="Page Numbers (Bottom of Page)"/>
          <w:docPartUnique/>
        </w:docPartObj>
      </w:sdtPr>
      <w:sdtContent>
        <w:sdt>
          <w:sdtPr>
            <w:id w:val="31118580"/>
            <w:docPartObj>
              <w:docPartGallery w:val="Page Numbers (Top of Page)"/>
              <w:docPartUnique/>
            </w:docPartObj>
          </w:sdtPr>
          <w:sdtContent>
            <w:r w:rsidR="00B10000">
              <w:rPr>
                <w:lang w:val="zh-CN"/>
              </w:rPr>
              <w:t xml:space="preserve"> </w:t>
            </w:r>
            <w:r>
              <w:rPr>
                <w:b/>
                <w:sz w:val="24"/>
                <w:szCs w:val="24"/>
              </w:rPr>
              <w:fldChar w:fldCharType="begin"/>
            </w:r>
            <w:r w:rsidR="00B10000">
              <w:rPr>
                <w:b/>
              </w:rPr>
              <w:instrText>PAGE</w:instrText>
            </w:r>
            <w:r>
              <w:rPr>
                <w:b/>
                <w:sz w:val="24"/>
                <w:szCs w:val="24"/>
              </w:rPr>
              <w:fldChar w:fldCharType="separate"/>
            </w:r>
            <w:r w:rsidR="00A64CD0">
              <w:rPr>
                <w:b/>
                <w:noProof/>
              </w:rPr>
              <w:t>2</w:t>
            </w:r>
            <w:r>
              <w:rPr>
                <w:b/>
                <w:sz w:val="24"/>
                <w:szCs w:val="24"/>
              </w:rPr>
              <w:fldChar w:fldCharType="end"/>
            </w:r>
            <w:r w:rsidR="00B10000">
              <w:rPr>
                <w:lang w:val="zh-CN"/>
              </w:rPr>
              <w:t xml:space="preserve"> / </w:t>
            </w:r>
            <w:r>
              <w:rPr>
                <w:b/>
                <w:sz w:val="24"/>
                <w:szCs w:val="24"/>
              </w:rPr>
              <w:fldChar w:fldCharType="begin"/>
            </w:r>
            <w:r w:rsidR="00B10000">
              <w:rPr>
                <w:b/>
              </w:rPr>
              <w:instrText>NUMPAGES</w:instrText>
            </w:r>
            <w:r>
              <w:rPr>
                <w:b/>
                <w:sz w:val="24"/>
                <w:szCs w:val="24"/>
              </w:rPr>
              <w:fldChar w:fldCharType="separate"/>
            </w:r>
            <w:r w:rsidR="00A64CD0">
              <w:rPr>
                <w:b/>
                <w:noProof/>
              </w:rPr>
              <w:t>6</w:t>
            </w:r>
            <w:r>
              <w:rPr>
                <w:b/>
                <w:sz w:val="24"/>
                <w:szCs w:val="24"/>
              </w:rPr>
              <w:fldChar w:fldCharType="end"/>
            </w:r>
          </w:sdtContent>
        </w:sdt>
      </w:sdtContent>
    </w:sdt>
  </w:p>
  <w:p w:rsidR="00B10000" w:rsidRDefault="00B1000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8579"/>
      <w:docPartObj>
        <w:docPartGallery w:val="Page Numbers (Bottom of Page)"/>
        <w:docPartUnique/>
      </w:docPartObj>
    </w:sdtPr>
    <w:sdtContent>
      <w:sdt>
        <w:sdtPr>
          <w:id w:val="171357217"/>
          <w:docPartObj>
            <w:docPartGallery w:val="Page Numbers (Top of Page)"/>
            <w:docPartUnique/>
          </w:docPartObj>
        </w:sdtPr>
        <w:sdtContent>
          <w:p w:rsidR="00B10000" w:rsidRDefault="00050D29">
            <w:pPr>
              <w:pStyle w:val="a4"/>
              <w:jc w:val="center"/>
            </w:pPr>
            <w:r>
              <w:pict>
                <v:rect id="_x0000_i1029" style="width:571.2pt;height:2pt" o:hralign="center" o:hrstd="t" o:hrnoshade="t" o:hr="t" fillcolor="#e7a631" stroked="f"/>
              </w:pict>
            </w:r>
            <w:r w:rsidR="00B10000">
              <w:rPr>
                <w:lang w:val="zh-CN"/>
              </w:rPr>
              <w:t xml:space="preserve"> </w:t>
            </w:r>
            <w:r>
              <w:rPr>
                <w:b/>
                <w:sz w:val="24"/>
                <w:szCs w:val="24"/>
              </w:rPr>
              <w:fldChar w:fldCharType="begin"/>
            </w:r>
            <w:r w:rsidR="00B10000">
              <w:rPr>
                <w:b/>
              </w:rPr>
              <w:instrText>PAGE</w:instrText>
            </w:r>
            <w:r>
              <w:rPr>
                <w:b/>
                <w:sz w:val="24"/>
                <w:szCs w:val="24"/>
              </w:rPr>
              <w:fldChar w:fldCharType="separate"/>
            </w:r>
            <w:r w:rsidR="00A64CD0">
              <w:rPr>
                <w:b/>
                <w:noProof/>
              </w:rPr>
              <w:t>1</w:t>
            </w:r>
            <w:r>
              <w:rPr>
                <w:b/>
                <w:sz w:val="24"/>
                <w:szCs w:val="24"/>
              </w:rPr>
              <w:fldChar w:fldCharType="end"/>
            </w:r>
            <w:r w:rsidR="00B10000">
              <w:rPr>
                <w:lang w:val="zh-CN"/>
              </w:rPr>
              <w:t xml:space="preserve"> / </w:t>
            </w:r>
            <w:r>
              <w:rPr>
                <w:b/>
                <w:sz w:val="24"/>
                <w:szCs w:val="24"/>
              </w:rPr>
              <w:fldChar w:fldCharType="begin"/>
            </w:r>
            <w:r w:rsidR="00B10000">
              <w:rPr>
                <w:b/>
              </w:rPr>
              <w:instrText>NUMPAGES</w:instrText>
            </w:r>
            <w:r>
              <w:rPr>
                <w:b/>
                <w:sz w:val="24"/>
                <w:szCs w:val="24"/>
              </w:rPr>
              <w:fldChar w:fldCharType="separate"/>
            </w:r>
            <w:r w:rsidR="00A64CD0">
              <w:rPr>
                <w:b/>
                <w:noProof/>
              </w:rPr>
              <w:t>6</w:t>
            </w:r>
            <w:r>
              <w:rPr>
                <w:b/>
                <w:sz w:val="24"/>
                <w:szCs w:val="24"/>
              </w:rPr>
              <w:fldChar w:fldCharType="end"/>
            </w:r>
          </w:p>
        </w:sdtContent>
      </w:sdt>
    </w:sdtContent>
  </w:sdt>
  <w:p w:rsidR="00B10000" w:rsidRDefault="00B1000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2F8" w:rsidRDefault="00FA12F8" w:rsidP="00B10000">
      <w:r>
        <w:separator/>
      </w:r>
    </w:p>
  </w:footnote>
  <w:footnote w:type="continuationSeparator" w:id="1">
    <w:p w:rsidR="00FA12F8" w:rsidRDefault="00FA12F8"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000" w:rsidRDefault="00050D29" w:rsidP="00B10000">
    <w:pPr>
      <w:pStyle w:val="a3"/>
      <w:pBdr>
        <w:bottom w:val="none" w:sz="0" w:space="0" w:color="auto"/>
      </w:pBdr>
    </w:pPr>
    <w:r>
      <w:rPr>
        <w:noProof/>
      </w:rPr>
      <w:pict>
        <v:group id="_x0000_s1034" style="position:absolute;left:0;text-align:left;margin-left:5.2pt;margin-top:-32.25pt;width:531.2pt;height:37.5pt;z-index:251658240" coordorigin="728,206" coordsize="10624,750">
          <v:shapetype id="_x0000_t202" coordsize="21600,21600" o:spt="202" path="m,l,21600r21600,l21600,xe">
            <v:stroke joinstyle="miter"/>
            <v:path gradientshapeok="t" o:connecttype="rect"/>
          </v:shapetype>
          <v:shape id="_x0000_s1035" type="#_x0000_t202" style="position:absolute;left:728;top:206;width:1336;height:724;mso-width-relative:margin;mso-height-relative:margin" strokecolor="white">
            <v:textbox style="mso-next-textbox:#_x0000_s1035">
              <w:txbxContent>
                <w:p w:rsidR="00B10000" w:rsidRDefault="00050D29" w:rsidP="00B10000">
                  <w:pPr>
                    <w:pStyle w:val="12"/>
                  </w:pPr>
                  <w:r w:rsidRPr="00050D2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凯石工2.jpg" style="width:45.75pt;height:32.25pt;visibility:visible">
                        <v:imagedata r:id="rId1" o:title="凯石工2"/>
                      </v:shape>
                    </w:pict>
                  </w:r>
                </w:p>
              </w:txbxContent>
            </v:textbox>
          </v:shape>
          <v:shape id="_x0000_s1036" type="#_x0000_t202" style="position:absolute;left:5999;top:542;width:5353;height:414;mso-width-relative:margin;mso-height-relative:margin" strokecolor="white">
            <v:textbox style="mso-next-textbox:#_x0000_s1036">
              <w:txbxContent>
                <w:p w:rsidR="00B10000" w:rsidRPr="006E0F3C" w:rsidRDefault="00B10000" w:rsidP="00B10000">
                  <w:pPr>
                    <w:pStyle w:val="2"/>
                  </w:pPr>
                  <w:r w:rsidRPr="006E0F3C">
                    <w:rPr>
                      <w:rFonts w:hint="eastAsia"/>
                    </w:rPr>
                    <w:t>201</w:t>
                  </w:r>
                  <w:r w:rsidR="00876F2A">
                    <w:rPr>
                      <w:rFonts w:hint="eastAsia"/>
                    </w:rPr>
                    <w:t>4</w:t>
                  </w:r>
                  <w:r w:rsidRPr="006E0F3C">
                    <w:rPr>
                      <w:rFonts w:hint="eastAsia"/>
                    </w:rPr>
                    <w:t>年</w:t>
                  </w:r>
                  <w:r w:rsidR="0046257E">
                    <w:rPr>
                      <w:rFonts w:hint="eastAsia"/>
                    </w:rPr>
                    <w:t>3</w:t>
                  </w:r>
                  <w:r w:rsidRPr="006E0F3C">
                    <w:rPr>
                      <w:rFonts w:hint="eastAsia"/>
                    </w:rPr>
                    <w:t>月</w:t>
                  </w:r>
                  <w:r w:rsidR="00727788">
                    <w:rPr>
                      <w:rFonts w:hint="eastAsia"/>
                    </w:rPr>
                    <w:t>QDII</w:t>
                  </w:r>
                  <w:r w:rsidRPr="006E0F3C">
                    <w:rPr>
                      <w:rFonts w:hint="eastAsia"/>
                    </w:rPr>
                    <w:t>基金投资策略</w:t>
                  </w:r>
                </w:p>
              </w:txbxContent>
            </v:textbox>
          </v:shape>
        </v:group>
      </w:pict>
    </w:r>
    <w:r>
      <w:pict>
        <v:rect id="_x0000_i1026"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000" w:rsidRDefault="00050D29" w:rsidP="00BC0D84">
    <w:pPr>
      <w:pStyle w:val="a3"/>
      <w:pBdr>
        <w:bottom w:val="none" w:sz="0" w:space="0" w:color="auto"/>
      </w:pBdr>
      <w:spacing w:afterLines="100"/>
    </w:pPr>
    <w:r>
      <w:pict>
        <v:group id="_x0000_s1025"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1026" type="#_x0000_t202" style="position:absolute;left:652;top:331;width:3664;height:2430;mso-width-relative:margin;mso-height-relative:margin" strokecolor="white">
            <v:textbox style="mso-next-textbox:#_x0000_s1026">
              <w:txbxContent>
                <w:p w:rsidR="00B10000" w:rsidRDefault="00BC0D84" w:rsidP="00B10000">
                  <w:pPr>
                    <w:pStyle w:val="a6"/>
                  </w:pPr>
                  <w:r w:rsidRPr="00050D2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1" type="#_x0000_t75" alt="凯石工2.jpg" style="width:125.25pt;height:117.75pt;visibility:visible">
                        <v:imagedata r:id="rId1" o:title="凯石工2"/>
                      </v:shape>
                    </w:pict>
                  </w:r>
                </w:p>
              </w:txbxContent>
            </v:textbox>
          </v:shape>
          <v:shape id="_x0000_s1027" type="#_x0000_t202" style="position:absolute;left:881;top:2578;width:2325;height:390" strokecolor="white">
            <v:textbox style="mso-next-textbox:#_x0000_s1027">
              <w:txbxContent>
                <w:p w:rsidR="00B10000" w:rsidRPr="006E0F3C" w:rsidRDefault="00B10000" w:rsidP="008840A4">
                  <w:pPr>
                    <w:pStyle w:val="a5"/>
                    <w:spacing w:after="240"/>
                  </w:pPr>
                  <w:r w:rsidRPr="006E0F3C">
                    <w:rPr>
                      <w:rFonts w:hint="eastAsia"/>
                    </w:rPr>
                    <w:t>凯石工场研究报告</w:t>
                  </w:r>
                </w:p>
              </w:txbxContent>
            </v:textbox>
          </v:shape>
          <v:shape id="_x0000_s1028" type="#_x0000_t202" style="position:absolute;left:8740;top:609;width:2441;height:475;mso-height-percent:200;mso-height-percent:200;mso-width-relative:margin;mso-height-relative:margin" strokecolor="white">
            <v:textbox style="mso-next-textbox:#_x0000_s1028;mso-fit-shape-to-text:t">
              <w:txbxContent>
                <w:p w:rsidR="00B10000" w:rsidRPr="006E0F3C" w:rsidRDefault="00B10000" w:rsidP="00B10000">
                  <w:pPr>
                    <w:pStyle w:val="a7"/>
                    <w:jc w:val="right"/>
                  </w:pPr>
                  <w:r w:rsidRPr="006E0F3C">
                    <w:rPr>
                      <w:rFonts w:hint="eastAsia"/>
                    </w:rPr>
                    <w:t>201</w:t>
                  </w:r>
                  <w:r w:rsidR="00876F2A">
                    <w:rPr>
                      <w:rFonts w:hint="eastAsia"/>
                    </w:rPr>
                    <w:t>4</w:t>
                  </w:r>
                  <w:r w:rsidRPr="006E0F3C">
                    <w:rPr>
                      <w:rFonts w:hint="eastAsia"/>
                    </w:rPr>
                    <w:t>年</w:t>
                  </w:r>
                  <w:r w:rsidR="000701D9">
                    <w:rPr>
                      <w:rFonts w:hint="eastAsia"/>
                    </w:rPr>
                    <w:t>3</w:t>
                  </w:r>
                  <w:r w:rsidRPr="006E0F3C">
                    <w:rPr>
                      <w:rFonts w:hint="eastAsia"/>
                    </w:rPr>
                    <w:t>月</w:t>
                  </w:r>
                  <w:r w:rsidR="00FA5ACB">
                    <w:rPr>
                      <w:rFonts w:hint="eastAsia"/>
                    </w:rPr>
                    <w:t>5</w:t>
                  </w:r>
                  <w:r w:rsidRPr="006E0F3C">
                    <w:rPr>
                      <w:rFonts w:hint="eastAsia"/>
                    </w:rPr>
                    <w:t>日</w:t>
                  </w:r>
                </w:p>
              </w:txbxContent>
            </v:textbox>
          </v:shape>
          <v:shape id="_x0000_s1029" type="#_x0000_t202" style="position:absolute;left:3214;top:1377;width:8090;height:1001;mso-height-percent:200;mso-height-percent:200;mso-width-relative:margin;mso-height-relative:margin" strokecolor="white">
            <v:textbox style="mso-next-textbox:#_x0000_s1029;mso-fit-shape-to-text:t">
              <w:txbxContent>
                <w:p w:rsidR="00B10000" w:rsidRDefault="00B10000" w:rsidP="00B10000">
                  <w:pPr>
                    <w:pStyle w:val="a8"/>
                    <w:jc w:val="right"/>
                  </w:pPr>
                  <w:r w:rsidRPr="006E0F3C">
                    <w:rPr>
                      <w:rFonts w:hint="eastAsia"/>
                    </w:rPr>
                    <w:t>201</w:t>
                  </w:r>
                  <w:r w:rsidR="00876F2A">
                    <w:rPr>
                      <w:rFonts w:hint="eastAsia"/>
                    </w:rPr>
                    <w:t>4</w:t>
                  </w:r>
                  <w:r w:rsidRPr="006E0F3C">
                    <w:rPr>
                      <w:rFonts w:hint="eastAsia"/>
                    </w:rPr>
                    <w:t>年</w:t>
                  </w:r>
                  <w:r w:rsidR="00FA5ACB">
                    <w:rPr>
                      <w:rFonts w:hint="eastAsia"/>
                    </w:rPr>
                    <w:t>3</w:t>
                  </w:r>
                  <w:r w:rsidRPr="006E0F3C">
                    <w:rPr>
                      <w:rFonts w:hint="eastAsia"/>
                    </w:rPr>
                    <w:t>月</w:t>
                  </w:r>
                  <w:r w:rsidR="00727788">
                    <w:rPr>
                      <w:rFonts w:hint="eastAsia"/>
                    </w:rPr>
                    <w:t>QDII</w:t>
                  </w:r>
                  <w:r w:rsidRPr="006E0F3C">
                    <w:rPr>
                      <w:rFonts w:hint="eastAsia"/>
                    </w:rPr>
                    <w:t>基金投资策略</w:t>
                  </w:r>
                </w:p>
                <w:p w:rsidR="00B10000" w:rsidRPr="00624366" w:rsidRDefault="000C6264" w:rsidP="00B10000">
                  <w:pPr>
                    <w:pStyle w:val="a8"/>
                    <w:jc w:val="right"/>
                    <w:rPr>
                      <w:sz w:val="28"/>
                      <w:szCs w:val="28"/>
                    </w:rPr>
                  </w:pPr>
                  <w:r>
                    <w:rPr>
                      <w:rFonts w:hint="eastAsia"/>
                      <w:sz w:val="28"/>
                      <w:szCs w:val="28"/>
                    </w:rPr>
                    <w:t>主配</w:t>
                  </w:r>
                  <w:r w:rsidR="00FA5ACB">
                    <w:rPr>
                      <w:rFonts w:hint="eastAsia"/>
                      <w:sz w:val="28"/>
                      <w:szCs w:val="28"/>
                    </w:rPr>
                    <w:t>美</w:t>
                  </w:r>
                  <w:r w:rsidR="00466214">
                    <w:rPr>
                      <w:rFonts w:hint="eastAsia"/>
                      <w:sz w:val="28"/>
                      <w:szCs w:val="28"/>
                    </w:rPr>
                    <w:t>股</w:t>
                  </w:r>
                  <w:r w:rsidR="00FA5ACB">
                    <w:rPr>
                      <w:rFonts w:hint="eastAsia"/>
                      <w:sz w:val="28"/>
                      <w:szCs w:val="28"/>
                    </w:rPr>
                    <w:t>市场</w:t>
                  </w:r>
                  <w:r w:rsidR="003F4D5D">
                    <w:rPr>
                      <w:rFonts w:hint="eastAsia"/>
                      <w:sz w:val="28"/>
                      <w:szCs w:val="28"/>
                    </w:rPr>
                    <w:t>品种</w:t>
                  </w:r>
                  <w:r w:rsidR="00AA01BF" w:rsidRPr="00AA01BF">
                    <w:rPr>
                      <w:rFonts w:hint="eastAsia"/>
                      <w:sz w:val="28"/>
                      <w:szCs w:val="28"/>
                    </w:rPr>
                    <w:t>，搭配港股主动产品</w:t>
                  </w:r>
                </w:p>
              </w:txbxContent>
            </v:textbox>
          </v:shape>
          <v:shape id="_x0000_s1030" type="#_x0000_t202" style="position:absolute;left:3246;top:2578;width:7993;height:627" strokecolor="white">
            <v:textbox style="mso-next-textbox:#_x0000_s1030">
              <w:txbxContent>
                <w:p w:rsidR="00D17601" w:rsidRDefault="000701D9" w:rsidP="00B10000">
                  <w:pPr>
                    <w:pStyle w:val="a9"/>
                  </w:pPr>
                  <w:r>
                    <w:rPr>
                      <w:rFonts w:hint="eastAsia"/>
                    </w:rPr>
                    <w:t>杨舒</w:t>
                  </w:r>
                  <w:r w:rsidR="00B10000" w:rsidRPr="006E0F3C">
                    <w:rPr>
                      <w:rFonts w:hint="eastAsia"/>
                    </w:rPr>
                    <w:t xml:space="preserve"> </w:t>
                  </w:r>
                  <w:r w:rsidR="00D17601">
                    <w:rPr>
                      <w:rFonts w:hint="eastAsia"/>
                    </w:rPr>
                    <w:t>高级</w:t>
                  </w:r>
                  <w:r w:rsidR="00B10000" w:rsidRPr="006E0F3C">
                    <w:rPr>
                      <w:rFonts w:hint="eastAsia"/>
                    </w:rPr>
                    <w:t>分析师</w:t>
                  </w:r>
                </w:p>
                <w:p w:rsidR="00B10000" w:rsidRPr="006E0F3C" w:rsidRDefault="00D17601" w:rsidP="00B10000">
                  <w:pPr>
                    <w:pStyle w:val="a9"/>
                  </w:pPr>
                  <w:r>
                    <w:rPr>
                      <w:rFonts w:hint="eastAsia"/>
                    </w:rPr>
                    <w:t>张剑辉 首席分析师</w:t>
                  </w:r>
                  <w:r w:rsidR="00B10000" w:rsidRPr="006E0F3C">
                    <w:rPr>
                      <w:rFonts w:hint="eastAsia"/>
                    </w:rPr>
                    <w:t xml:space="preserve"> </w:t>
                  </w:r>
                </w:p>
              </w:txbxContent>
            </v:textbox>
          </v:shape>
          <w10:wrap type="none"/>
          <w10:anchorlock/>
        </v:group>
      </w:pict>
    </w:r>
    <w:r>
      <w:pict>
        <v:rect id="_x0000_i1028"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1">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KaiTi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KaiTi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0000"/>
    <w:rsid w:val="00001113"/>
    <w:rsid w:val="00001D5C"/>
    <w:rsid w:val="00004C9F"/>
    <w:rsid w:val="00007DF1"/>
    <w:rsid w:val="000106BD"/>
    <w:rsid w:val="00016E71"/>
    <w:rsid w:val="00023796"/>
    <w:rsid w:val="000278A3"/>
    <w:rsid w:val="0003001E"/>
    <w:rsid w:val="00030C1A"/>
    <w:rsid w:val="0003225B"/>
    <w:rsid w:val="00032FF0"/>
    <w:rsid w:val="00034C20"/>
    <w:rsid w:val="00042188"/>
    <w:rsid w:val="000432C9"/>
    <w:rsid w:val="00050D29"/>
    <w:rsid w:val="000523A8"/>
    <w:rsid w:val="00052FAC"/>
    <w:rsid w:val="00057A76"/>
    <w:rsid w:val="000602EC"/>
    <w:rsid w:val="000612DF"/>
    <w:rsid w:val="00061CAE"/>
    <w:rsid w:val="000660CC"/>
    <w:rsid w:val="000701D9"/>
    <w:rsid w:val="00071838"/>
    <w:rsid w:val="00071EEE"/>
    <w:rsid w:val="00075461"/>
    <w:rsid w:val="00083342"/>
    <w:rsid w:val="000855DD"/>
    <w:rsid w:val="00094002"/>
    <w:rsid w:val="00094A05"/>
    <w:rsid w:val="000A3F69"/>
    <w:rsid w:val="000C00E7"/>
    <w:rsid w:val="000C1661"/>
    <w:rsid w:val="000C1903"/>
    <w:rsid w:val="000C2BF6"/>
    <w:rsid w:val="000C6264"/>
    <w:rsid w:val="000D6608"/>
    <w:rsid w:val="000E3E62"/>
    <w:rsid w:val="000E4F92"/>
    <w:rsid w:val="000E63CE"/>
    <w:rsid w:val="000E6595"/>
    <w:rsid w:val="000F1B1F"/>
    <w:rsid w:val="000F5835"/>
    <w:rsid w:val="000F61AF"/>
    <w:rsid w:val="000F7C30"/>
    <w:rsid w:val="00103F83"/>
    <w:rsid w:val="00105074"/>
    <w:rsid w:val="00105AEF"/>
    <w:rsid w:val="00105DEB"/>
    <w:rsid w:val="001102C7"/>
    <w:rsid w:val="00111800"/>
    <w:rsid w:val="001129A7"/>
    <w:rsid w:val="00112A22"/>
    <w:rsid w:val="00114518"/>
    <w:rsid w:val="00115DD5"/>
    <w:rsid w:val="00116CE6"/>
    <w:rsid w:val="00136012"/>
    <w:rsid w:val="001375D6"/>
    <w:rsid w:val="001410E9"/>
    <w:rsid w:val="00157B31"/>
    <w:rsid w:val="0016073A"/>
    <w:rsid w:val="001710A3"/>
    <w:rsid w:val="00175064"/>
    <w:rsid w:val="001771A2"/>
    <w:rsid w:val="00181C17"/>
    <w:rsid w:val="0018379B"/>
    <w:rsid w:val="00183EE1"/>
    <w:rsid w:val="00185269"/>
    <w:rsid w:val="0018765E"/>
    <w:rsid w:val="00187AEB"/>
    <w:rsid w:val="00192ECE"/>
    <w:rsid w:val="00196353"/>
    <w:rsid w:val="001967DF"/>
    <w:rsid w:val="001A09F5"/>
    <w:rsid w:val="001A5408"/>
    <w:rsid w:val="001A5D15"/>
    <w:rsid w:val="001A6932"/>
    <w:rsid w:val="001B40F7"/>
    <w:rsid w:val="001B6F74"/>
    <w:rsid w:val="001B7CE9"/>
    <w:rsid w:val="001C4BEA"/>
    <w:rsid w:val="001C5CFB"/>
    <w:rsid w:val="001C73E7"/>
    <w:rsid w:val="001D000D"/>
    <w:rsid w:val="001D109E"/>
    <w:rsid w:val="001D25E4"/>
    <w:rsid w:val="001D3C19"/>
    <w:rsid w:val="001D7EE7"/>
    <w:rsid w:val="001E40D5"/>
    <w:rsid w:val="001E4787"/>
    <w:rsid w:val="001E60C8"/>
    <w:rsid w:val="001E7A80"/>
    <w:rsid w:val="001E7DDC"/>
    <w:rsid w:val="001F0E37"/>
    <w:rsid w:val="001F5E3D"/>
    <w:rsid w:val="001F643C"/>
    <w:rsid w:val="001F6E9C"/>
    <w:rsid w:val="00202C2B"/>
    <w:rsid w:val="00202D6B"/>
    <w:rsid w:val="002077C9"/>
    <w:rsid w:val="00210515"/>
    <w:rsid w:val="00215001"/>
    <w:rsid w:val="0021759F"/>
    <w:rsid w:val="002303BD"/>
    <w:rsid w:val="00231F40"/>
    <w:rsid w:val="002322C7"/>
    <w:rsid w:val="002409A7"/>
    <w:rsid w:val="00245441"/>
    <w:rsid w:val="002547C3"/>
    <w:rsid w:val="00256A3A"/>
    <w:rsid w:val="00257E61"/>
    <w:rsid w:val="0026039C"/>
    <w:rsid w:val="002630FB"/>
    <w:rsid w:val="00271636"/>
    <w:rsid w:val="00276646"/>
    <w:rsid w:val="00281FBC"/>
    <w:rsid w:val="002845EC"/>
    <w:rsid w:val="00286C91"/>
    <w:rsid w:val="00291DCF"/>
    <w:rsid w:val="00293537"/>
    <w:rsid w:val="00294162"/>
    <w:rsid w:val="002A178C"/>
    <w:rsid w:val="002A7947"/>
    <w:rsid w:val="002B0CF5"/>
    <w:rsid w:val="002B12A9"/>
    <w:rsid w:val="002B600C"/>
    <w:rsid w:val="002B6E31"/>
    <w:rsid w:val="002C5411"/>
    <w:rsid w:val="002C7FF5"/>
    <w:rsid w:val="002D3525"/>
    <w:rsid w:val="002E3746"/>
    <w:rsid w:val="002E60F9"/>
    <w:rsid w:val="002E6539"/>
    <w:rsid w:val="002E794A"/>
    <w:rsid w:val="002F2BEE"/>
    <w:rsid w:val="002F3BD4"/>
    <w:rsid w:val="002F7B2B"/>
    <w:rsid w:val="00305C2C"/>
    <w:rsid w:val="00306DF5"/>
    <w:rsid w:val="00310654"/>
    <w:rsid w:val="00313D2F"/>
    <w:rsid w:val="003141DC"/>
    <w:rsid w:val="00314423"/>
    <w:rsid w:val="003209D1"/>
    <w:rsid w:val="00327CE3"/>
    <w:rsid w:val="00330D03"/>
    <w:rsid w:val="00333E93"/>
    <w:rsid w:val="00333EE2"/>
    <w:rsid w:val="00333EF1"/>
    <w:rsid w:val="00335FA5"/>
    <w:rsid w:val="0033611E"/>
    <w:rsid w:val="0033663A"/>
    <w:rsid w:val="00337589"/>
    <w:rsid w:val="003377DE"/>
    <w:rsid w:val="00337C7C"/>
    <w:rsid w:val="00340F68"/>
    <w:rsid w:val="0034163A"/>
    <w:rsid w:val="00343F99"/>
    <w:rsid w:val="003511EC"/>
    <w:rsid w:val="00354F6B"/>
    <w:rsid w:val="00356B09"/>
    <w:rsid w:val="00361E36"/>
    <w:rsid w:val="003629A1"/>
    <w:rsid w:val="003663C7"/>
    <w:rsid w:val="00367156"/>
    <w:rsid w:val="00370865"/>
    <w:rsid w:val="00377EF0"/>
    <w:rsid w:val="0038252C"/>
    <w:rsid w:val="00385B91"/>
    <w:rsid w:val="00391A99"/>
    <w:rsid w:val="003A6147"/>
    <w:rsid w:val="003A6B50"/>
    <w:rsid w:val="003B7474"/>
    <w:rsid w:val="003C206D"/>
    <w:rsid w:val="003D516C"/>
    <w:rsid w:val="003E2F42"/>
    <w:rsid w:val="003E595A"/>
    <w:rsid w:val="003F4D5D"/>
    <w:rsid w:val="003F6CBD"/>
    <w:rsid w:val="003F7539"/>
    <w:rsid w:val="003F784D"/>
    <w:rsid w:val="0040088A"/>
    <w:rsid w:val="00402AD8"/>
    <w:rsid w:val="0040586C"/>
    <w:rsid w:val="004106BF"/>
    <w:rsid w:val="00411CAE"/>
    <w:rsid w:val="004144AF"/>
    <w:rsid w:val="00423564"/>
    <w:rsid w:val="00424971"/>
    <w:rsid w:val="00431666"/>
    <w:rsid w:val="00432DB1"/>
    <w:rsid w:val="00432EE0"/>
    <w:rsid w:val="0043361C"/>
    <w:rsid w:val="00442D74"/>
    <w:rsid w:val="00443BC8"/>
    <w:rsid w:val="0044427B"/>
    <w:rsid w:val="00445DD5"/>
    <w:rsid w:val="0044602F"/>
    <w:rsid w:val="00454EB4"/>
    <w:rsid w:val="00457391"/>
    <w:rsid w:val="00461D50"/>
    <w:rsid w:val="0046257E"/>
    <w:rsid w:val="004625B9"/>
    <w:rsid w:val="0046397E"/>
    <w:rsid w:val="00464AC0"/>
    <w:rsid w:val="00466214"/>
    <w:rsid w:val="004709C6"/>
    <w:rsid w:val="00471193"/>
    <w:rsid w:val="00473690"/>
    <w:rsid w:val="004766E1"/>
    <w:rsid w:val="00480A95"/>
    <w:rsid w:val="00483AF9"/>
    <w:rsid w:val="00484937"/>
    <w:rsid w:val="00486443"/>
    <w:rsid w:val="00490A8E"/>
    <w:rsid w:val="004A042D"/>
    <w:rsid w:val="004A15D7"/>
    <w:rsid w:val="004A239F"/>
    <w:rsid w:val="004A2ACB"/>
    <w:rsid w:val="004A61EA"/>
    <w:rsid w:val="004A6604"/>
    <w:rsid w:val="004A725C"/>
    <w:rsid w:val="004C6F72"/>
    <w:rsid w:val="004C722B"/>
    <w:rsid w:val="004C7DD1"/>
    <w:rsid w:val="004D5065"/>
    <w:rsid w:val="004D59A9"/>
    <w:rsid w:val="004D78C4"/>
    <w:rsid w:val="004E5A60"/>
    <w:rsid w:val="004F00E9"/>
    <w:rsid w:val="004F2215"/>
    <w:rsid w:val="004F3768"/>
    <w:rsid w:val="004F4040"/>
    <w:rsid w:val="004F5DA2"/>
    <w:rsid w:val="004F5F12"/>
    <w:rsid w:val="004F609C"/>
    <w:rsid w:val="004F7FEC"/>
    <w:rsid w:val="005011F5"/>
    <w:rsid w:val="00502C9B"/>
    <w:rsid w:val="00507DE8"/>
    <w:rsid w:val="00511FB9"/>
    <w:rsid w:val="00516843"/>
    <w:rsid w:val="00521693"/>
    <w:rsid w:val="00523F23"/>
    <w:rsid w:val="005258BD"/>
    <w:rsid w:val="00525FCF"/>
    <w:rsid w:val="00527682"/>
    <w:rsid w:val="0053086C"/>
    <w:rsid w:val="00532D5E"/>
    <w:rsid w:val="005369F2"/>
    <w:rsid w:val="00540ECB"/>
    <w:rsid w:val="00541C85"/>
    <w:rsid w:val="00541D5F"/>
    <w:rsid w:val="00542085"/>
    <w:rsid w:val="005441FC"/>
    <w:rsid w:val="00552230"/>
    <w:rsid w:val="00553335"/>
    <w:rsid w:val="005547AF"/>
    <w:rsid w:val="00561462"/>
    <w:rsid w:val="00561EA3"/>
    <w:rsid w:val="00562256"/>
    <w:rsid w:val="00562AA0"/>
    <w:rsid w:val="0057223F"/>
    <w:rsid w:val="00572623"/>
    <w:rsid w:val="005726C2"/>
    <w:rsid w:val="005775C2"/>
    <w:rsid w:val="00577F2A"/>
    <w:rsid w:val="00580FA7"/>
    <w:rsid w:val="005853D6"/>
    <w:rsid w:val="005915EE"/>
    <w:rsid w:val="005931A6"/>
    <w:rsid w:val="00593E61"/>
    <w:rsid w:val="005A144D"/>
    <w:rsid w:val="005A516C"/>
    <w:rsid w:val="005A5965"/>
    <w:rsid w:val="005A5DE2"/>
    <w:rsid w:val="005A5F7A"/>
    <w:rsid w:val="005B28B3"/>
    <w:rsid w:val="005B39F0"/>
    <w:rsid w:val="005B714C"/>
    <w:rsid w:val="005C4FC7"/>
    <w:rsid w:val="005D1897"/>
    <w:rsid w:val="005D46B4"/>
    <w:rsid w:val="005D485D"/>
    <w:rsid w:val="005E26B9"/>
    <w:rsid w:val="005E4D6F"/>
    <w:rsid w:val="005F237F"/>
    <w:rsid w:val="005F2537"/>
    <w:rsid w:val="005F50B8"/>
    <w:rsid w:val="005F5E5D"/>
    <w:rsid w:val="0060046D"/>
    <w:rsid w:val="00607330"/>
    <w:rsid w:val="00614E0D"/>
    <w:rsid w:val="00615A49"/>
    <w:rsid w:val="006160C8"/>
    <w:rsid w:val="00622EF3"/>
    <w:rsid w:val="00623C62"/>
    <w:rsid w:val="00623CC0"/>
    <w:rsid w:val="00624902"/>
    <w:rsid w:val="00630885"/>
    <w:rsid w:val="0063114B"/>
    <w:rsid w:val="0063189A"/>
    <w:rsid w:val="00634F30"/>
    <w:rsid w:val="00635E4C"/>
    <w:rsid w:val="00641A96"/>
    <w:rsid w:val="006459A3"/>
    <w:rsid w:val="0064682D"/>
    <w:rsid w:val="006533D7"/>
    <w:rsid w:val="00656031"/>
    <w:rsid w:val="00656F8E"/>
    <w:rsid w:val="00657E45"/>
    <w:rsid w:val="00661C93"/>
    <w:rsid w:val="00663907"/>
    <w:rsid w:val="00665317"/>
    <w:rsid w:val="0067045E"/>
    <w:rsid w:val="006728D5"/>
    <w:rsid w:val="006845E1"/>
    <w:rsid w:val="00685C11"/>
    <w:rsid w:val="0068772B"/>
    <w:rsid w:val="00690040"/>
    <w:rsid w:val="00690887"/>
    <w:rsid w:val="00691F97"/>
    <w:rsid w:val="00695146"/>
    <w:rsid w:val="00695441"/>
    <w:rsid w:val="006968B9"/>
    <w:rsid w:val="00696E0C"/>
    <w:rsid w:val="00697A97"/>
    <w:rsid w:val="006A069E"/>
    <w:rsid w:val="006A43BF"/>
    <w:rsid w:val="006B0CD3"/>
    <w:rsid w:val="006C2A7A"/>
    <w:rsid w:val="006C619C"/>
    <w:rsid w:val="006D7395"/>
    <w:rsid w:val="006E18E9"/>
    <w:rsid w:val="006E2421"/>
    <w:rsid w:val="006E4998"/>
    <w:rsid w:val="006E4B5D"/>
    <w:rsid w:val="006E5BF7"/>
    <w:rsid w:val="006F09E1"/>
    <w:rsid w:val="006F6C09"/>
    <w:rsid w:val="00704EB2"/>
    <w:rsid w:val="00714187"/>
    <w:rsid w:val="0072608C"/>
    <w:rsid w:val="00726CC9"/>
    <w:rsid w:val="00727661"/>
    <w:rsid w:val="00727788"/>
    <w:rsid w:val="00732C19"/>
    <w:rsid w:val="00736E5E"/>
    <w:rsid w:val="00741A77"/>
    <w:rsid w:val="00741D9C"/>
    <w:rsid w:val="00746D3D"/>
    <w:rsid w:val="00746DC1"/>
    <w:rsid w:val="00750303"/>
    <w:rsid w:val="00752A4A"/>
    <w:rsid w:val="00752BF9"/>
    <w:rsid w:val="007560E1"/>
    <w:rsid w:val="007661FF"/>
    <w:rsid w:val="00766FBF"/>
    <w:rsid w:val="00770C89"/>
    <w:rsid w:val="00780D95"/>
    <w:rsid w:val="00781486"/>
    <w:rsid w:val="00787C48"/>
    <w:rsid w:val="007910D2"/>
    <w:rsid w:val="00793162"/>
    <w:rsid w:val="00793969"/>
    <w:rsid w:val="007A06AE"/>
    <w:rsid w:val="007A391F"/>
    <w:rsid w:val="007A3D70"/>
    <w:rsid w:val="007A4147"/>
    <w:rsid w:val="007A7488"/>
    <w:rsid w:val="007B0627"/>
    <w:rsid w:val="007B1D00"/>
    <w:rsid w:val="007B3754"/>
    <w:rsid w:val="007B56B3"/>
    <w:rsid w:val="007C0FFD"/>
    <w:rsid w:val="007C1E9F"/>
    <w:rsid w:val="007C2AAD"/>
    <w:rsid w:val="007C78CE"/>
    <w:rsid w:val="007D1F59"/>
    <w:rsid w:val="007D20E6"/>
    <w:rsid w:val="007E0A2D"/>
    <w:rsid w:val="007E5697"/>
    <w:rsid w:val="007E5FDD"/>
    <w:rsid w:val="007E7D79"/>
    <w:rsid w:val="007F105F"/>
    <w:rsid w:val="007F5299"/>
    <w:rsid w:val="008016D9"/>
    <w:rsid w:val="0080308B"/>
    <w:rsid w:val="008106B1"/>
    <w:rsid w:val="008120C3"/>
    <w:rsid w:val="0081385D"/>
    <w:rsid w:val="008139E8"/>
    <w:rsid w:val="00840AC5"/>
    <w:rsid w:val="00840DBB"/>
    <w:rsid w:val="00845CF9"/>
    <w:rsid w:val="008460D8"/>
    <w:rsid w:val="00850F7D"/>
    <w:rsid w:val="00851567"/>
    <w:rsid w:val="00854662"/>
    <w:rsid w:val="008548EB"/>
    <w:rsid w:val="00855FB6"/>
    <w:rsid w:val="00861180"/>
    <w:rsid w:val="0087442E"/>
    <w:rsid w:val="00876F2A"/>
    <w:rsid w:val="008840A4"/>
    <w:rsid w:val="00891377"/>
    <w:rsid w:val="008962C5"/>
    <w:rsid w:val="008964D0"/>
    <w:rsid w:val="008A2BBA"/>
    <w:rsid w:val="008A3AC5"/>
    <w:rsid w:val="008A67F4"/>
    <w:rsid w:val="008B173E"/>
    <w:rsid w:val="008B23F8"/>
    <w:rsid w:val="008B6C8E"/>
    <w:rsid w:val="008D337E"/>
    <w:rsid w:val="008E2054"/>
    <w:rsid w:val="008E2240"/>
    <w:rsid w:val="008E2ED3"/>
    <w:rsid w:val="008E40EF"/>
    <w:rsid w:val="008E60B7"/>
    <w:rsid w:val="008E706F"/>
    <w:rsid w:val="008F001B"/>
    <w:rsid w:val="008F0E10"/>
    <w:rsid w:val="008F2245"/>
    <w:rsid w:val="008F2278"/>
    <w:rsid w:val="00901AE0"/>
    <w:rsid w:val="00903830"/>
    <w:rsid w:val="00907F57"/>
    <w:rsid w:val="00910F47"/>
    <w:rsid w:val="009110CF"/>
    <w:rsid w:val="00913283"/>
    <w:rsid w:val="00934164"/>
    <w:rsid w:val="00935742"/>
    <w:rsid w:val="00936007"/>
    <w:rsid w:val="009361D6"/>
    <w:rsid w:val="0094228B"/>
    <w:rsid w:val="0094404A"/>
    <w:rsid w:val="00946315"/>
    <w:rsid w:val="009512DF"/>
    <w:rsid w:val="009528F8"/>
    <w:rsid w:val="00956509"/>
    <w:rsid w:val="00960120"/>
    <w:rsid w:val="00962240"/>
    <w:rsid w:val="00965642"/>
    <w:rsid w:val="009670D1"/>
    <w:rsid w:val="00974561"/>
    <w:rsid w:val="00974E34"/>
    <w:rsid w:val="00982132"/>
    <w:rsid w:val="00984471"/>
    <w:rsid w:val="00986C1B"/>
    <w:rsid w:val="009964F2"/>
    <w:rsid w:val="009A1BD1"/>
    <w:rsid w:val="009A2160"/>
    <w:rsid w:val="009A64BF"/>
    <w:rsid w:val="009B426A"/>
    <w:rsid w:val="009B4856"/>
    <w:rsid w:val="009B4D2E"/>
    <w:rsid w:val="009C0706"/>
    <w:rsid w:val="009C095F"/>
    <w:rsid w:val="009C15AC"/>
    <w:rsid w:val="009C5305"/>
    <w:rsid w:val="009D0D44"/>
    <w:rsid w:val="009D169B"/>
    <w:rsid w:val="009D7171"/>
    <w:rsid w:val="009D763E"/>
    <w:rsid w:val="009E1A26"/>
    <w:rsid w:val="009E2581"/>
    <w:rsid w:val="009E6FA3"/>
    <w:rsid w:val="009F10A3"/>
    <w:rsid w:val="009F1523"/>
    <w:rsid w:val="009F4A38"/>
    <w:rsid w:val="009F691F"/>
    <w:rsid w:val="00A02785"/>
    <w:rsid w:val="00A02E6A"/>
    <w:rsid w:val="00A04437"/>
    <w:rsid w:val="00A06A81"/>
    <w:rsid w:val="00A1182D"/>
    <w:rsid w:val="00A13206"/>
    <w:rsid w:val="00A141D7"/>
    <w:rsid w:val="00A169F8"/>
    <w:rsid w:val="00A16B03"/>
    <w:rsid w:val="00A16D9A"/>
    <w:rsid w:val="00A17F80"/>
    <w:rsid w:val="00A216FF"/>
    <w:rsid w:val="00A248D4"/>
    <w:rsid w:val="00A31DA6"/>
    <w:rsid w:val="00A33C93"/>
    <w:rsid w:val="00A35D2C"/>
    <w:rsid w:val="00A50422"/>
    <w:rsid w:val="00A51C2B"/>
    <w:rsid w:val="00A5326A"/>
    <w:rsid w:val="00A613A7"/>
    <w:rsid w:val="00A622A9"/>
    <w:rsid w:val="00A64CD0"/>
    <w:rsid w:val="00A6645F"/>
    <w:rsid w:val="00A70401"/>
    <w:rsid w:val="00A71F90"/>
    <w:rsid w:val="00A729CD"/>
    <w:rsid w:val="00A758E8"/>
    <w:rsid w:val="00A774B3"/>
    <w:rsid w:val="00A77A1A"/>
    <w:rsid w:val="00A77AB0"/>
    <w:rsid w:val="00A81A33"/>
    <w:rsid w:val="00A83B06"/>
    <w:rsid w:val="00A83E8D"/>
    <w:rsid w:val="00A85E72"/>
    <w:rsid w:val="00A91CB8"/>
    <w:rsid w:val="00A94DF5"/>
    <w:rsid w:val="00AA01BF"/>
    <w:rsid w:val="00AA6F30"/>
    <w:rsid w:val="00AB09D7"/>
    <w:rsid w:val="00AB3F5F"/>
    <w:rsid w:val="00AC42AA"/>
    <w:rsid w:val="00AC7961"/>
    <w:rsid w:val="00AD3C64"/>
    <w:rsid w:val="00AE0444"/>
    <w:rsid w:val="00AE4171"/>
    <w:rsid w:val="00AE7232"/>
    <w:rsid w:val="00AF6D20"/>
    <w:rsid w:val="00B002DE"/>
    <w:rsid w:val="00B008AF"/>
    <w:rsid w:val="00B008C3"/>
    <w:rsid w:val="00B073E2"/>
    <w:rsid w:val="00B10000"/>
    <w:rsid w:val="00B13CF9"/>
    <w:rsid w:val="00B16D31"/>
    <w:rsid w:val="00B222C6"/>
    <w:rsid w:val="00B22D4F"/>
    <w:rsid w:val="00B340D8"/>
    <w:rsid w:val="00B45276"/>
    <w:rsid w:val="00B4752F"/>
    <w:rsid w:val="00B55E8D"/>
    <w:rsid w:val="00B610A3"/>
    <w:rsid w:val="00B61337"/>
    <w:rsid w:val="00B64010"/>
    <w:rsid w:val="00B645E8"/>
    <w:rsid w:val="00B64FE7"/>
    <w:rsid w:val="00B6539F"/>
    <w:rsid w:val="00B66062"/>
    <w:rsid w:val="00B6654D"/>
    <w:rsid w:val="00B712D0"/>
    <w:rsid w:val="00B71D3C"/>
    <w:rsid w:val="00B73B6E"/>
    <w:rsid w:val="00B75AA1"/>
    <w:rsid w:val="00B872DF"/>
    <w:rsid w:val="00B9628C"/>
    <w:rsid w:val="00BA05C4"/>
    <w:rsid w:val="00BA1523"/>
    <w:rsid w:val="00BA65C4"/>
    <w:rsid w:val="00BA7445"/>
    <w:rsid w:val="00BB283F"/>
    <w:rsid w:val="00BB5803"/>
    <w:rsid w:val="00BC0D84"/>
    <w:rsid w:val="00BC2435"/>
    <w:rsid w:val="00BC3829"/>
    <w:rsid w:val="00BC5434"/>
    <w:rsid w:val="00BC6100"/>
    <w:rsid w:val="00BD4099"/>
    <w:rsid w:val="00BE07C0"/>
    <w:rsid w:val="00BE31B7"/>
    <w:rsid w:val="00BE4E1B"/>
    <w:rsid w:val="00BE7059"/>
    <w:rsid w:val="00BE7869"/>
    <w:rsid w:val="00BF0607"/>
    <w:rsid w:val="00C07FD2"/>
    <w:rsid w:val="00C120F7"/>
    <w:rsid w:val="00C123F4"/>
    <w:rsid w:val="00C140D7"/>
    <w:rsid w:val="00C151C5"/>
    <w:rsid w:val="00C16315"/>
    <w:rsid w:val="00C23CB2"/>
    <w:rsid w:val="00C32457"/>
    <w:rsid w:val="00C326DD"/>
    <w:rsid w:val="00C36108"/>
    <w:rsid w:val="00C425AA"/>
    <w:rsid w:val="00C535FB"/>
    <w:rsid w:val="00C6448F"/>
    <w:rsid w:val="00C67CBB"/>
    <w:rsid w:val="00C71665"/>
    <w:rsid w:val="00C75DE3"/>
    <w:rsid w:val="00C806CE"/>
    <w:rsid w:val="00C90048"/>
    <w:rsid w:val="00C908C8"/>
    <w:rsid w:val="00C938FC"/>
    <w:rsid w:val="00C975CA"/>
    <w:rsid w:val="00C97C44"/>
    <w:rsid w:val="00CA011E"/>
    <w:rsid w:val="00CA39A7"/>
    <w:rsid w:val="00CA451A"/>
    <w:rsid w:val="00CA5245"/>
    <w:rsid w:val="00CA6B88"/>
    <w:rsid w:val="00CB5092"/>
    <w:rsid w:val="00CB6AAC"/>
    <w:rsid w:val="00CC0753"/>
    <w:rsid w:val="00CC1C9F"/>
    <w:rsid w:val="00CE4DF1"/>
    <w:rsid w:val="00CE6AD4"/>
    <w:rsid w:val="00CE7E7B"/>
    <w:rsid w:val="00CF29CB"/>
    <w:rsid w:val="00CF7AC0"/>
    <w:rsid w:val="00D019E8"/>
    <w:rsid w:val="00D11DAF"/>
    <w:rsid w:val="00D13C37"/>
    <w:rsid w:val="00D15292"/>
    <w:rsid w:val="00D157AF"/>
    <w:rsid w:val="00D15803"/>
    <w:rsid w:val="00D17601"/>
    <w:rsid w:val="00D237A0"/>
    <w:rsid w:val="00D27A67"/>
    <w:rsid w:val="00D27B4C"/>
    <w:rsid w:val="00D40869"/>
    <w:rsid w:val="00D421E8"/>
    <w:rsid w:val="00D437FB"/>
    <w:rsid w:val="00D4444A"/>
    <w:rsid w:val="00D44A82"/>
    <w:rsid w:val="00D462D3"/>
    <w:rsid w:val="00D463C3"/>
    <w:rsid w:val="00D469D9"/>
    <w:rsid w:val="00D52696"/>
    <w:rsid w:val="00D54CA3"/>
    <w:rsid w:val="00D57F4A"/>
    <w:rsid w:val="00D6250A"/>
    <w:rsid w:val="00D63237"/>
    <w:rsid w:val="00D77EC7"/>
    <w:rsid w:val="00D81BBF"/>
    <w:rsid w:val="00D82D2F"/>
    <w:rsid w:val="00D83F4B"/>
    <w:rsid w:val="00D84F90"/>
    <w:rsid w:val="00D8530D"/>
    <w:rsid w:val="00D94957"/>
    <w:rsid w:val="00DA12D2"/>
    <w:rsid w:val="00DA29C6"/>
    <w:rsid w:val="00DB23AC"/>
    <w:rsid w:val="00DB6183"/>
    <w:rsid w:val="00DC5088"/>
    <w:rsid w:val="00DC5BF2"/>
    <w:rsid w:val="00DC5C6D"/>
    <w:rsid w:val="00DD61D6"/>
    <w:rsid w:val="00DD65E5"/>
    <w:rsid w:val="00DD7B3A"/>
    <w:rsid w:val="00DF1609"/>
    <w:rsid w:val="00DF21AC"/>
    <w:rsid w:val="00DF3250"/>
    <w:rsid w:val="00DF7FE0"/>
    <w:rsid w:val="00E011FF"/>
    <w:rsid w:val="00E072D7"/>
    <w:rsid w:val="00E111AA"/>
    <w:rsid w:val="00E121B1"/>
    <w:rsid w:val="00E16BE9"/>
    <w:rsid w:val="00E21F9D"/>
    <w:rsid w:val="00E22802"/>
    <w:rsid w:val="00E24A88"/>
    <w:rsid w:val="00E339DA"/>
    <w:rsid w:val="00E35BB7"/>
    <w:rsid w:val="00E36306"/>
    <w:rsid w:val="00E41ECF"/>
    <w:rsid w:val="00E420BF"/>
    <w:rsid w:val="00E42372"/>
    <w:rsid w:val="00E73117"/>
    <w:rsid w:val="00E73A63"/>
    <w:rsid w:val="00E73CA5"/>
    <w:rsid w:val="00E776AC"/>
    <w:rsid w:val="00E8045D"/>
    <w:rsid w:val="00E8084C"/>
    <w:rsid w:val="00E82185"/>
    <w:rsid w:val="00E835BF"/>
    <w:rsid w:val="00E87090"/>
    <w:rsid w:val="00E9544C"/>
    <w:rsid w:val="00E963B0"/>
    <w:rsid w:val="00EA3B53"/>
    <w:rsid w:val="00EA5F6D"/>
    <w:rsid w:val="00EB0C5C"/>
    <w:rsid w:val="00EB2D4B"/>
    <w:rsid w:val="00EB3A12"/>
    <w:rsid w:val="00EB43A2"/>
    <w:rsid w:val="00EC391E"/>
    <w:rsid w:val="00EC4DC1"/>
    <w:rsid w:val="00EC504A"/>
    <w:rsid w:val="00EC6CCB"/>
    <w:rsid w:val="00EC70ED"/>
    <w:rsid w:val="00ED613B"/>
    <w:rsid w:val="00ED73CF"/>
    <w:rsid w:val="00EE1734"/>
    <w:rsid w:val="00EE1879"/>
    <w:rsid w:val="00EE3125"/>
    <w:rsid w:val="00EE42C0"/>
    <w:rsid w:val="00EE53F9"/>
    <w:rsid w:val="00EF07D8"/>
    <w:rsid w:val="00EF11B0"/>
    <w:rsid w:val="00F003C6"/>
    <w:rsid w:val="00F01B0B"/>
    <w:rsid w:val="00F04D4D"/>
    <w:rsid w:val="00F13965"/>
    <w:rsid w:val="00F14836"/>
    <w:rsid w:val="00F1597E"/>
    <w:rsid w:val="00F20305"/>
    <w:rsid w:val="00F20823"/>
    <w:rsid w:val="00F25274"/>
    <w:rsid w:val="00F25534"/>
    <w:rsid w:val="00F26F69"/>
    <w:rsid w:val="00F3150E"/>
    <w:rsid w:val="00F35042"/>
    <w:rsid w:val="00F37178"/>
    <w:rsid w:val="00F5458F"/>
    <w:rsid w:val="00F56C57"/>
    <w:rsid w:val="00F60F2E"/>
    <w:rsid w:val="00F65AE1"/>
    <w:rsid w:val="00F65C0B"/>
    <w:rsid w:val="00F66662"/>
    <w:rsid w:val="00F74436"/>
    <w:rsid w:val="00F83227"/>
    <w:rsid w:val="00F92296"/>
    <w:rsid w:val="00F9255C"/>
    <w:rsid w:val="00F93C8C"/>
    <w:rsid w:val="00FA12F8"/>
    <w:rsid w:val="00FA5ACB"/>
    <w:rsid w:val="00FA5FD1"/>
    <w:rsid w:val="00FB4998"/>
    <w:rsid w:val="00FB544C"/>
    <w:rsid w:val="00FB7592"/>
    <w:rsid w:val="00FC263C"/>
    <w:rsid w:val="00FC54FE"/>
    <w:rsid w:val="00FC6912"/>
    <w:rsid w:val="00FD14F0"/>
    <w:rsid w:val="00FD5274"/>
    <w:rsid w:val="00FD60CC"/>
    <w:rsid w:val="00FD6975"/>
    <w:rsid w:val="00FD7EC8"/>
    <w:rsid w:val="00FE5A51"/>
    <w:rsid w:val="00FE6E8C"/>
    <w:rsid w:val="00FF08F2"/>
    <w:rsid w:val="00FF6F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0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0000"/>
    <w:rPr>
      <w:sz w:val="18"/>
      <w:szCs w:val="18"/>
    </w:rPr>
  </w:style>
  <w:style w:type="paragraph" w:styleId="a4">
    <w:name w:val="footer"/>
    <w:basedOn w:val="a"/>
    <w:link w:val="Char0"/>
    <w:uiPriority w:val="99"/>
    <w:unhideWhenUsed/>
    <w:rsid w:val="00B10000"/>
    <w:pPr>
      <w:tabs>
        <w:tab w:val="center" w:pos="4153"/>
        <w:tab w:val="right" w:pos="8306"/>
      </w:tabs>
      <w:snapToGrid w:val="0"/>
      <w:jc w:val="left"/>
    </w:pPr>
    <w:rPr>
      <w:sz w:val="18"/>
      <w:szCs w:val="18"/>
    </w:rPr>
  </w:style>
  <w:style w:type="character" w:customStyle="1" w:styleId="Char0">
    <w:name w:val="页脚 Char"/>
    <w:basedOn w:val="a0"/>
    <w:link w:val="a4"/>
    <w:uiPriority w:val="99"/>
    <w:rsid w:val="00B10000"/>
    <w:rPr>
      <w:sz w:val="18"/>
      <w:szCs w:val="18"/>
    </w:rPr>
  </w:style>
  <w:style w:type="paragraph" w:customStyle="1" w:styleId="a5">
    <w:name w:val="页眉报告名称"/>
    <w:link w:val="Char1"/>
    <w:autoRedefine/>
    <w:qFormat/>
    <w:rsid w:val="00B10000"/>
    <w:pPr>
      <w:spacing w:afterLines="100" w:line="240" w:lineRule="exact"/>
      <w:jc w:val="both"/>
    </w:pPr>
    <w:rPr>
      <w:rFonts w:ascii="Calibri" w:eastAsia="华文新魏" w:hAnsi="Calibri" w:cs="Times New Roman"/>
      <w:sz w:val="24"/>
    </w:rPr>
  </w:style>
  <w:style w:type="character" w:customStyle="1" w:styleId="Char1">
    <w:name w:val="页眉报告名称 Char"/>
    <w:basedOn w:val="a0"/>
    <w:link w:val="a5"/>
    <w:rsid w:val="00B10000"/>
    <w:rPr>
      <w:rFonts w:ascii="Calibri" w:eastAsia="华文新魏" w:hAnsi="Calibri" w:cs="Times New Roman"/>
      <w:sz w:val="24"/>
    </w:rPr>
  </w:style>
  <w:style w:type="paragraph" w:customStyle="1" w:styleId="a6">
    <w:name w:val="页眉图片"/>
    <w:basedOn w:val="a3"/>
    <w:link w:val="Char2"/>
    <w:qFormat/>
    <w:rsid w:val="00B10000"/>
    <w:pPr>
      <w:pBdr>
        <w:bottom w:val="none" w:sz="0" w:space="0" w:color="auto"/>
      </w:pBdr>
      <w:tabs>
        <w:tab w:val="clear" w:pos="4153"/>
        <w:tab w:val="clear" w:pos="8306"/>
        <w:tab w:val="right" w:pos="11424"/>
      </w:tabs>
      <w:jc w:val="left"/>
    </w:pPr>
    <w:rPr>
      <w:rFonts w:ascii="Calibri" w:eastAsia="宋体" w:hAnsi="Calibri" w:cs="Times New Roman"/>
      <w:noProof/>
    </w:rPr>
  </w:style>
  <w:style w:type="character" w:customStyle="1" w:styleId="Char2">
    <w:name w:val="页眉图片 Char"/>
    <w:basedOn w:val="Char"/>
    <w:link w:val="a6"/>
    <w:rsid w:val="00B10000"/>
    <w:rPr>
      <w:rFonts w:ascii="Calibri" w:eastAsia="宋体" w:hAnsi="Calibri" w:cs="Times New Roman"/>
      <w:noProof/>
    </w:rPr>
  </w:style>
  <w:style w:type="paragraph" w:customStyle="1" w:styleId="a7">
    <w:name w:val="页眉处日期"/>
    <w:basedOn w:val="a"/>
    <w:link w:val="Char3"/>
    <w:qFormat/>
    <w:rsid w:val="00B10000"/>
    <w:pPr>
      <w:tabs>
        <w:tab w:val="right" w:pos="11424"/>
      </w:tabs>
      <w:snapToGrid w:val="0"/>
      <w:jc w:val="left"/>
    </w:pPr>
    <w:rPr>
      <w:rFonts w:ascii="华文隶书" w:eastAsia="华文隶书" w:hAnsi="Calibri" w:cs="Times New Roman"/>
      <w:b/>
      <w:sz w:val="24"/>
      <w:szCs w:val="24"/>
    </w:rPr>
  </w:style>
  <w:style w:type="paragraph" w:customStyle="1" w:styleId="a8">
    <w:name w:val="页眉副标题"/>
    <w:basedOn w:val="a"/>
    <w:link w:val="Char4"/>
    <w:qFormat/>
    <w:rsid w:val="00B10000"/>
    <w:pPr>
      <w:tabs>
        <w:tab w:val="right" w:pos="11424"/>
      </w:tabs>
      <w:snapToGrid w:val="0"/>
      <w:jc w:val="left"/>
    </w:pPr>
    <w:rPr>
      <w:rFonts w:ascii="华文隶书" w:eastAsia="华文隶书" w:hAnsi="Calibri" w:cs="Times New Roman"/>
      <w:sz w:val="36"/>
      <w:szCs w:val="36"/>
    </w:rPr>
  </w:style>
  <w:style w:type="character" w:customStyle="1" w:styleId="Char3">
    <w:name w:val="页眉处日期 Char"/>
    <w:basedOn w:val="a0"/>
    <w:link w:val="a7"/>
    <w:rsid w:val="00B10000"/>
    <w:rPr>
      <w:rFonts w:ascii="华文隶书" w:eastAsia="华文隶书" w:hAnsi="Calibri" w:cs="Times New Roman"/>
      <w:b/>
      <w:sz w:val="24"/>
      <w:szCs w:val="24"/>
    </w:rPr>
  </w:style>
  <w:style w:type="character" w:customStyle="1" w:styleId="Char4">
    <w:name w:val="页眉副标题 Char"/>
    <w:basedOn w:val="a0"/>
    <w:link w:val="a8"/>
    <w:rsid w:val="00B10000"/>
    <w:rPr>
      <w:rFonts w:ascii="华文隶书" w:eastAsia="华文隶书" w:hAnsi="Calibri" w:cs="Times New Roman"/>
      <w:sz w:val="36"/>
      <w:szCs w:val="36"/>
    </w:rPr>
  </w:style>
  <w:style w:type="paragraph" w:customStyle="1" w:styleId="a9">
    <w:name w:val="页眉的分析师"/>
    <w:basedOn w:val="a"/>
    <w:link w:val="Char5"/>
    <w:qFormat/>
    <w:rsid w:val="00B10000"/>
    <w:pPr>
      <w:tabs>
        <w:tab w:val="right" w:pos="11424"/>
      </w:tabs>
      <w:snapToGrid w:val="0"/>
      <w:spacing w:line="240" w:lineRule="exact"/>
      <w:jc w:val="right"/>
    </w:pPr>
    <w:rPr>
      <w:rFonts w:ascii="华文新魏" w:eastAsia="华文新魏" w:hAnsi="Calibri" w:cs="Times New Roman"/>
      <w:szCs w:val="21"/>
    </w:rPr>
  </w:style>
  <w:style w:type="character" w:customStyle="1" w:styleId="Char5">
    <w:name w:val="页眉的分析师 Char"/>
    <w:basedOn w:val="a0"/>
    <w:link w:val="a9"/>
    <w:rsid w:val="00B10000"/>
    <w:rPr>
      <w:rFonts w:ascii="华文新魏" w:eastAsia="华文新魏" w:hAnsi="Calibri" w:cs="Times New Roman"/>
      <w:szCs w:val="21"/>
    </w:rPr>
  </w:style>
  <w:style w:type="paragraph" w:customStyle="1" w:styleId="12">
    <w:name w:val="页眉12"/>
    <w:basedOn w:val="a3"/>
    <w:link w:val="12Char"/>
    <w:qFormat/>
    <w:rsid w:val="00B10000"/>
    <w:pPr>
      <w:pBdr>
        <w:bottom w:val="none" w:sz="0" w:space="0" w:color="auto"/>
      </w:pBdr>
      <w:tabs>
        <w:tab w:val="clear" w:pos="4153"/>
        <w:tab w:val="clear" w:pos="8306"/>
        <w:tab w:val="right" w:pos="11424"/>
      </w:tabs>
      <w:jc w:val="left"/>
    </w:pPr>
    <w:rPr>
      <w:rFonts w:ascii="Calibri" w:eastAsia="宋体" w:hAnsi="Calibri" w:cs="Times New Roman"/>
    </w:rPr>
  </w:style>
  <w:style w:type="character" w:customStyle="1" w:styleId="12Char">
    <w:name w:val="页眉12 Char"/>
    <w:basedOn w:val="Char"/>
    <w:link w:val="12"/>
    <w:rsid w:val="00B10000"/>
    <w:rPr>
      <w:rFonts w:ascii="Calibri" w:eastAsia="宋体" w:hAnsi="Calibri" w:cs="Times New Roman"/>
    </w:rPr>
  </w:style>
  <w:style w:type="paragraph" w:customStyle="1" w:styleId="2">
    <w:name w:val="页眉副标题2"/>
    <w:basedOn w:val="12"/>
    <w:link w:val="2Char"/>
    <w:qFormat/>
    <w:rsid w:val="00B10000"/>
    <w:pPr>
      <w:jc w:val="right"/>
    </w:pPr>
    <w:rPr>
      <w:rFonts w:ascii="华文隶书" w:eastAsia="华文隶书"/>
      <w:sz w:val="21"/>
      <w:szCs w:val="21"/>
    </w:rPr>
  </w:style>
  <w:style w:type="character" w:customStyle="1" w:styleId="2Char">
    <w:name w:val="页眉副标题2 Char"/>
    <w:basedOn w:val="12Char"/>
    <w:link w:val="2"/>
    <w:rsid w:val="00B10000"/>
    <w:rPr>
      <w:rFonts w:ascii="华文隶书" w:eastAsia="华文隶书"/>
      <w:szCs w:val="21"/>
    </w:rPr>
  </w:style>
  <w:style w:type="paragraph" w:customStyle="1" w:styleId="aa">
    <w:name w:val="特别声明格式"/>
    <w:basedOn w:val="a"/>
    <w:link w:val="Char6"/>
    <w:qFormat/>
    <w:rsid w:val="00B10000"/>
    <w:pPr>
      <w:spacing w:afterLines="100" w:line="240" w:lineRule="exact"/>
    </w:pPr>
    <w:rPr>
      <w:rFonts w:ascii="华文隶书" w:eastAsia="华文隶书" w:hAnsi="Calibri" w:cs="Times New Roman"/>
      <w:sz w:val="28"/>
    </w:rPr>
  </w:style>
  <w:style w:type="character" w:customStyle="1" w:styleId="Char6">
    <w:name w:val="特别声明格式 Char"/>
    <w:basedOn w:val="a0"/>
    <w:link w:val="aa"/>
    <w:rsid w:val="00B10000"/>
    <w:rPr>
      <w:rFonts w:ascii="华文隶书" w:eastAsia="华文隶书" w:hAnsi="Calibri" w:cs="Times New Roman"/>
      <w:sz w:val="28"/>
    </w:rPr>
  </w:style>
  <w:style w:type="paragraph" w:styleId="ab">
    <w:name w:val="Body Text"/>
    <w:basedOn w:val="a"/>
    <w:link w:val="Char7"/>
    <w:rsid w:val="00B10000"/>
    <w:pPr>
      <w:widowControl/>
      <w:spacing w:after="120" w:line="240" w:lineRule="exact"/>
      <w:ind w:left="3402"/>
    </w:pPr>
    <w:rPr>
      <w:rFonts w:ascii="Arial" w:eastAsia="KaiTi_GB2312" w:hAnsi="Arial" w:cs="Times New Roman"/>
      <w:color w:val="000000"/>
      <w:kern w:val="0"/>
      <w:szCs w:val="20"/>
      <w:lang w:val="en-GB"/>
    </w:rPr>
  </w:style>
  <w:style w:type="character" w:customStyle="1" w:styleId="Char7">
    <w:name w:val="正文文本 Char"/>
    <w:basedOn w:val="a0"/>
    <w:link w:val="ab"/>
    <w:rsid w:val="00B10000"/>
    <w:rPr>
      <w:rFonts w:ascii="Arial" w:eastAsia="KaiTi_GB2312" w:hAnsi="Arial" w:cs="Times New Roman"/>
      <w:color w:val="000000"/>
      <w:kern w:val="0"/>
      <w:szCs w:val="20"/>
      <w:lang w:val="en-GB"/>
    </w:rPr>
  </w:style>
  <w:style w:type="paragraph" w:customStyle="1" w:styleId="FootnoteNoline">
    <w:name w:val="FootnoteNoline"/>
    <w:basedOn w:val="a"/>
    <w:next w:val="ab"/>
    <w:rsid w:val="008840A4"/>
    <w:pPr>
      <w:widowControl/>
      <w:tabs>
        <w:tab w:val="right" w:pos="10065"/>
      </w:tabs>
      <w:spacing w:before="40" w:after="160"/>
      <w:ind w:left="3402"/>
    </w:pPr>
    <w:rPr>
      <w:rFonts w:ascii="Arial" w:eastAsia="KaiTi_GB2312" w:hAnsi="Arial" w:cs="Arial"/>
      <w:color w:val="003765"/>
      <w:kern w:val="0"/>
      <w:sz w:val="15"/>
      <w:szCs w:val="14"/>
      <w:lang w:val="en-GB"/>
    </w:rPr>
  </w:style>
  <w:style w:type="paragraph" w:customStyle="1" w:styleId="SubTitleLargeTable">
    <w:name w:val="SubTitleLargeTable"/>
    <w:rsid w:val="008840A4"/>
    <w:pPr>
      <w:keepNext/>
      <w:pBdr>
        <w:top w:val="single" w:sz="6" w:space="1" w:color="666699"/>
      </w:pBdr>
      <w:suppressAutoHyphens/>
      <w:spacing w:after="40" w:line="240" w:lineRule="atLeast"/>
    </w:pPr>
    <w:rPr>
      <w:rFonts w:ascii="Arial" w:eastAsia="KaiTi_GB2312" w:hAnsi="Arial" w:cs="Arial"/>
      <w:b/>
      <w:bCs/>
      <w:i/>
      <w:iCs/>
      <w:color w:val="003765"/>
      <w:kern w:val="0"/>
      <w:szCs w:val="21"/>
      <w:lang w:val="en-GB"/>
    </w:rPr>
  </w:style>
  <w:style w:type="paragraph" w:styleId="ac">
    <w:name w:val="Balloon Text"/>
    <w:basedOn w:val="a"/>
    <w:link w:val="Char8"/>
    <w:uiPriority w:val="99"/>
    <w:semiHidden/>
    <w:unhideWhenUsed/>
    <w:rsid w:val="008840A4"/>
    <w:rPr>
      <w:sz w:val="18"/>
      <w:szCs w:val="18"/>
    </w:rPr>
  </w:style>
  <w:style w:type="character" w:customStyle="1" w:styleId="Char8">
    <w:name w:val="批注框文本 Char"/>
    <w:basedOn w:val="a0"/>
    <w:link w:val="ac"/>
    <w:uiPriority w:val="99"/>
    <w:semiHidden/>
    <w:rsid w:val="008840A4"/>
    <w:rPr>
      <w:sz w:val="18"/>
      <w:szCs w:val="18"/>
    </w:rPr>
  </w:style>
  <w:style w:type="paragraph" w:customStyle="1" w:styleId="CoverBullet">
    <w:name w:val="Cover Bullet"/>
    <w:rsid w:val="008840A4"/>
    <w:pPr>
      <w:numPr>
        <w:numId w:val="3"/>
      </w:numPr>
      <w:spacing w:before="120" w:after="120"/>
      <w:ind w:left="357" w:hanging="357"/>
    </w:pPr>
    <w:rPr>
      <w:rFonts w:ascii="LucidaSans" w:eastAsia="宋体" w:hAnsi="LucidaSans" w:cs="Times New Roman"/>
      <w:b/>
      <w:bCs/>
      <w:kern w:val="0"/>
      <w:sz w:val="20"/>
      <w:szCs w:val="20"/>
      <w:lang w:val="en-GB"/>
    </w:rPr>
  </w:style>
  <w:style w:type="paragraph" w:styleId="ad">
    <w:name w:val="List Paragraph"/>
    <w:basedOn w:val="a"/>
    <w:uiPriority w:val="34"/>
    <w:qFormat/>
    <w:rsid w:val="002630FB"/>
    <w:pPr>
      <w:ind w:firstLineChars="200" w:firstLine="420"/>
    </w:pPr>
  </w:style>
</w:styles>
</file>

<file path=word/webSettings.xml><?xml version="1.0" encoding="utf-8"?>
<w:webSettings xmlns:r="http://schemas.openxmlformats.org/officeDocument/2006/relationships" xmlns:w="http://schemas.openxmlformats.org/wordprocessingml/2006/main">
  <w:divs>
    <w:div w:id="363555151">
      <w:bodyDiv w:val="1"/>
      <w:marLeft w:val="0"/>
      <w:marRight w:val="0"/>
      <w:marTop w:val="0"/>
      <w:marBottom w:val="0"/>
      <w:divBdr>
        <w:top w:val="none" w:sz="0" w:space="0" w:color="auto"/>
        <w:left w:val="none" w:sz="0" w:space="0" w:color="auto"/>
        <w:bottom w:val="none" w:sz="0" w:space="0" w:color="auto"/>
        <w:right w:val="none" w:sz="0" w:space="0" w:color="auto"/>
      </w:divBdr>
      <w:divsChild>
        <w:div w:id="574821741">
          <w:marLeft w:val="0"/>
          <w:marRight w:val="0"/>
          <w:marTop w:val="0"/>
          <w:marBottom w:val="0"/>
          <w:divBdr>
            <w:top w:val="none" w:sz="0" w:space="0" w:color="auto"/>
            <w:left w:val="none" w:sz="0" w:space="0" w:color="auto"/>
            <w:bottom w:val="none" w:sz="0" w:space="0" w:color="auto"/>
            <w:right w:val="none" w:sz="0" w:space="0" w:color="auto"/>
          </w:divBdr>
          <w:divsChild>
            <w:div w:id="1773016196">
              <w:marLeft w:val="0"/>
              <w:marRight w:val="0"/>
              <w:marTop w:val="0"/>
              <w:marBottom w:val="0"/>
              <w:divBdr>
                <w:top w:val="none" w:sz="0" w:space="0" w:color="auto"/>
                <w:left w:val="none" w:sz="0" w:space="0" w:color="auto"/>
                <w:bottom w:val="none" w:sz="0" w:space="0" w:color="auto"/>
                <w:right w:val="none" w:sz="0" w:space="0" w:color="auto"/>
              </w:divBdr>
              <w:divsChild>
                <w:div w:id="23751824">
                  <w:marLeft w:val="0"/>
                  <w:marRight w:val="0"/>
                  <w:marTop w:val="0"/>
                  <w:marBottom w:val="0"/>
                  <w:divBdr>
                    <w:top w:val="none" w:sz="0" w:space="0" w:color="auto"/>
                    <w:left w:val="none" w:sz="0" w:space="0" w:color="auto"/>
                    <w:bottom w:val="none" w:sz="0" w:space="0" w:color="auto"/>
                    <w:right w:val="none" w:sz="0" w:space="0" w:color="auto"/>
                  </w:divBdr>
                  <w:divsChild>
                    <w:div w:id="146107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072">
      <w:bodyDiv w:val="1"/>
      <w:marLeft w:val="0"/>
      <w:marRight w:val="0"/>
      <w:marTop w:val="0"/>
      <w:marBottom w:val="0"/>
      <w:divBdr>
        <w:top w:val="none" w:sz="0" w:space="0" w:color="auto"/>
        <w:left w:val="none" w:sz="0" w:space="0" w:color="auto"/>
        <w:bottom w:val="none" w:sz="0" w:space="0" w:color="auto"/>
        <w:right w:val="none" w:sz="0" w:space="0" w:color="auto"/>
      </w:divBdr>
      <w:divsChild>
        <w:div w:id="1181237964">
          <w:marLeft w:val="0"/>
          <w:marRight w:val="0"/>
          <w:marTop w:val="0"/>
          <w:marBottom w:val="0"/>
          <w:divBdr>
            <w:top w:val="none" w:sz="0" w:space="0" w:color="auto"/>
            <w:left w:val="none" w:sz="0" w:space="0" w:color="auto"/>
            <w:bottom w:val="none" w:sz="0" w:space="0" w:color="auto"/>
            <w:right w:val="none" w:sz="0" w:space="0" w:color="auto"/>
          </w:divBdr>
        </w:div>
      </w:divsChild>
    </w:div>
    <w:div w:id="1470048526">
      <w:bodyDiv w:val="1"/>
      <w:marLeft w:val="0"/>
      <w:marRight w:val="0"/>
      <w:marTop w:val="0"/>
      <w:marBottom w:val="0"/>
      <w:divBdr>
        <w:top w:val="none" w:sz="0" w:space="0" w:color="auto"/>
        <w:left w:val="none" w:sz="0" w:space="0" w:color="auto"/>
        <w:bottom w:val="none" w:sz="0" w:space="0" w:color="auto"/>
        <w:right w:val="none" w:sz="0" w:space="0" w:color="auto"/>
      </w:divBdr>
      <w:divsChild>
        <w:div w:id="911162431">
          <w:marLeft w:val="0"/>
          <w:marRight w:val="0"/>
          <w:marTop w:val="0"/>
          <w:marBottom w:val="0"/>
          <w:divBdr>
            <w:top w:val="none" w:sz="0" w:space="0" w:color="auto"/>
            <w:left w:val="none" w:sz="0" w:space="0" w:color="auto"/>
            <w:bottom w:val="none" w:sz="0" w:space="0" w:color="auto"/>
            <w:right w:val="none" w:sz="0" w:space="0" w:color="auto"/>
          </w:divBdr>
        </w:div>
      </w:divsChild>
    </w:div>
    <w:div w:id="1661277556">
      <w:bodyDiv w:val="1"/>
      <w:marLeft w:val="0"/>
      <w:marRight w:val="0"/>
      <w:marTop w:val="0"/>
      <w:marBottom w:val="0"/>
      <w:divBdr>
        <w:top w:val="none" w:sz="0" w:space="0" w:color="auto"/>
        <w:left w:val="none" w:sz="0" w:space="0" w:color="auto"/>
        <w:bottom w:val="none" w:sz="0" w:space="0" w:color="auto"/>
        <w:right w:val="none" w:sz="0" w:space="0" w:color="auto"/>
      </w:divBdr>
      <w:divsChild>
        <w:div w:id="1514106116">
          <w:marLeft w:val="0"/>
          <w:marRight w:val="0"/>
          <w:marTop w:val="0"/>
          <w:marBottom w:val="0"/>
          <w:divBdr>
            <w:top w:val="none" w:sz="0" w:space="0" w:color="auto"/>
            <w:left w:val="none" w:sz="0" w:space="0" w:color="auto"/>
            <w:bottom w:val="none" w:sz="0" w:space="0" w:color="auto"/>
            <w:right w:val="none" w:sz="0" w:space="0" w:color="auto"/>
          </w:divBdr>
        </w:div>
      </w:divsChild>
    </w:div>
    <w:div w:id="1736783196">
      <w:bodyDiv w:val="1"/>
      <w:marLeft w:val="0"/>
      <w:marRight w:val="0"/>
      <w:marTop w:val="0"/>
      <w:marBottom w:val="0"/>
      <w:divBdr>
        <w:top w:val="none" w:sz="0" w:space="0" w:color="auto"/>
        <w:left w:val="none" w:sz="0" w:space="0" w:color="auto"/>
        <w:bottom w:val="none" w:sz="0" w:space="0" w:color="auto"/>
        <w:right w:val="none" w:sz="0" w:space="0" w:color="auto"/>
      </w:divBdr>
      <w:divsChild>
        <w:div w:id="825165517">
          <w:marLeft w:val="0"/>
          <w:marRight w:val="0"/>
          <w:marTop w:val="0"/>
          <w:marBottom w:val="0"/>
          <w:divBdr>
            <w:top w:val="none" w:sz="0" w:space="0" w:color="auto"/>
            <w:left w:val="none" w:sz="0" w:space="0" w:color="auto"/>
            <w:bottom w:val="none" w:sz="0" w:space="0" w:color="auto"/>
            <w:right w:val="none" w:sz="0" w:space="0" w:color="auto"/>
          </w:divBdr>
          <w:divsChild>
            <w:div w:id="370689297">
              <w:marLeft w:val="0"/>
              <w:marRight w:val="0"/>
              <w:marTop w:val="0"/>
              <w:marBottom w:val="0"/>
              <w:divBdr>
                <w:top w:val="none" w:sz="0" w:space="0" w:color="auto"/>
                <w:left w:val="none" w:sz="0" w:space="0" w:color="auto"/>
                <w:bottom w:val="none" w:sz="0" w:space="0" w:color="auto"/>
                <w:right w:val="none" w:sz="0" w:space="0" w:color="auto"/>
              </w:divBdr>
              <w:divsChild>
                <w:div w:id="1188252631">
                  <w:marLeft w:val="0"/>
                  <w:marRight w:val="0"/>
                  <w:marTop w:val="0"/>
                  <w:marBottom w:val="0"/>
                  <w:divBdr>
                    <w:top w:val="none" w:sz="0" w:space="0" w:color="auto"/>
                    <w:left w:val="none" w:sz="0" w:space="0" w:color="auto"/>
                    <w:bottom w:val="none" w:sz="0" w:space="0" w:color="auto"/>
                    <w:right w:val="none" w:sz="0" w:space="0" w:color="auto"/>
                  </w:divBdr>
                  <w:divsChild>
                    <w:div w:id="1326931086">
                      <w:marLeft w:val="0"/>
                      <w:marRight w:val="0"/>
                      <w:marTop w:val="0"/>
                      <w:marBottom w:val="0"/>
                      <w:divBdr>
                        <w:top w:val="single" w:sz="6" w:space="15" w:color="C0D8F2"/>
                        <w:left w:val="single" w:sz="6" w:space="18" w:color="C0D8F2"/>
                        <w:bottom w:val="single" w:sz="6" w:space="11" w:color="C0D8F2"/>
                        <w:right w:val="single" w:sz="6" w:space="18" w:color="C0D8F2"/>
                      </w:divBdr>
                      <w:divsChild>
                        <w:div w:id="2019388215">
                          <w:marLeft w:val="0"/>
                          <w:marRight w:val="0"/>
                          <w:marTop w:val="0"/>
                          <w:marBottom w:val="0"/>
                          <w:divBdr>
                            <w:top w:val="none" w:sz="0" w:space="0" w:color="auto"/>
                            <w:left w:val="none" w:sz="0" w:space="0" w:color="auto"/>
                            <w:bottom w:val="none" w:sz="0" w:space="0" w:color="auto"/>
                            <w:right w:val="none" w:sz="0" w:space="0" w:color="auto"/>
                          </w:divBdr>
                          <w:divsChild>
                            <w:div w:id="211886874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1371</TotalTime>
  <Pages>6</Pages>
  <Words>924</Words>
  <Characters>5272</Characters>
  <Application>Microsoft Office Word</Application>
  <DocSecurity>0</DocSecurity>
  <Lines>43</Lines>
  <Paragraphs>12</Paragraphs>
  <ScaleCrop>false</ScaleCrop>
  <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shanghai vstone</dc:creator>
  <cp:lastModifiedBy>shanghai vstone</cp:lastModifiedBy>
  <cp:revision>761</cp:revision>
  <dcterms:created xsi:type="dcterms:W3CDTF">2013-11-22T08:48:00Z</dcterms:created>
  <dcterms:modified xsi:type="dcterms:W3CDTF">2014-03-07T09:25:00Z</dcterms:modified>
</cp:coreProperties>
</file>