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000" w:rsidRPr="00B30055" w:rsidRDefault="00B30055" w:rsidP="00104736">
      <w:pPr>
        <w:widowControl/>
        <w:spacing w:after="120"/>
        <w:ind w:left="3430"/>
        <w:rPr>
          <w:rFonts w:ascii="Arial" w:hAnsi="Arial" w:cs="Times New Roman"/>
          <w:b/>
          <w:bCs/>
          <w:color w:val="0070C0"/>
          <w:kern w:val="0"/>
          <w:sz w:val="24"/>
          <w:szCs w:val="20"/>
          <w:lang w:val="en-GB"/>
        </w:rPr>
      </w:pPr>
      <w:r w:rsidRPr="00104736">
        <w:rPr>
          <w:rFonts w:ascii="Arial" w:eastAsia="楷体_GB2312" w:hAnsi="Arial" w:hint="eastAsia"/>
          <w:b/>
          <w:bCs/>
          <w:color w:val="0070C0"/>
          <w:kern w:val="0"/>
          <w:sz w:val="24"/>
          <w:szCs w:val="20"/>
          <w:lang w:val="en-GB"/>
        </w:rPr>
        <w:t>导语</w:t>
      </w:r>
    </w:p>
    <w:p w:rsidR="00E612B5" w:rsidRDefault="009D720A" w:rsidP="009D720A">
      <w:pPr>
        <w:pStyle w:val="ac"/>
        <w:spacing w:after="163"/>
        <w:ind w:firstLineChars="200" w:firstLine="420"/>
        <w:rPr>
          <w:rFonts w:eastAsiaTheme="minorEastAsia"/>
          <w:color w:val="auto"/>
        </w:rPr>
      </w:pPr>
      <w:r>
        <w:rPr>
          <w:rFonts w:ascii="宋体" w:eastAsia="宋体" w:hAnsi="宋体" w:cs="宋体" w:hint="eastAsia"/>
          <w:color w:val="auto"/>
        </w:rPr>
        <w:t>经历了</w:t>
      </w:r>
      <w:r>
        <w:rPr>
          <w:rFonts w:eastAsiaTheme="minorEastAsia" w:hint="eastAsia"/>
          <w:color w:val="auto"/>
        </w:rPr>
        <w:t>2</w:t>
      </w:r>
      <w:r>
        <w:rPr>
          <w:rFonts w:eastAsiaTheme="minorEastAsia" w:hint="eastAsia"/>
          <w:color w:val="auto"/>
        </w:rPr>
        <w:t>月份市场的震荡回调后，</w:t>
      </w:r>
      <w:r w:rsidR="004D02C3">
        <w:rPr>
          <w:rFonts w:eastAsiaTheme="minorEastAsia" w:hint="eastAsia"/>
          <w:color w:val="auto"/>
        </w:rPr>
        <w:t>部分</w:t>
      </w:r>
      <w:r>
        <w:rPr>
          <w:rFonts w:eastAsiaTheme="minorEastAsia" w:hint="eastAsia"/>
          <w:color w:val="auto"/>
        </w:rPr>
        <w:t>对冲基金经理们对后市</w:t>
      </w:r>
      <w:r w:rsidRPr="00285F2E">
        <w:rPr>
          <w:rFonts w:eastAsiaTheme="minorEastAsia" w:hint="eastAsia"/>
          <w:color w:val="auto"/>
        </w:rPr>
        <w:t>态度</w:t>
      </w:r>
      <w:r>
        <w:rPr>
          <w:rFonts w:eastAsiaTheme="minorEastAsia" w:hint="eastAsia"/>
          <w:color w:val="auto"/>
        </w:rPr>
        <w:t>转向谨慎，认为</w:t>
      </w:r>
      <w:r w:rsidRPr="00285F2E">
        <w:rPr>
          <w:rFonts w:eastAsiaTheme="minorEastAsia" w:hint="eastAsia"/>
          <w:color w:val="auto"/>
        </w:rPr>
        <w:t>春季行情可能</w:t>
      </w:r>
      <w:r>
        <w:rPr>
          <w:rFonts w:eastAsiaTheme="minorEastAsia" w:hint="eastAsia"/>
          <w:color w:val="auto"/>
        </w:rPr>
        <w:t>已</w:t>
      </w:r>
      <w:r w:rsidRPr="00285F2E">
        <w:rPr>
          <w:rFonts w:eastAsiaTheme="minorEastAsia" w:hint="eastAsia"/>
          <w:color w:val="auto"/>
        </w:rPr>
        <w:t>进入尾声</w:t>
      </w:r>
      <w:r>
        <w:rPr>
          <w:rFonts w:eastAsiaTheme="minorEastAsia" w:hint="eastAsia"/>
          <w:color w:val="auto"/>
        </w:rPr>
        <w:t>，大盘阶段性顶部已现，</w:t>
      </w:r>
      <w:r>
        <w:rPr>
          <w:rFonts w:ascii="宋体" w:eastAsia="宋体" w:hAnsi="宋体" w:cs="宋体" w:hint="eastAsia"/>
          <w:color w:val="auto"/>
        </w:rPr>
        <w:t>对于创业</w:t>
      </w:r>
      <w:proofErr w:type="gramStart"/>
      <w:r>
        <w:rPr>
          <w:rFonts w:ascii="宋体" w:eastAsia="宋体" w:hAnsi="宋体" w:cs="宋体" w:hint="eastAsia"/>
          <w:color w:val="auto"/>
        </w:rPr>
        <w:t>板采取</w:t>
      </w:r>
      <w:proofErr w:type="gramEnd"/>
      <w:r w:rsidR="004D02C3">
        <w:rPr>
          <w:rFonts w:ascii="宋体" w:eastAsia="宋体" w:hAnsi="宋体" w:cs="宋体" w:hint="eastAsia"/>
          <w:color w:val="auto"/>
        </w:rPr>
        <w:t>适度</w:t>
      </w:r>
      <w:r>
        <w:rPr>
          <w:rFonts w:ascii="宋体" w:eastAsia="宋体" w:hAnsi="宋体" w:cs="宋体" w:hint="eastAsia"/>
          <w:color w:val="auto"/>
        </w:rPr>
        <w:t>规避态度</w:t>
      </w:r>
      <w:r w:rsidRPr="00285F2E">
        <w:rPr>
          <w:rFonts w:eastAsiaTheme="minorEastAsia" w:hint="eastAsia"/>
          <w:color w:val="auto"/>
        </w:rPr>
        <w:t>。</w:t>
      </w:r>
      <w:r>
        <w:rPr>
          <w:rFonts w:eastAsiaTheme="minorEastAsia" w:hint="eastAsia"/>
          <w:color w:val="auto"/>
        </w:rPr>
        <w:t>结合两会期间政策红利的释放</w:t>
      </w:r>
      <w:r w:rsidR="004D02C3">
        <w:rPr>
          <w:rFonts w:eastAsiaTheme="minorEastAsia" w:hint="eastAsia"/>
          <w:color w:val="auto"/>
        </w:rPr>
        <w:t>，有管理人持乐观态度；</w:t>
      </w:r>
      <w:r>
        <w:rPr>
          <w:rFonts w:eastAsiaTheme="minorEastAsia" w:hint="eastAsia"/>
          <w:color w:val="auto"/>
        </w:rPr>
        <w:t>处于估值洼地的蓝筹股</w:t>
      </w:r>
      <w:r w:rsidR="004D02C3">
        <w:rPr>
          <w:rFonts w:eastAsiaTheme="minorEastAsia" w:hint="eastAsia"/>
          <w:color w:val="auto"/>
        </w:rPr>
        <w:t>也</w:t>
      </w:r>
      <w:r>
        <w:rPr>
          <w:rFonts w:eastAsiaTheme="minorEastAsia" w:hint="eastAsia"/>
          <w:color w:val="auto"/>
        </w:rPr>
        <w:t>吸引了一定关注。</w:t>
      </w:r>
    </w:p>
    <w:p w:rsidR="009D720A" w:rsidRPr="001F4BB3" w:rsidRDefault="009D720A" w:rsidP="009D720A">
      <w:pPr>
        <w:pStyle w:val="ac"/>
        <w:spacing w:after="163"/>
        <w:ind w:firstLineChars="200" w:firstLine="420"/>
        <w:rPr>
          <w:rFonts w:eastAsiaTheme="minorEastAsia"/>
          <w:color w:val="auto"/>
        </w:rPr>
      </w:pPr>
      <w:r w:rsidRPr="009D720A">
        <w:rPr>
          <w:rFonts w:eastAsiaTheme="minorEastAsia" w:hint="eastAsia"/>
          <w:color w:val="auto"/>
        </w:rPr>
        <w:t>2014</w:t>
      </w:r>
      <w:r w:rsidRPr="009D720A">
        <w:rPr>
          <w:rFonts w:eastAsiaTheme="minorEastAsia" w:hint="eastAsia"/>
          <w:color w:val="auto"/>
        </w:rPr>
        <w:t>年开局，</w:t>
      </w:r>
      <w:r w:rsidRPr="001F4BB3">
        <w:rPr>
          <w:rFonts w:eastAsiaTheme="minorEastAsia" w:hint="eastAsia"/>
          <w:color w:val="auto"/>
        </w:rPr>
        <w:t>A</w:t>
      </w:r>
      <w:r w:rsidRPr="001F4BB3">
        <w:rPr>
          <w:rFonts w:eastAsiaTheme="minorEastAsia" w:hint="eastAsia"/>
          <w:color w:val="auto"/>
        </w:rPr>
        <w:t>股依旧上演结构性行情，主板市场表现低迷，创业板指则涨势如虹。各类金融理财产品管理人对</w:t>
      </w:r>
      <w:proofErr w:type="gramStart"/>
      <w:r w:rsidRPr="001F4BB3">
        <w:rPr>
          <w:rFonts w:eastAsiaTheme="minorEastAsia" w:hint="eastAsia"/>
          <w:color w:val="auto"/>
        </w:rPr>
        <w:t>创业板持观望</w:t>
      </w:r>
      <w:proofErr w:type="gramEnd"/>
      <w:r w:rsidRPr="001F4BB3">
        <w:rPr>
          <w:rFonts w:eastAsiaTheme="minorEastAsia" w:hint="eastAsia"/>
          <w:color w:val="auto"/>
        </w:rPr>
        <w:t>态度，因而</w:t>
      </w:r>
      <w:r w:rsidR="00541A1F">
        <w:rPr>
          <w:rFonts w:eastAsiaTheme="minorEastAsia" w:hint="eastAsia"/>
          <w:color w:val="auto"/>
        </w:rPr>
        <w:t>1</w:t>
      </w:r>
      <w:r w:rsidRPr="001F4BB3">
        <w:rPr>
          <w:rFonts w:eastAsiaTheme="minorEastAsia" w:hint="eastAsia"/>
          <w:color w:val="auto"/>
        </w:rPr>
        <w:t>月份金融产品普遍收益平缓，其中股票多头策略对冲基金管理</w:t>
      </w:r>
      <w:r w:rsidRPr="001C250E">
        <w:rPr>
          <w:rFonts w:eastAsiaTheme="minorEastAsia" w:hint="eastAsia"/>
          <w:color w:val="auto"/>
        </w:rPr>
        <w:t>型</w:t>
      </w:r>
      <w:r>
        <w:rPr>
          <w:rFonts w:eastAsiaTheme="minorEastAsia" w:hint="eastAsia"/>
          <w:color w:val="auto"/>
        </w:rPr>
        <w:t>平均上涨</w:t>
      </w:r>
      <w:r w:rsidRPr="001C250E">
        <w:rPr>
          <w:rFonts w:eastAsiaTheme="minorEastAsia" w:hint="eastAsia"/>
          <w:color w:val="auto"/>
        </w:rPr>
        <w:t>1.78%</w:t>
      </w:r>
      <w:r w:rsidRPr="001F4BB3">
        <w:rPr>
          <w:rFonts w:eastAsiaTheme="minorEastAsia" w:hint="eastAsia"/>
          <w:color w:val="auto"/>
        </w:rPr>
        <w:t>，分级</w:t>
      </w:r>
      <w:proofErr w:type="gramStart"/>
      <w:r w:rsidRPr="001F4BB3">
        <w:rPr>
          <w:rFonts w:eastAsiaTheme="minorEastAsia" w:hint="eastAsia"/>
          <w:color w:val="auto"/>
        </w:rPr>
        <w:t>型平均</w:t>
      </w:r>
      <w:proofErr w:type="gramEnd"/>
      <w:r w:rsidRPr="001F4BB3">
        <w:rPr>
          <w:rFonts w:eastAsiaTheme="minorEastAsia" w:hint="eastAsia"/>
          <w:color w:val="auto"/>
        </w:rPr>
        <w:t>涨</w:t>
      </w:r>
      <w:r>
        <w:rPr>
          <w:rFonts w:eastAsiaTheme="minorEastAsia" w:hint="eastAsia"/>
          <w:color w:val="auto"/>
        </w:rPr>
        <w:t>2.06%</w:t>
      </w:r>
      <w:r w:rsidRPr="001F4BB3">
        <w:rPr>
          <w:rFonts w:eastAsiaTheme="minorEastAsia" w:hint="eastAsia"/>
          <w:color w:val="auto"/>
        </w:rPr>
        <w:t>，绝大多数产品战胜同期主板市场。具备较明显成长风格的对冲基金在创业板大涨的助推下强势领跑。鼎力、彤源、尚雅等管理人旗下有数只产品跻身同业前</w:t>
      </w:r>
      <w:r w:rsidRPr="001F4BB3">
        <w:rPr>
          <w:rFonts w:eastAsiaTheme="minorEastAsia" w:hint="eastAsia"/>
          <w:color w:val="auto"/>
        </w:rPr>
        <w:t>20</w:t>
      </w:r>
      <w:r w:rsidRPr="001F4BB3">
        <w:rPr>
          <w:rFonts w:eastAsiaTheme="minorEastAsia" w:hint="eastAsia"/>
          <w:color w:val="auto"/>
        </w:rPr>
        <w:t>，可谓表现抢眼；深圳尊道投资旗下的</w:t>
      </w:r>
      <w:r w:rsidRPr="001F4BB3">
        <w:rPr>
          <w:rFonts w:eastAsiaTheme="minorEastAsia" w:hint="eastAsia"/>
          <w:color w:val="auto"/>
        </w:rPr>
        <w:t>3</w:t>
      </w:r>
      <w:r w:rsidRPr="001F4BB3">
        <w:rPr>
          <w:rFonts w:eastAsiaTheme="minorEastAsia" w:hint="eastAsia"/>
          <w:color w:val="auto"/>
        </w:rPr>
        <w:t>只产品在</w:t>
      </w:r>
      <w:r w:rsidR="00B7645C">
        <w:rPr>
          <w:rFonts w:eastAsiaTheme="minorEastAsia" w:hint="eastAsia"/>
          <w:color w:val="auto"/>
        </w:rPr>
        <w:t>非传统</w:t>
      </w:r>
      <w:r w:rsidRPr="001F4BB3">
        <w:rPr>
          <w:rFonts w:eastAsiaTheme="minorEastAsia" w:hint="eastAsia"/>
          <w:color w:val="auto"/>
        </w:rPr>
        <w:t>策略中的高、低风险类别中均拔得头筹。</w:t>
      </w:r>
      <w:r w:rsidR="000D2659" w:rsidRPr="001F4BB3">
        <w:rPr>
          <w:rFonts w:eastAsiaTheme="minorEastAsia" w:hint="eastAsia"/>
          <w:color w:val="auto"/>
        </w:rPr>
        <w:t>去年持续业绩领先的泽熙、创势翔依旧保持水准，代表产品均赚得</w:t>
      </w:r>
      <w:r w:rsidR="000D2659" w:rsidRPr="001F4BB3">
        <w:rPr>
          <w:rFonts w:eastAsiaTheme="minorEastAsia" w:hint="eastAsia"/>
          <w:color w:val="auto"/>
        </w:rPr>
        <w:t>15%</w:t>
      </w:r>
      <w:r w:rsidR="000D2659" w:rsidRPr="001F4BB3">
        <w:rPr>
          <w:rFonts w:eastAsiaTheme="minorEastAsia" w:hint="eastAsia"/>
          <w:color w:val="auto"/>
        </w:rPr>
        <w:t>上下的月度回报。此外，精熙、</w:t>
      </w:r>
      <w:r w:rsidR="001F4BB3" w:rsidRPr="001F4BB3">
        <w:rPr>
          <w:rFonts w:eastAsiaTheme="minorEastAsia" w:hint="eastAsia"/>
          <w:color w:val="auto"/>
        </w:rPr>
        <w:t>凯石</w:t>
      </w:r>
      <w:r w:rsidR="000D2659" w:rsidRPr="001F4BB3">
        <w:rPr>
          <w:rFonts w:eastAsiaTheme="minorEastAsia" w:hint="eastAsia"/>
          <w:color w:val="auto"/>
        </w:rPr>
        <w:t>、</w:t>
      </w:r>
      <w:r w:rsidR="001F4BB3" w:rsidRPr="001F4BB3">
        <w:rPr>
          <w:rFonts w:eastAsiaTheme="minorEastAsia" w:hint="eastAsia"/>
          <w:color w:val="auto"/>
        </w:rPr>
        <w:t>世通</w:t>
      </w:r>
      <w:r w:rsidR="000D2659" w:rsidRPr="001F4BB3">
        <w:rPr>
          <w:rFonts w:eastAsiaTheme="minorEastAsia" w:hint="eastAsia"/>
          <w:color w:val="auto"/>
        </w:rPr>
        <w:t>、</w:t>
      </w:r>
      <w:r w:rsidR="001F4BB3" w:rsidRPr="001F4BB3">
        <w:rPr>
          <w:rFonts w:eastAsiaTheme="minorEastAsia" w:hint="eastAsia"/>
          <w:color w:val="auto"/>
        </w:rPr>
        <w:t>穿石</w:t>
      </w:r>
      <w:r w:rsidR="004D02C3">
        <w:rPr>
          <w:rFonts w:eastAsiaTheme="minorEastAsia" w:hint="eastAsia"/>
          <w:color w:val="auto"/>
        </w:rPr>
        <w:t>等</w:t>
      </w:r>
      <w:r w:rsidR="000D2659" w:rsidRPr="001F4BB3">
        <w:rPr>
          <w:rFonts w:eastAsiaTheme="minorEastAsia" w:hint="eastAsia"/>
          <w:color w:val="auto"/>
        </w:rPr>
        <w:t>对冲基金公司也出现在同业</w:t>
      </w:r>
      <w:r w:rsidR="000D2659" w:rsidRPr="001F4BB3">
        <w:rPr>
          <w:rFonts w:eastAsiaTheme="minorEastAsia" w:hint="eastAsia"/>
          <w:color w:val="auto"/>
        </w:rPr>
        <w:t>TOP20</w:t>
      </w:r>
      <w:r w:rsidR="000D2659" w:rsidRPr="001F4BB3">
        <w:rPr>
          <w:rFonts w:eastAsiaTheme="minorEastAsia" w:hint="eastAsia"/>
          <w:color w:val="auto"/>
        </w:rPr>
        <w:t>榜单中。</w:t>
      </w:r>
    </w:p>
    <w:p w:rsidR="001F4BB3" w:rsidRPr="001F4BB3" w:rsidRDefault="001F4BB3" w:rsidP="009D720A">
      <w:pPr>
        <w:pStyle w:val="ac"/>
        <w:spacing w:after="163"/>
        <w:ind w:firstLineChars="200" w:firstLine="420"/>
        <w:rPr>
          <w:rFonts w:eastAsiaTheme="minorEastAsia"/>
          <w:color w:val="auto"/>
        </w:rPr>
      </w:pPr>
      <w:r w:rsidRPr="001F4BB3">
        <w:rPr>
          <w:rFonts w:eastAsiaTheme="minorEastAsia" w:hint="eastAsia"/>
          <w:color w:val="auto"/>
        </w:rPr>
        <w:t>目前依托两会背景，市场关注点部分集中于深化改革方面，以中石化为代表的国企改革更是推动蓝筹股相对走强。此外，</w:t>
      </w:r>
      <w:r w:rsidRPr="001F4BB3">
        <w:rPr>
          <w:rFonts w:eastAsiaTheme="minorEastAsia" w:hint="eastAsia"/>
          <w:color w:val="auto"/>
        </w:rPr>
        <w:t>A</w:t>
      </w:r>
      <w:r w:rsidRPr="001F4BB3">
        <w:rPr>
          <w:rFonts w:eastAsiaTheme="minorEastAsia" w:hint="eastAsia"/>
          <w:color w:val="auto"/>
        </w:rPr>
        <w:t>股推进</w:t>
      </w:r>
      <w:r w:rsidRPr="001F4BB3">
        <w:rPr>
          <w:rFonts w:eastAsiaTheme="minorEastAsia"/>
          <w:color w:val="auto"/>
        </w:rPr>
        <w:t>“</w:t>
      </w:r>
      <w:r w:rsidRPr="001F4BB3">
        <w:rPr>
          <w:rFonts w:eastAsiaTheme="minorEastAsia" w:hint="eastAsia"/>
          <w:color w:val="auto"/>
        </w:rPr>
        <w:t>T+0</w:t>
      </w:r>
      <w:r w:rsidRPr="001F4BB3">
        <w:rPr>
          <w:rFonts w:eastAsiaTheme="minorEastAsia" w:hint="eastAsia"/>
          <w:color w:val="auto"/>
        </w:rPr>
        <w:t>”试点的预期有望短期进一步对大盘蓝筹构成支撑。因此，建议阶段适当增配涉及国企改革主要领域的蓝筹风格基金。具体来看，</w:t>
      </w:r>
      <w:r>
        <w:rPr>
          <w:rFonts w:eastAsiaTheme="minorEastAsia" w:hint="eastAsia"/>
          <w:color w:val="auto"/>
        </w:rPr>
        <w:t>短期内与国企改革</w:t>
      </w:r>
      <w:r w:rsidRPr="001F4BB3">
        <w:rPr>
          <w:rFonts w:eastAsiaTheme="minorEastAsia" w:hint="eastAsia"/>
          <w:color w:val="auto"/>
        </w:rPr>
        <w:t>相关的石油化工、电信、电力、汽车、化工、</w:t>
      </w:r>
      <w:r w:rsidR="00E46957">
        <w:rPr>
          <w:rFonts w:eastAsiaTheme="minorEastAsia" w:hint="eastAsia"/>
          <w:color w:val="auto"/>
        </w:rPr>
        <w:t>医药生物等多个板块及个股的投资机会将会涌现，</w:t>
      </w:r>
      <w:r w:rsidRPr="001F4BB3">
        <w:rPr>
          <w:rFonts w:eastAsiaTheme="minorEastAsia" w:hint="eastAsia"/>
          <w:color w:val="auto"/>
        </w:rPr>
        <w:t>建议投资者以擅于把握主题型性</w:t>
      </w:r>
      <w:r w:rsidRPr="001F4BB3">
        <w:rPr>
          <w:rFonts w:eastAsiaTheme="minorEastAsia"/>
          <w:color w:val="auto"/>
        </w:rPr>
        <w:t>/</w:t>
      </w:r>
      <w:r w:rsidRPr="001F4BB3">
        <w:rPr>
          <w:rFonts w:eastAsiaTheme="minorEastAsia" w:hint="eastAsia"/>
          <w:color w:val="auto"/>
        </w:rPr>
        <w:t>结构性投资机会的灵活型对冲基金</w:t>
      </w:r>
      <w:r>
        <w:rPr>
          <w:rFonts w:eastAsiaTheme="minorEastAsia" w:hint="eastAsia"/>
          <w:color w:val="auto"/>
        </w:rPr>
        <w:t>为核心，同时阶段性</w:t>
      </w:r>
      <w:r w:rsidRPr="001F4BB3">
        <w:rPr>
          <w:rFonts w:eastAsiaTheme="minorEastAsia" w:hint="eastAsia"/>
          <w:color w:val="auto"/>
        </w:rPr>
        <w:t>增配风格偏蓝筹的基金品种，从而有效</w:t>
      </w:r>
      <w:r w:rsidR="00E46957">
        <w:rPr>
          <w:rFonts w:eastAsiaTheme="minorEastAsia" w:hint="eastAsia"/>
          <w:color w:val="auto"/>
        </w:rPr>
        <w:t>把握蓝筹股投资机会，</w:t>
      </w:r>
      <w:r w:rsidRPr="001F4BB3">
        <w:rPr>
          <w:rFonts w:eastAsiaTheme="minorEastAsia" w:hint="eastAsia"/>
          <w:color w:val="auto"/>
        </w:rPr>
        <w:t>提高组合向上波动的弹性。</w:t>
      </w:r>
    </w:p>
    <w:p w:rsidR="00B30055" w:rsidRPr="002E440A" w:rsidRDefault="00B30055" w:rsidP="00B30055">
      <w:pPr>
        <w:widowControl/>
        <w:spacing w:after="120"/>
        <w:ind w:left="3430"/>
      </w:pPr>
      <w:r w:rsidRPr="00F210A0">
        <w:rPr>
          <w:rFonts w:ascii="Arial" w:eastAsia="楷体_GB2312" w:hAnsi="Arial" w:hint="eastAsia"/>
          <w:b/>
          <w:bCs/>
          <w:color w:val="0070C0"/>
          <w:kern w:val="0"/>
          <w:sz w:val="24"/>
          <w:szCs w:val="20"/>
          <w:lang w:val="en-GB"/>
        </w:rPr>
        <w:t>一、行业最新动态</w:t>
      </w:r>
    </w:p>
    <w:p w:rsidR="00B30055" w:rsidRPr="002E440A" w:rsidRDefault="002E19B7" w:rsidP="00B30055">
      <w:pPr>
        <w:widowControl/>
        <w:spacing w:after="120"/>
        <w:ind w:left="3430"/>
        <w:rPr>
          <w:rFonts w:ascii="Arial" w:eastAsia="楷体_GB2312" w:hAnsi="Arial"/>
          <w:b/>
          <w:bCs/>
          <w:color w:val="0070C0"/>
          <w:kern w:val="0"/>
          <w:szCs w:val="21"/>
          <w:lang w:val="en-GB"/>
        </w:rPr>
      </w:pPr>
      <w:r>
        <w:rPr>
          <w:rFonts w:ascii="宋体" w:eastAsia="宋体" w:hAnsi="宋体" w:cs="宋体" w:hint="eastAsia"/>
          <w:b/>
          <w:bCs/>
          <w:color w:val="0070C0"/>
          <w:kern w:val="0"/>
          <w:szCs w:val="21"/>
        </w:rPr>
        <w:t>对冲基金准入门槛将取消</w:t>
      </w:r>
      <w:r w:rsidR="00AD0901">
        <w:rPr>
          <w:rFonts w:ascii="宋体" w:eastAsia="宋体" w:hAnsi="宋体" w:cs="宋体" w:hint="eastAsia"/>
          <w:b/>
          <w:bCs/>
          <w:color w:val="0070C0"/>
          <w:kern w:val="0"/>
          <w:szCs w:val="21"/>
        </w:rPr>
        <w:t>，大基金踊跃小基金观望</w:t>
      </w:r>
    </w:p>
    <w:p w:rsidR="009F22BD" w:rsidRPr="009F22BD" w:rsidRDefault="002E19B7" w:rsidP="009F22BD">
      <w:pPr>
        <w:pStyle w:val="ac"/>
        <w:numPr>
          <w:ilvl w:val="4"/>
          <w:numId w:val="4"/>
        </w:numPr>
        <w:spacing w:after="163"/>
        <w:rPr>
          <w:szCs w:val="21"/>
        </w:rPr>
      </w:pPr>
      <w:r w:rsidRPr="002E19B7">
        <w:rPr>
          <w:rFonts w:ascii="宋体" w:eastAsia="宋体" w:hAnsi="宋体" w:cs="宋体" w:hint="eastAsia"/>
          <w:szCs w:val="21"/>
        </w:rPr>
        <w:t>中国证监会新闻发言人张晓军</w:t>
      </w:r>
      <w:r w:rsidRPr="002E19B7">
        <w:rPr>
          <w:rFonts w:hint="eastAsia"/>
          <w:szCs w:val="21"/>
        </w:rPr>
        <w:t>2</w:t>
      </w:r>
      <w:r w:rsidRPr="002E19B7">
        <w:rPr>
          <w:rFonts w:ascii="宋体" w:eastAsia="宋体" w:hAnsi="宋体" w:cs="宋体" w:hint="eastAsia"/>
          <w:szCs w:val="21"/>
        </w:rPr>
        <w:t>月</w:t>
      </w:r>
      <w:r w:rsidRPr="002E19B7">
        <w:rPr>
          <w:rFonts w:hint="eastAsia"/>
          <w:szCs w:val="21"/>
        </w:rPr>
        <w:t>28</w:t>
      </w:r>
      <w:r w:rsidRPr="002E19B7">
        <w:rPr>
          <w:rFonts w:ascii="宋体" w:eastAsia="宋体" w:hAnsi="宋体" w:cs="宋体" w:hint="eastAsia"/>
          <w:szCs w:val="21"/>
        </w:rPr>
        <w:t>日表示，证监会正在探索建立包括私募证券基金和私募股权基金等各类私募基金，在行业自律基础上的适度监管体制，即对各类私募基金及其管理人不设准入门槛，由其在自主设立后向基金业协会进行事后登记备案；证监会根据基金业协会的私募基金登记备案信息进行事后监测和监管。</w:t>
      </w:r>
      <w:r w:rsidR="00C03587">
        <w:rPr>
          <w:rFonts w:ascii="宋体" w:eastAsia="宋体" w:hAnsi="宋体" w:cs="宋体" w:hint="eastAsia"/>
          <w:szCs w:val="21"/>
        </w:rPr>
        <w:t>目前，</w:t>
      </w:r>
      <w:r w:rsidR="00C03587" w:rsidRPr="00C03587">
        <w:rPr>
          <w:rFonts w:ascii="宋体" w:eastAsia="宋体" w:hAnsi="宋体" w:cs="宋体" w:hint="eastAsia"/>
          <w:szCs w:val="21"/>
        </w:rPr>
        <w:t>大型老牌私募普遍兴致</w:t>
      </w:r>
      <w:r w:rsidR="00C03587">
        <w:rPr>
          <w:rFonts w:ascii="宋体" w:eastAsia="宋体" w:hAnsi="宋体" w:cs="宋体" w:hint="eastAsia"/>
          <w:szCs w:val="21"/>
        </w:rPr>
        <w:t>高涨，登记备案动作迅速，</w:t>
      </w:r>
      <w:r w:rsidR="00C03587" w:rsidRPr="00C03587">
        <w:rPr>
          <w:rFonts w:ascii="宋体" w:eastAsia="宋体" w:hAnsi="宋体" w:cs="宋体" w:hint="eastAsia"/>
          <w:szCs w:val="21"/>
        </w:rPr>
        <w:t>而一些刚成立的小型私募</w:t>
      </w:r>
      <w:r w:rsidR="00C03587">
        <w:rPr>
          <w:rFonts w:ascii="宋体" w:eastAsia="宋体" w:hAnsi="宋体" w:cs="宋体" w:hint="eastAsia"/>
          <w:szCs w:val="21"/>
        </w:rPr>
        <w:t>尚未看到明显</w:t>
      </w:r>
      <w:r w:rsidR="00C03587" w:rsidRPr="00C03587">
        <w:rPr>
          <w:rFonts w:ascii="宋体" w:eastAsia="宋体" w:hAnsi="宋体" w:cs="宋体" w:hint="eastAsia"/>
          <w:szCs w:val="21"/>
        </w:rPr>
        <w:t>利好</w:t>
      </w:r>
      <w:r w:rsidR="00C03587">
        <w:rPr>
          <w:rFonts w:ascii="宋体" w:eastAsia="宋体" w:hAnsi="宋体" w:cs="宋体" w:hint="eastAsia"/>
          <w:szCs w:val="21"/>
        </w:rPr>
        <w:t>，采取</w:t>
      </w:r>
      <w:r w:rsidR="00C03587" w:rsidRPr="00C03587">
        <w:rPr>
          <w:rFonts w:ascii="宋体" w:eastAsia="宋体" w:hAnsi="宋体" w:cs="宋体" w:hint="eastAsia"/>
          <w:szCs w:val="21"/>
        </w:rPr>
        <w:t>观望态度。</w:t>
      </w:r>
    </w:p>
    <w:p w:rsidR="00B30055" w:rsidRPr="008C1B37" w:rsidRDefault="00B30055" w:rsidP="009F22BD">
      <w:pPr>
        <w:pStyle w:val="ac"/>
        <w:numPr>
          <w:ilvl w:val="4"/>
          <w:numId w:val="4"/>
        </w:numPr>
        <w:spacing w:after="163"/>
        <w:rPr>
          <w:szCs w:val="21"/>
        </w:rPr>
      </w:pPr>
      <w:r w:rsidRPr="009F22BD">
        <w:rPr>
          <w:rFonts w:hint="eastAsia"/>
          <w:b/>
          <w:szCs w:val="21"/>
        </w:rPr>
        <w:t>凯石点评：</w:t>
      </w:r>
      <w:r w:rsidR="002E19B7" w:rsidRPr="002E19B7">
        <w:rPr>
          <w:rFonts w:ascii="宋体" w:eastAsia="宋体" w:hAnsi="宋体" w:cs="宋体" w:hint="eastAsia"/>
          <w:color w:val="auto"/>
        </w:rPr>
        <w:t>完成登记备案的私募基金再发新产品可以向基金业协会进行申报，获得批复后即可开设证券账户。与原有的信托等通道相比，不仅节约成本，也可提升操作效率。此外，证监会提出的事后监管思路应该也会给私募基金更大的自由度。</w:t>
      </w:r>
    </w:p>
    <w:p w:rsidR="002C1F36" w:rsidRDefault="006A486C" w:rsidP="002C1F36">
      <w:pPr>
        <w:widowControl/>
        <w:spacing w:after="120"/>
        <w:ind w:left="3430"/>
        <w:rPr>
          <w:rFonts w:ascii="宋体" w:eastAsia="宋体" w:hAnsi="宋体" w:cs="宋体"/>
          <w:b/>
          <w:bCs/>
          <w:color w:val="0070C0"/>
          <w:kern w:val="0"/>
          <w:szCs w:val="21"/>
        </w:rPr>
      </w:pPr>
      <w:r w:rsidRPr="006A486C">
        <w:rPr>
          <w:rFonts w:ascii="宋体" w:eastAsia="宋体" w:hAnsi="宋体" w:cs="宋体" w:hint="eastAsia"/>
          <w:b/>
          <w:bCs/>
          <w:color w:val="0070C0"/>
          <w:kern w:val="0"/>
          <w:szCs w:val="21"/>
        </w:rPr>
        <w:t>中欧温顿基金公司非私募正规军</w:t>
      </w:r>
    </w:p>
    <w:p w:rsidR="002C1F36" w:rsidRPr="00CE19DC" w:rsidRDefault="006A486C" w:rsidP="002C1F36">
      <w:pPr>
        <w:pStyle w:val="ac"/>
        <w:numPr>
          <w:ilvl w:val="4"/>
          <w:numId w:val="4"/>
        </w:numPr>
        <w:spacing w:after="163"/>
        <w:rPr>
          <w:szCs w:val="21"/>
        </w:rPr>
      </w:pPr>
      <w:r w:rsidRPr="006A486C">
        <w:rPr>
          <w:rFonts w:ascii="宋体" w:eastAsia="宋体" w:hAnsi="宋体" w:cs="宋体" w:hint="eastAsia"/>
        </w:rPr>
        <w:t>日前，中欧温顿基金管理有限公司总经理失踪事件引起</w:t>
      </w:r>
      <w:r w:rsidR="00F15BBF">
        <w:rPr>
          <w:rFonts w:ascii="宋体" w:eastAsia="宋体" w:hAnsi="宋体" w:cs="宋体" w:hint="eastAsia"/>
        </w:rPr>
        <w:t>了</w:t>
      </w:r>
      <w:r w:rsidRPr="006A486C">
        <w:rPr>
          <w:rFonts w:ascii="宋体" w:eastAsia="宋体" w:hAnsi="宋体" w:cs="宋体" w:hint="eastAsia"/>
        </w:rPr>
        <w:t>投资者的广泛关注。</w:t>
      </w:r>
      <w:r>
        <w:rPr>
          <w:rFonts w:ascii="宋体" w:eastAsia="宋体" w:hAnsi="宋体" w:cs="宋体" w:hint="eastAsia"/>
        </w:rPr>
        <w:t>据了解，</w:t>
      </w:r>
      <w:r w:rsidRPr="006A486C">
        <w:rPr>
          <w:rFonts w:ascii="宋体" w:eastAsia="宋体" w:hAnsi="宋体" w:cs="宋体" w:hint="eastAsia"/>
        </w:rPr>
        <w:t>中欧温顿基金管理有限公司不是中国证券投资基金业协会会员，也没有在基金业协会进行私募基金管理人登记。</w:t>
      </w:r>
      <w:r w:rsidR="00F15BBF">
        <w:rPr>
          <w:rFonts w:ascii="宋体" w:eastAsia="宋体" w:hAnsi="宋体" w:cs="宋体" w:hint="eastAsia"/>
        </w:rPr>
        <w:t>有</w:t>
      </w:r>
      <w:r w:rsidRPr="006A486C">
        <w:rPr>
          <w:rFonts w:ascii="宋体" w:eastAsia="宋体" w:hAnsi="宋体" w:cs="宋体" w:hint="eastAsia"/>
        </w:rPr>
        <w:t>业内人士表示，中欧温顿基金公司非私募</w:t>
      </w:r>
      <w:r>
        <w:rPr>
          <w:rFonts w:ascii="Times New Roman" w:hAnsi="Times New Roman"/>
        </w:rPr>
        <w:t>“</w:t>
      </w:r>
      <w:r w:rsidRPr="006A486C">
        <w:rPr>
          <w:rFonts w:ascii="宋体" w:eastAsia="宋体" w:hAnsi="宋体" w:cs="宋体" w:hint="eastAsia"/>
        </w:rPr>
        <w:t>正规军</w:t>
      </w:r>
      <w:r w:rsidRPr="006A486C">
        <w:rPr>
          <w:rFonts w:ascii="Times New Roman" w:hAnsi="Times New Roman"/>
        </w:rPr>
        <w:t>”</w:t>
      </w:r>
      <w:r w:rsidRPr="006A486C">
        <w:rPr>
          <w:rFonts w:ascii="宋体" w:eastAsia="宋体" w:hAnsi="宋体" w:cs="宋体" w:hint="eastAsia"/>
        </w:rPr>
        <w:t>，其主要业务为</w:t>
      </w:r>
      <w:r w:rsidRPr="006A486C">
        <w:rPr>
          <w:rFonts w:ascii="Times New Roman" w:hAnsi="Times New Roman"/>
        </w:rPr>
        <w:t>“</w:t>
      </w:r>
      <w:r w:rsidRPr="006A486C">
        <w:rPr>
          <w:rFonts w:hint="eastAsia"/>
        </w:rPr>
        <w:t xml:space="preserve">P2P </w:t>
      </w:r>
      <w:r w:rsidR="00F15BBF">
        <w:t>“</w:t>
      </w:r>
      <w:r w:rsidRPr="006A486C">
        <w:rPr>
          <w:rFonts w:ascii="宋体" w:eastAsia="宋体" w:hAnsi="宋体" w:cs="宋体" w:hint="eastAsia"/>
        </w:rPr>
        <w:t>理财服务。</w:t>
      </w:r>
    </w:p>
    <w:p w:rsidR="00CE19DC" w:rsidRPr="002C1F36" w:rsidRDefault="00CE19DC" w:rsidP="002C1F36">
      <w:pPr>
        <w:pStyle w:val="ac"/>
        <w:numPr>
          <w:ilvl w:val="4"/>
          <w:numId w:val="4"/>
        </w:numPr>
        <w:spacing w:after="163"/>
        <w:rPr>
          <w:szCs w:val="21"/>
        </w:rPr>
      </w:pPr>
      <w:r w:rsidRPr="00CE19DC">
        <w:rPr>
          <w:rFonts w:eastAsiaTheme="minorEastAsia" w:hint="eastAsia"/>
          <w:b/>
          <w:szCs w:val="21"/>
        </w:rPr>
        <w:lastRenderedPageBreak/>
        <w:t>凯石点评：</w:t>
      </w:r>
      <w:r w:rsidR="006A486C" w:rsidRPr="006A486C">
        <w:rPr>
          <w:rFonts w:ascii="宋体" w:eastAsia="宋体" w:hAnsi="宋体" w:cs="宋体" w:hint="eastAsia"/>
          <w:szCs w:val="21"/>
        </w:rPr>
        <w:t>目前社会上一些机构</w:t>
      </w:r>
      <w:r w:rsidR="00F15BBF">
        <w:rPr>
          <w:rFonts w:ascii="宋体" w:eastAsia="宋体" w:hAnsi="宋体" w:cs="宋体" w:hint="eastAsia"/>
          <w:szCs w:val="21"/>
        </w:rPr>
        <w:t>打着</w:t>
      </w:r>
      <w:r w:rsidR="006A486C" w:rsidRPr="006A486C">
        <w:rPr>
          <w:rFonts w:ascii="Times New Roman" w:hAnsi="Times New Roman"/>
          <w:szCs w:val="21"/>
        </w:rPr>
        <w:t>“</w:t>
      </w:r>
      <w:r w:rsidR="006A486C" w:rsidRPr="006A486C">
        <w:rPr>
          <w:rFonts w:ascii="宋体" w:eastAsia="宋体" w:hAnsi="宋体" w:cs="宋体" w:hint="eastAsia"/>
          <w:szCs w:val="21"/>
        </w:rPr>
        <w:t>基金</w:t>
      </w:r>
      <w:r w:rsidR="006A486C" w:rsidRPr="006A486C">
        <w:rPr>
          <w:rFonts w:ascii="Times New Roman" w:hAnsi="Times New Roman"/>
          <w:szCs w:val="21"/>
        </w:rPr>
        <w:t>”</w:t>
      </w:r>
      <w:r w:rsidR="00F15BBF">
        <w:rPr>
          <w:rFonts w:ascii="宋体" w:eastAsia="宋体" w:hAnsi="宋体" w:cs="宋体" w:hint="eastAsia"/>
          <w:szCs w:val="21"/>
        </w:rPr>
        <w:t>的旗号，以高收益高回报吸引投资者，隐含着巨</w:t>
      </w:r>
      <w:r w:rsidR="006A486C" w:rsidRPr="006A486C">
        <w:rPr>
          <w:rFonts w:ascii="宋体" w:eastAsia="宋体" w:hAnsi="宋体" w:cs="宋体" w:hint="eastAsia"/>
          <w:szCs w:val="21"/>
        </w:rPr>
        <w:t>大的风险。</w:t>
      </w:r>
      <w:r w:rsidR="00F15BBF">
        <w:rPr>
          <w:rFonts w:ascii="宋体" w:eastAsia="宋体" w:hAnsi="宋体" w:cs="宋体" w:hint="eastAsia"/>
          <w:szCs w:val="21"/>
        </w:rPr>
        <w:t>提醒投资者在选择理财时务必</w:t>
      </w:r>
      <w:r w:rsidR="006A486C" w:rsidRPr="006A486C">
        <w:rPr>
          <w:rFonts w:ascii="宋体" w:eastAsia="宋体" w:hAnsi="宋体" w:cs="宋体" w:hint="eastAsia"/>
          <w:szCs w:val="21"/>
        </w:rPr>
        <w:t>要对机构进行调查，谨慎判断和识别风险，不要轻易上当。</w:t>
      </w:r>
    </w:p>
    <w:p w:rsidR="00B30055" w:rsidRPr="00204172" w:rsidRDefault="001E15A4" w:rsidP="00B30055">
      <w:pPr>
        <w:widowControl/>
        <w:spacing w:after="120"/>
        <w:ind w:left="3430"/>
        <w:rPr>
          <w:rFonts w:eastAsia="楷体_GB2312"/>
          <w:szCs w:val="20"/>
        </w:rPr>
      </w:pPr>
      <w:r>
        <w:rPr>
          <w:rFonts w:ascii="宋体" w:eastAsia="宋体" w:hAnsi="宋体" w:cs="宋体" w:hint="eastAsia"/>
          <w:b/>
          <w:bCs/>
          <w:color w:val="0070C0"/>
          <w:kern w:val="0"/>
          <w:szCs w:val="21"/>
          <w:lang w:val="en-GB"/>
        </w:rPr>
        <w:t>基金经理视点：</w:t>
      </w:r>
      <w:r w:rsidR="00807057">
        <w:rPr>
          <w:rFonts w:ascii="宋体" w:eastAsia="宋体" w:hAnsi="宋体" w:cs="宋体" w:hint="eastAsia"/>
          <w:b/>
          <w:bCs/>
          <w:color w:val="0070C0"/>
          <w:kern w:val="0"/>
          <w:szCs w:val="21"/>
          <w:lang w:val="en-GB"/>
        </w:rPr>
        <w:t>3月</w:t>
      </w:r>
      <w:r w:rsidR="005A5000">
        <w:rPr>
          <w:rFonts w:ascii="宋体" w:eastAsia="宋体" w:hAnsi="宋体" w:cs="宋体" w:hint="eastAsia"/>
          <w:b/>
          <w:bCs/>
          <w:color w:val="0070C0"/>
          <w:kern w:val="0"/>
          <w:szCs w:val="21"/>
          <w:lang w:val="en-GB"/>
        </w:rPr>
        <w:t>心态转</w:t>
      </w:r>
      <w:r w:rsidR="00807057">
        <w:rPr>
          <w:rFonts w:ascii="宋体" w:eastAsia="宋体" w:hAnsi="宋体" w:cs="宋体" w:hint="eastAsia"/>
          <w:b/>
          <w:bCs/>
          <w:color w:val="0070C0"/>
          <w:kern w:val="0"/>
          <w:szCs w:val="21"/>
          <w:lang w:val="en-GB"/>
        </w:rPr>
        <w:t>谨慎</w:t>
      </w:r>
      <w:r w:rsidR="0004788A">
        <w:rPr>
          <w:rFonts w:ascii="宋体" w:eastAsia="宋体" w:hAnsi="宋体" w:cs="宋体" w:hint="eastAsia"/>
          <w:b/>
          <w:bCs/>
          <w:color w:val="0070C0"/>
          <w:kern w:val="0"/>
          <w:szCs w:val="21"/>
          <w:lang w:val="en-GB"/>
        </w:rPr>
        <w:t>，规避创业板风险</w:t>
      </w:r>
    </w:p>
    <w:p w:rsidR="00322DDC" w:rsidRDefault="00285F2E" w:rsidP="00285F2E">
      <w:pPr>
        <w:pStyle w:val="ac"/>
        <w:numPr>
          <w:ilvl w:val="4"/>
          <w:numId w:val="1"/>
        </w:numPr>
        <w:spacing w:after="163"/>
        <w:rPr>
          <w:rFonts w:eastAsiaTheme="minorEastAsia"/>
          <w:color w:val="auto"/>
        </w:rPr>
      </w:pPr>
      <w:r>
        <w:rPr>
          <w:rFonts w:hint="eastAsia"/>
          <w:color w:val="auto"/>
        </w:rPr>
        <w:t>经历了</w:t>
      </w:r>
      <w:r>
        <w:rPr>
          <w:rFonts w:eastAsiaTheme="minorEastAsia" w:hint="eastAsia"/>
          <w:color w:val="auto"/>
        </w:rPr>
        <w:t>2</w:t>
      </w:r>
      <w:r>
        <w:rPr>
          <w:rFonts w:eastAsiaTheme="minorEastAsia" w:hint="eastAsia"/>
          <w:color w:val="auto"/>
        </w:rPr>
        <w:t>月份市场的震荡回调后，</w:t>
      </w:r>
      <w:r w:rsidR="004D02C3">
        <w:rPr>
          <w:rFonts w:eastAsiaTheme="minorEastAsia" w:hint="eastAsia"/>
          <w:color w:val="auto"/>
        </w:rPr>
        <w:t>部分</w:t>
      </w:r>
      <w:r>
        <w:rPr>
          <w:rFonts w:eastAsiaTheme="minorEastAsia" w:hint="eastAsia"/>
          <w:color w:val="auto"/>
        </w:rPr>
        <w:t>对冲基金经理们对后市</w:t>
      </w:r>
      <w:r w:rsidRPr="00285F2E">
        <w:rPr>
          <w:rFonts w:eastAsiaTheme="minorEastAsia" w:hint="eastAsia"/>
          <w:color w:val="auto"/>
        </w:rPr>
        <w:t>态度</w:t>
      </w:r>
      <w:r w:rsidR="005A5000">
        <w:rPr>
          <w:rFonts w:eastAsiaTheme="minorEastAsia" w:hint="eastAsia"/>
          <w:color w:val="auto"/>
        </w:rPr>
        <w:t>转向</w:t>
      </w:r>
      <w:r>
        <w:rPr>
          <w:rFonts w:eastAsiaTheme="minorEastAsia" w:hint="eastAsia"/>
          <w:color w:val="auto"/>
        </w:rPr>
        <w:t>谨慎，认为</w:t>
      </w:r>
      <w:r w:rsidRPr="00285F2E">
        <w:rPr>
          <w:rFonts w:eastAsiaTheme="minorEastAsia" w:hint="eastAsia"/>
          <w:color w:val="auto"/>
        </w:rPr>
        <w:t>春季行情可能</w:t>
      </w:r>
      <w:r w:rsidR="005A5000">
        <w:rPr>
          <w:rFonts w:eastAsiaTheme="minorEastAsia" w:hint="eastAsia"/>
          <w:color w:val="auto"/>
        </w:rPr>
        <w:t>已</w:t>
      </w:r>
      <w:r w:rsidRPr="00285F2E">
        <w:rPr>
          <w:rFonts w:eastAsiaTheme="minorEastAsia" w:hint="eastAsia"/>
          <w:color w:val="auto"/>
        </w:rPr>
        <w:t>进入尾声</w:t>
      </w:r>
      <w:r>
        <w:rPr>
          <w:rFonts w:eastAsiaTheme="minorEastAsia" w:hint="eastAsia"/>
          <w:color w:val="auto"/>
        </w:rPr>
        <w:t>，</w:t>
      </w:r>
      <w:r w:rsidR="0004788A">
        <w:rPr>
          <w:rFonts w:eastAsiaTheme="minorEastAsia" w:hint="eastAsia"/>
          <w:color w:val="auto"/>
        </w:rPr>
        <w:t>大盘阶段性顶部已现</w:t>
      </w:r>
      <w:r w:rsidR="00322DDC">
        <w:rPr>
          <w:rFonts w:eastAsiaTheme="minorEastAsia" w:hint="eastAsia"/>
          <w:color w:val="auto"/>
        </w:rPr>
        <w:t>，</w:t>
      </w:r>
      <w:r w:rsidR="00322DDC">
        <w:rPr>
          <w:rFonts w:hint="eastAsia"/>
          <w:color w:val="auto"/>
        </w:rPr>
        <w:t>对于创业</w:t>
      </w:r>
      <w:proofErr w:type="gramStart"/>
      <w:r w:rsidR="00322DDC">
        <w:rPr>
          <w:rFonts w:hint="eastAsia"/>
          <w:color w:val="auto"/>
        </w:rPr>
        <w:t>板采取</w:t>
      </w:r>
      <w:proofErr w:type="gramEnd"/>
      <w:r w:rsidR="004D02C3">
        <w:rPr>
          <w:rFonts w:hint="eastAsia"/>
          <w:color w:val="auto"/>
        </w:rPr>
        <w:t>适度</w:t>
      </w:r>
      <w:r w:rsidR="00322DDC">
        <w:rPr>
          <w:rFonts w:hint="eastAsia"/>
          <w:color w:val="auto"/>
        </w:rPr>
        <w:t>规避态度</w:t>
      </w:r>
      <w:r w:rsidRPr="00285F2E">
        <w:rPr>
          <w:rFonts w:eastAsiaTheme="minorEastAsia" w:hint="eastAsia"/>
          <w:color w:val="auto"/>
        </w:rPr>
        <w:t>。</w:t>
      </w:r>
      <w:r w:rsidR="00F128CA">
        <w:rPr>
          <w:rFonts w:eastAsiaTheme="minorEastAsia" w:hint="eastAsia"/>
          <w:color w:val="auto"/>
        </w:rPr>
        <w:t>结合两会期间政策红利的释放</w:t>
      </w:r>
      <w:r w:rsidR="004D02C3">
        <w:rPr>
          <w:rFonts w:eastAsiaTheme="minorEastAsia" w:hint="eastAsia"/>
          <w:color w:val="auto"/>
        </w:rPr>
        <w:t>，有管理人</w:t>
      </w:r>
      <w:r w:rsidR="00F128CA">
        <w:rPr>
          <w:rFonts w:eastAsiaTheme="minorEastAsia" w:hint="eastAsia"/>
          <w:color w:val="auto"/>
        </w:rPr>
        <w:t>持</w:t>
      </w:r>
      <w:r w:rsidR="004D02C3">
        <w:rPr>
          <w:rFonts w:eastAsiaTheme="minorEastAsia" w:hint="eastAsia"/>
          <w:color w:val="auto"/>
        </w:rPr>
        <w:t>较为</w:t>
      </w:r>
      <w:r w:rsidR="00F128CA">
        <w:rPr>
          <w:rFonts w:eastAsiaTheme="minorEastAsia" w:hint="eastAsia"/>
          <w:color w:val="auto"/>
        </w:rPr>
        <w:t>乐观态度</w:t>
      </w:r>
      <w:r w:rsidR="004D02C3">
        <w:rPr>
          <w:rFonts w:eastAsiaTheme="minorEastAsia" w:hint="eastAsia"/>
          <w:color w:val="auto"/>
        </w:rPr>
        <w:t>；</w:t>
      </w:r>
      <w:r w:rsidR="00D10230">
        <w:rPr>
          <w:rFonts w:eastAsiaTheme="minorEastAsia" w:hint="eastAsia"/>
          <w:color w:val="auto"/>
        </w:rPr>
        <w:t>处于估值洼地的蓝筹股</w:t>
      </w:r>
      <w:r w:rsidR="004D02C3">
        <w:rPr>
          <w:rFonts w:eastAsiaTheme="minorEastAsia" w:hint="eastAsia"/>
          <w:color w:val="auto"/>
        </w:rPr>
        <w:t>也</w:t>
      </w:r>
      <w:r w:rsidR="00D10230">
        <w:rPr>
          <w:rFonts w:eastAsiaTheme="minorEastAsia" w:hint="eastAsia"/>
          <w:color w:val="auto"/>
        </w:rPr>
        <w:t>吸引了一定关注</w:t>
      </w:r>
      <w:r w:rsidR="00F128CA">
        <w:rPr>
          <w:rFonts w:eastAsiaTheme="minorEastAsia" w:hint="eastAsia"/>
          <w:color w:val="auto"/>
        </w:rPr>
        <w:t>。</w:t>
      </w:r>
    </w:p>
    <w:p w:rsidR="00322DDC" w:rsidRPr="00322DDC" w:rsidRDefault="00FD5CAA" w:rsidP="00322DDC">
      <w:pPr>
        <w:pStyle w:val="ac"/>
        <w:numPr>
          <w:ilvl w:val="0"/>
          <w:numId w:val="5"/>
        </w:numPr>
        <w:spacing w:after="163"/>
        <w:rPr>
          <w:color w:val="auto"/>
        </w:rPr>
      </w:pPr>
      <w:r>
        <w:rPr>
          <w:rFonts w:hint="eastAsia"/>
          <w:color w:val="auto"/>
        </w:rPr>
        <w:t>近期的暴跌或标志着创业</w:t>
      </w:r>
      <w:proofErr w:type="gramStart"/>
      <w:r>
        <w:rPr>
          <w:rFonts w:hint="eastAsia"/>
          <w:color w:val="auto"/>
        </w:rPr>
        <w:t>板行情</w:t>
      </w:r>
      <w:proofErr w:type="gramEnd"/>
      <w:r>
        <w:rPr>
          <w:rFonts w:hint="eastAsia"/>
          <w:color w:val="auto"/>
        </w:rPr>
        <w:t>告一段落。</w:t>
      </w:r>
      <w:r w:rsidR="00322DDC" w:rsidRPr="00322DDC">
        <w:rPr>
          <w:rFonts w:hint="eastAsia"/>
          <w:color w:val="auto"/>
        </w:rPr>
        <w:t>创业</w:t>
      </w:r>
      <w:proofErr w:type="gramStart"/>
      <w:r w:rsidR="00322DDC" w:rsidRPr="00322DDC">
        <w:rPr>
          <w:rFonts w:hint="eastAsia"/>
          <w:color w:val="auto"/>
        </w:rPr>
        <w:t>板未来</w:t>
      </w:r>
      <w:proofErr w:type="gramEnd"/>
      <w:r w:rsidR="00322DDC" w:rsidRPr="00322DDC">
        <w:rPr>
          <w:rFonts w:hint="eastAsia"/>
          <w:color w:val="auto"/>
        </w:rPr>
        <w:t>将分化，前期炒概念的个股可能会继续下跌，而成长性较好的，估值适中的个股继续走强。今年的创业板是“个股行情”，投资者必须精选个股，医疗、消费、旅游等板块的个股可能还有机会，但互联网、游戏等行情或许已经结束</w:t>
      </w:r>
      <w:r>
        <w:rPr>
          <w:rFonts w:hint="eastAsia"/>
          <w:color w:val="auto"/>
        </w:rPr>
        <w:t>（</w:t>
      </w:r>
      <w:r w:rsidRPr="00322DDC">
        <w:rPr>
          <w:rFonts w:hint="eastAsia"/>
          <w:color w:val="auto"/>
        </w:rPr>
        <w:t>君富投资</w:t>
      </w:r>
      <w:r>
        <w:rPr>
          <w:rFonts w:hint="eastAsia"/>
          <w:color w:val="auto"/>
        </w:rPr>
        <w:t>）</w:t>
      </w:r>
      <w:r w:rsidR="00322DDC" w:rsidRPr="00322DDC">
        <w:rPr>
          <w:rFonts w:hint="eastAsia"/>
          <w:color w:val="auto"/>
        </w:rPr>
        <w:t>。</w:t>
      </w:r>
    </w:p>
    <w:p w:rsidR="00322DDC" w:rsidRPr="00076CC8" w:rsidRDefault="00FD5CAA" w:rsidP="00322DDC">
      <w:pPr>
        <w:pStyle w:val="ac"/>
        <w:numPr>
          <w:ilvl w:val="0"/>
          <w:numId w:val="5"/>
        </w:numPr>
        <w:spacing w:after="163"/>
        <w:rPr>
          <w:color w:val="auto"/>
        </w:rPr>
      </w:pPr>
      <w:r>
        <w:rPr>
          <w:rFonts w:hint="eastAsia"/>
          <w:color w:val="auto"/>
        </w:rPr>
        <w:t>对于今年的整体行情，上半年以小盘股为主，以互联网为主线，下半年的机会是二线蓝筹股。</w:t>
      </w:r>
      <w:r w:rsidR="00322DDC" w:rsidRPr="00322DDC">
        <w:rPr>
          <w:rFonts w:hint="eastAsia"/>
          <w:color w:val="auto"/>
        </w:rPr>
        <w:t>未来最看好以下十大主题行业：</w:t>
      </w:r>
      <w:proofErr w:type="gramStart"/>
      <w:r w:rsidR="00322DDC" w:rsidRPr="00322DDC">
        <w:rPr>
          <w:rFonts w:hint="eastAsia"/>
          <w:color w:val="auto"/>
        </w:rPr>
        <w:t>腾讯产业</w:t>
      </w:r>
      <w:proofErr w:type="gramEnd"/>
      <w:r w:rsidR="00322DDC" w:rsidRPr="00322DDC">
        <w:rPr>
          <w:rFonts w:hint="eastAsia"/>
          <w:color w:val="auto"/>
        </w:rPr>
        <w:t>链、游戏、垂直网站、大数据、转型公司、机器人、</w:t>
      </w:r>
      <w:r w:rsidR="00322DDC" w:rsidRPr="00322DDC">
        <w:rPr>
          <w:rFonts w:hint="eastAsia"/>
          <w:color w:val="auto"/>
        </w:rPr>
        <w:t>LED</w:t>
      </w:r>
      <w:r w:rsidR="00322DDC" w:rsidRPr="00322DDC">
        <w:rPr>
          <w:rFonts w:hint="eastAsia"/>
          <w:color w:val="auto"/>
        </w:rPr>
        <w:t>、新能源、页岩气、生物医药等</w:t>
      </w:r>
      <w:r>
        <w:rPr>
          <w:rFonts w:hint="eastAsia"/>
          <w:color w:val="auto"/>
        </w:rPr>
        <w:t>（</w:t>
      </w:r>
      <w:r w:rsidRPr="00322DDC">
        <w:rPr>
          <w:rFonts w:hint="eastAsia"/>
          <w:color w:val="auto"/>
        </w:rPr>
        <w:t>尚雅投资</w:t>
      </w:r>
      <w:r>
        <w:rPr>
          <w:rFonts w:hint="eastAsia"/>
          <w:color w:val="auto"/>
        </w:rPr>
        <w:t>）</w:t>
      </w:r>
      <w:r w:rsidR="00322DDC" w:rsidRPr="00322DDC">
        <w:rPr>
          <w:rFonts w:hint="eastAsia"/>
          <w:color w:val="auto"/>
        </w:rPr>
        <w:t>。</w:t>
      </w:r>
    </w:p>
    <w:p w:rsidR="00076CC8" w:rsidRPr="00F128CA" w:rsidRDefault="00076CC8" w:rsidP="00322DDC">
      <w:pPr>
        <w:pStyle w:val="ac"/>
        <w:numPr>
          <w:ilvl w:val="0"/>
          <w:numId w:val="5"/>
        </w:numPr>
        <w:spacing w:after="163"/>
        <w:rPr>
          <w:color w:val="auto"/>
        </w:rPr>
      </w:pPr>
      <w:r>
        <w:rPr>
          <w:rFonts w:ascii="宋体" w:eastAsia="宋体" w:hAnsi="宋体" w:cs="宋体" w:hint="eastAsia"/>
          <w:szCs w:val="21"/>
        </w:rPr>
        <w:t>目前处于经济运行周期的正常态势，经济增速的适当放缓是合理的，因此不用过于悲观。一些业务稳定，具备一定市场优势地位、公司治理结构良好，未</w:t>
      </w:r>
      <w:r w:rsidR="00504AD5">
        <w:rPr>
          <w:rFonts w:ascii="宋体" w:eastAsia="宋体" w:hAnsi="宋体" w:cs="宋体" w:hint="eastAsia"/>
          <w:szCs w:val="21"/>
        </w:rPr>
        <w:t>来业绩有确定增长，且分红率稳定的蓝筹公司，其股价被低估。</w:t>
      </w:r>
      <w:r>
        <w:rPr>
          <w:rFonts w:ascii="宋体" w:eastAsia="宋体" w:hAnsi="宋体" w:cs="宋体" w:hint="eastAsia"/>
          <w:szCs w:val="21"/>
        </w:rPr>
        <w:t>等待催化剂的到来，如国有企业激励制度改革，释放企业活力和业绩</w:t>
      </w:r>
      <w:r w:rsidR="00504AD5">
        <w:rPr>
          <w:rFonts w:ascii="宋体" w:eastAsia="宋体" w:hAnsi="宋体" w:cs="宋体" w:hint="eastAsia"/>
          <w:szCs w:val="21"/>
        </w:rPr>
        <w:t>（智德投资）</w:t>
      </w:r>
      <w:r>
        <w:rPr>
          <w:rFonts w:ascii="宋体" w:eastAsia="宋体" w:hAnsi="宋体" w:cs="宋体" w:hint="eastAsia"/>
          <w:szCs w:val="21"/>
        </w:rPr>
        <w:t>。</w:t>
      </w:r>
    </w:p>
    <w:p w:rsidR="00F128CA" w:rsidRPr="00FC3B5B" w:rsidRDefault="00F128CA" w:rsidP="00322DDC">
      <w:pPr>
        <w:pStyle w:val="ac"/>
        <w:numPr>
          <w:ilvl w:val="0"/>
          <w:numId w:val="5"/>
        </w:numPr>
        <w:spacing w:after="163"/>
        <w:rPr>
          <w:color w:val="auto"/>
        </w:rPr>
      </w:pPr>
      <w:r>
        <w:rPr>
          <w:rFonts w:ascii="宋体" w:eastAsia="宋体" w:hAnsi="宋体" w:cs="宋体" w:hint="eastAsia"/>
          <w:szCs w:val="21"/>
        </w:rPr>
        <w:t>对市场依然较为乐观，有高送转预期的、</w:t>
      </w:r>
      <w:proofErr w:type="gramStart"/>
      <w:r>
        <w:rPr>
          <w:rFonts w:ascii="宋体" w:eastAsia="宋体" w:hAnsi="宋体" w:cs="宋体" w:hint="eastAsia"/>
          <w:szCs w:val="21"/>
        </w:rPr>
        <w:t>业绩超</w:t>
      </w:r>
      <w:proofErr w:type="gramEnd"/>
      <w:r>
        <w:rPr>
          <w:rFonts w:ascii="宋体" w:eastAsia="宋体" w:hAnsi="宋体" w:cs="宋体" w:hint="eastAsia"/>
          <w:szCs w:val="21"/>
        </w:rPr>
        <w:t>预期的个股将有所表现。接下来随着两会的临近，农业等传统行业从政策预期以及估值落差等角度出发有望出现一波反弹，很有可能是一波一大批主板公司也有较好表现的年报行情（汇利资产）。</w:t>
      </w:r>
    </w:p>
    <w:p w:rsidR="00FC3B5B" w:rsidRPr="00FC3B5B" w:rsidRDefault="00FC3B5B" w:rsidP="00FC3B5B">
      <w:pPr>
        <w:pStyle w:val="ac"/>
        <w:numPr>
          <w:ilvl w:val="0"/>
          <w:numId w:val="5"/>
        </w:numPr>
        <w:spacing w:after="163"/>
        <w:rPr>
          <w:color w:val="auto"/>
        </w:rPr>
      </w:pPr>
      <w:r w:rsidRPr="008B16C7">
        <w:rPr>
          <w:rFonts w:ascii="宋体" w:eastAsia="宋体" w:hAnsi="宋体" w:cs="宋体" w:hint="eastAsia"/>
          <w:szCs w:val="21"/>
        </w:rPr>
        <w:t>未来三到五年我国经济结构的调整将决定未来三十到五十年间中国经济的成败。</w:t>
      </w:r>
      <w:r w:rsidRPr="00D27C7D">
        <w:rPr>
          <w:rFonts w:ascii="宋体" w:eastAsia="宋体" w:hAnsi="宋体" w:cs="宋体" w:hint="eastAsia"/>
          <w:color w:val="auto"/>
        </w:rPr>
        <w:t>目前看好消费、医药、现代服务业、无线互联网、新能源、新材料、节能环保以及稀缺资源等行业，这些都是未来的高成长性行业</w:t>
      </w:r>
      <w:r>
        <w:rPr>
          <w:rFonts w:ascii="宋体" w:eastAsia="宋体" w:hAnsi="宋体" w:cs="宋体" w:hint="eastAsia"/>
          <w:color w:val="auto"/>
        </w:rPr>
        <w:t>（</w:t>
      </w:r>
      <w:r w:rsidRPr="00D27C7D">
        <w:rPr>
          <w:rFonts w:ascii="宋体" w:eastAsia="宋体" w:hAnsi="宋体" w:cs="宋体" w:hint="eastAsia"/>
          <w:color w:val="auto"/>
        </w:rPr>
        <w:t>鼎力投资</w:t>
      </w:r>
      <w:r>
        <w:rPr>
          <w:rFonts w:ascii="宋体" w:eastAsia="宋体" w:hAnsi="宋体" w:cs="宋体" w:hint="eastAsia"/>
          <w:color w:val="auto"/>
        </w:rPr>
        <w:t>）</w:t>
      </w:r>
      <w:r w:rsidRPr="00D27C7D">
        <w:rPr>
          <w:rFonts w:ascii="宋体" w:eastAsia="宋体" w:hAnsi="宋体" w:cs="宋体" w:hint="eastAsia"/>
          <w:color w:val="auto"/>
        </w:rPr>
        <w:t>。</w:t>
      </w:r>
    </w:p>
    <w:p w:rsidR="007810C5" w:rsidRDefault="007810C5" w:rsidP="00B10000">
      <w:pPr>
        <w:widowControl/>
        <w:spacing w:after="120"/>
        <w:ind w:left="3430"/>
        <w:rPr>
          <w:rFonts w:ascii="Arial" w:hAnsi="Arial"/>
          <w:b/>
          <w:bCs/>
          <w:color w:val="0070C0"/>
          <w:kern w:val="0"/>
          <w:sz w:val="24"/>
          <w:szCs w:val="20"/>
          <w:lang w:val="en-GB"/>
        </w:rPr>
      </w:pPr>
      <w:r w:rsidRPr="007810C5">
        <w:rPr>
          <w:rFonts w:ascii="Arial" w:eastAsia="楷体_GB2312" w:hAnsi="Arial" w:hint="eastAsia"/>
          <w:b/>
          <w:bCs/>
          <w:color w:val="0070C0"/>
          <w:kern w:val="0"/>
          <w:sz w:val="24"/>
          <w:szCs w:val="20"/>
          <w:lang w:val="en-GB"/>
        </w:rPr>
        <w:t>二</w:t>
      </w:r>
      <w:r w:rsidRPr="00F210A0">
        <w:rPr>
          <w:rFonts w:ascii="Arial" w:eastAsia="楷体_GB2312" w:hAnsi="Arial" w:hint="eastAsia"/>
          <w:b/>
          <w:bCs/>
          <w:color w:val="0070C0"/>
          <w:kern w:val="0"/>
          <w:sz w:val="24"/>
          <w:szCs w:val="20"/>
          <w:lang w:val="en-GB"/>
        </w:rPr>
        <w:t>、</w:t>
      </w:r>
      <w:r w:rsidRPr="007810C5">
        <w:rPr>
          <w:rFonts w:ascii="Arial" w:eastAsia="楷体_GB2312" w:hAnsi="Arial" w:hint="eastAsia"/>
          <w:b/>
          <w:bCs/>
          <w:color w:val="0070C0"/>
          <w:kern w:val="0"/>
          <w:sz w:val="24"/>
          <w:szCs w:val="20"/>
          <w:lang w:val="en-GB"/>
        </w:rPr>
        <w:t>发行市场概况</w:t>
      </w:r>
    </w:p>
    <w:p w:rsidR="00B10000" w:rsidRPr="00584911" w:rsidRDefault="00154F3D" w:rsidP="00B10000">
      <w:pPr>
        <w:widowControl/>
        <w:spacing w:after="120"/>
        <w:ind w:left="3430"/>
        <w:rPr>
          <w:rFonts w:ascii="Arial" w:hAnsi="Arial"/>
          <w:b/>
          <w:bCs/>
          <w:color w:val="0070C0"/>
          <w:kern w:val="0"/>
          <w:szCs w:val="21"/>
          <w:lang w:val="en-GB"/>
        </w:rPr>
      </w:pPr>
      <w:r>
        <w:rPr>
          <w:rFonts w:ascii="Arial" w:hAnsi="Arial" w:hint="eastAsia"/>
          <w:b/>
          <w:bCs/>
          <w:color w:val="0070C0"/>
          <w:kern w:val="0"/>
          <w:szCs w:val="21"/>
          <w:lang w:val="en-GB"/>
        </w:rPr>
        <w:t>14</w:t>
      </w:r>
      <w:r>
        <w:rPr>
          <w:rFonts w:ascii="Arial" w:hAnsi="Arial" w:hint="eastAsia"/>
          <w:b/>
          <w:bCs/>
          <w:color w:val="0070C0"/>
          <w:kern w:val="0"/>
          <w:szCs w:val="21"/>
          <w:lang w:val="en-GB"/>
        </w:rPr>
        <w:t>年</w:t>
      </w:r>
      <w:r w:rsidR="007439AB">
        <w:rPr>
          <w:rFonts w:ascii="Arial" w:hAnsi="Arial" w:hint="eastAsia"/>
          <w:b/>
          <w:bCs/>
          <w:color w:val="0070C0"/>
          <w:kern w:val="0"/>
          <w:szCs w:val="21"/>
          <w:lang w:val="en-GB"/>
        </w:rPr>
        <w:t>伊始，</w:t>
      </w:r>
      <w:r w:rsidR="000C4AFC">
        <w:rPr>
          <w:rFonts w:ascii="Arial" w:hAnsi="Arial" w:hint="eastAsia"/>
          <w:b/>
          <w:bCs/>
          <w:color w:val="0070C0"/>
          <w:kern w:val="0"/>
          <w:szCs w:val="21"/>
          <w:lang w:val="en-GB"/>
        </w:rPr>
        <w:t>发行量环比持平</w:t>
      </w:r>
    </w:p>
    <w:p w:rsidR="00B10000" w:rsidRPr="00741A67" w:rsidRDefault="00154F3D" w:rsidP="00741A67">
      <w:pPr>
        <w:pStyle w:val="ac"/>
        <w:numPr>
          <w:ilvl w:val="4"/>
          <w:numId w:val="1"/>
        </w:numPr>
        <w:spacing w:after="163"/>
        <w:rPr>
          <w:rFonts w:eastAsiaTheme="minorEastAsia"/>
          <w:color w:val="auto"/>
        </w:rPr>
      </w:pPr>
      <w:r>
        <w:rPr>
          <w:rFonts w:eastAsiaTheme="minorEastAsia" w:hint="eastAsia"/>
          <w:color w:val="auto"/>
        </w:rPr>
        <w:t>2014</w:t>
      </w:r>
      <w:r>
        <w:rPr>
          <w:rFonts w:eastAsiaTheme="minorEastAsia" w:hint="eastAsia"/>
          <w:color w:val="auto"/>
        </w:rPr>
        <w:t>年</w:t>
      </w:r>
      <w:r>
        <w:rPr>
          <w:rFonts w:eastAsiaTheme="minorEastAsia" w:hint="eastAsia"/>
          <w:color w:val="auto"/>
        </w:rPr>
        <w:t>1</w:t>
      </w:r>
      <w:r w:rsidR="006A7944">
        <w:rPr>
          <w:rFonts w:eastAsiaTheme="minorEastAsia" w:hint="eastAsia"/>
          <w:color w:val="auto"/>
        </w:rPr>
        <w:t>月份对冲基金发行量与前一月</w:t>
      </w:r>
      <w:r w:rsidR="000C4AFC">
        <w:rPr>
          <w:rFonts w:eastAsiaTheme="minorEastAsia" w:hint="eastAsia"/>
          <w:color w:val="auto"/>
        </w:rPr>
        <w:t>基本持平</w:t>
      </w:r>
      <w:r w:rsidR="004A685A">
        <w:rPr>
          <w:rFonts w:eastAsiaTheme="minorEastAsia" w:hint="eastAsia"/>
          <w:color w:val="auto"/>
        </w:rPr>
        <w:t>。</w:t>
      </w:r>
      <w:r w:rsidR="004A685A" w:rsidRPr="00485316">
        <w:rPr>
          <w:rFonts w:ascii="宋体" w:eastAsia="宋体" w:hAnsi="宋体" w:cs="宋体" w:hint="eastAsia"/>
          <w:color w:val="auto"/>
        </w:rPr>
        <w:t>全月共发行</w:t>
      </w:r>
      <w:r w:rsidR="000C4AFC">
        <w:rPr>
          <w:rFonts w:eastAsiaTheme="minorEastAsia" w:hint="eastAsia"/>
          <w:color w:val="auto"/>
        </w:rPr>
        <w:t>39</w:t>
      </w:r>
      <w:r w:rsidR="004A685A" w:rsidRPr="00485316">
        <w:rPr>
          <w:rFonts w:ascii="宋体" w:eastAsia="宋体" w:hAnsi="宋体" w:cs="宋体" w:hint="eastAsia"/>
          <w:color w:val="auto"/>
        </w:rPr>
        <w:t>只产品</w:t>
      </w:r>
      <w:r w:rsidR="004A685A">
        <w:rPr>
          <w:rFonts w:ascii="宋体" w:eastAsia="宋体" w:hAnsi="宋体" w:cs="宋体" w:hint="eastAsia"/>
          <w:color w:val="auto"/>
        </w:rPr>
        <w:t>（基于</w:t>
      </w:r>
      <w:proofErr w:type="gramStart"/>
      <w:r w:rsidR="004A685A">
        <w:rPr>
          <w:rFonts w:ascii="宋体" w:eastAsia="宋体" w:hAnsi="宋体" w:cs="宋体" w:hint="eastAsia"/>
          <w:color w:val="auto"/>
        </w:rPr>
        <w:t>凯石工场较</w:t>
      </w:r>
      <w:proofErr w:type="gramEnd"/>
      <w:r w:rsidR="004A685A">
        <w:rPr>
          <w:rFonts w:ascii="宋体" w:eastAsia="宋体" w:hAnsi="宋体" w:cs="宋体" w:hint="eastAsia"/>
          <w:color w:val="auto"/>
        </w:rPr>
        <w:t>严格的统计口径）</w:t>
      </w:r>
      <w:r w:rsidR="004A685A" w:rsidRPr="00485316">
        <w:rPr>
          <w:rFonts w:ascii="宋体" w:eastAsia="宋体" w:hAnsi="宋体" w:cs="宋体" w:hint="eastAsia"/>
          <w:color w:val="auto"/>
        </w:rPr>
        <w:t>，</w:t>
      </w:r>
      <w:r w:rsidR="00D15185">
        <w:rPr>
          <w:rFonts w:ascii="宋体" w:eastAsia="宋体" w:hAnsi="宋体" w:cs="宋体" w:hint="eastAsia"/>
          <w:color w:val="auto"/>
        </w:rPr>
        <w:t>维持了</w:t>
      </w:r>
      <w:r w:rsidR="00D15185" w:rsidRPr="00D15185">
        <w:rPr>
          <w:rFonts w:eastAsiaTheme="minorEastAsia" w:hint="eastAsia"/>
          <w:color w:val="auto"/>
        </w:rPr>
        <w:t>13</w:t>
      </w:r>
      <w:r w:rsidR="00D15185" w:rsidRPr="00D15185">
        <w:rPr>
          <w:rFonts w:eastAsiaTheme="minorEastAsia" w:hint="eastAsia"/>
          <w:color w:val="auto"/>
        </w:rPr>
        <w:t>年</w:t>
      </w:r>
      <w:r w:rsidR="00D15185">
        <w:rPr>
          <w:rFonts w:ascii="宋体" w:eastAsia="宋体" w:hAnsi="宋体" w:cs="宋体" w:hint="eastAsia"/>
          <w:color w:val="auto"/>
        </w:rPr>
        <w:t>底发行市场回暖后的水平</w:t>
      </w:r>
      <w:r w:rsidR="004A685A">
        <w:rPr>
          <w:rFonts w:eastAsiaTheme="minorEastAsia" w:hint="eastAsia"/>
          <w:color w:val="auto"/>
        </w:rPr>
        <w:t>。</w:t>
      </w:r>
      <w:r w:rsidR="00B06C4E">
        <w:rPr>
          <w:rFonts w:eastAsiaTheme="minorEastAsia" w:hint="eastAsia"/>
          <w:color w:val="auto"/>
        </w:rPr>
        <w:t>分类</w:t>
      </w:r>
      <w:r w:rsidR="004A685A">
        <w:rPr>
          <w:rFonts w:eastAsiaTheme="minorEastAsia" w:hint="eastAsia"/>
          <w:color w:val="auto"/>
        </w:rPr>
        <w:t>来看，传统的股票多头策略</w:t>
      </w:r>
      <w:r w:rsidR="00D15185">
        <w:rPr>
          <w:rFonts w:eastAsiaTheme="minorEastAsia" w:hint="eastAsia"/>
          <w:color w:val="auto"/>
        </w:rPr>
        <w:t>26</w:t>
      </w:r>
      <w:r w:rsidR="00D15185">
        <w:rPr>
          <w:rFonts w:eastAsiaTheme="minorEastAsia" w:hint="eastAsia"/>
          <w:color w:val="auto"/>
        </w:rPr>
        <w:t>只（含</w:t>
      </w:r>
      <w:r w:rsidR="004A685A">
        <w:rPr>
          <w:rFonts w:eastAsiaTheme="minorEastAsia" w:hint="eastAsia"/>
          <w:color w:val="auto"/>
        </w:rPr>
        <w:t>管理型</w:t>
      </w:r>
      <w:r w:rsidR="00D15185">
        <w:rPr>
          <w:rFonts w:eastAsiaTheme="minorEastAsia" w:hint="eastAsia"/>
          <w:color w:val="auto"/>
        </w:rPr>
        <w:t>23</w:t>
      </w:r>
      <w:r w:rsidR="004A685A">
        <w:rPr>
          <w:rFonts w:eastAsiaTheme="minorEastAsia" w:hint="eastAsia"/>
          <w:color w:val="auto"/>
        </w:rPr>
        <w:t>只</w:t>
      </w:r>
      <w:r w:rsidR="005C0A01">
        <w:rPr>
          <w:rFonts w:eastAsiaTheme="minorEastAsia" w:hint="eastAsia"/>
          <w:color w:val="auto"/>
        </w:rPr>
        <w:t>、</w:t>
      </w:r>
      <w:r w:rsidR="004A685A">
        <w:rPr>
          <w:rFonts w:eastAsiaTheme="minorEastAsia" w:hint="eastAsia"/>
          <w:color w:val="auto"/>
        </w:rPr>
        <w:t>分级型</w:t>
      </w:r>
      <w:r w:rsidR="00D15185">
        <w:rPr>
          <w:rFonts w:eastAsiaTheme="minorEastAsia" w:hint="eastAsia"/>
          <w:color w:val="auto"/>
        </w:rPr>
        <w:t>3</w:t>
      </w:r>
      <w:r w:rsidR="004A685A">
        <w:rPr>
          <w:rFonts w:eastAsiaTheme="minorEastAsia" w:hint="eastAsia"/>
          <w:color w:val="auto"/>
        </w:rPr>
        <w:t>只</w:t>
      </w:r>
      <w:r w:rsidR="00D15185">
        <w:rPr>
          <w:rFonts w:eastAsiaTheme="minorEastAsia" w:hint="eastAsia"/>
          <w:color w:val="auto"/>
        </w:rPr>
        <w:t>）</w:t>
      </w:r>
      <w:r w:rsidR="005C0A01">
        <w:rPr>
          <w:rFonts w:eastAsiaTheme="minorEastAsia" w:hint="eastAsia"/>
          <w:color w:val="auto"/>
        </w:rPr>
        <w:t>依旧占据主流</w:t>
      </w:r>
      <w:r w:rsidR="001A1ABB">
        <w:rPr>
          <w:rFonts w:eastAsiaTheme="minorEastAsia" w:hint="eastAsia"/>
          <w:color w:val="auto"/>
        </w:rPr>
        <w:t>。其中，阔别</w:t>
      </w:r>
      <w:r w:rsidR="001A1ABB">
        <w:rPr>
          <w:rFonts w:eastAsiaTheme="minorEastAsia" w:hint="eastAsia"/>
          <w:color w:val="auto"/>
        </w:rPr>
        <w:t>A</w:t>
      </w:r>
      <w:r w:rsidR="001A1ABB">
        <w:rPr>
          <w:rFonts w:eastAsiaTheme="minorEastAsia" w:hint="eastAsia"/>
          <w:color w:val="auto"/>
        </w:rPr>
        <w:t>股</w:t>
      </w:r>
      <w:r w:rsidR="001A1ABB">
        <w:rPr>
          <w:rFonts w:eastAsiaTheme="minorEastAsia" w:hint="eastAsia"/>
          <w:color w:val="auto"/>
        </w:rPr>
        <w:t>6</w:t>
      </w:r>
      <w:r w:rsidR="001A1ABB">
        <w:rPr>
          <w:rFonts w:eastAsiaTheme="minorEastAsia" w:hint="eastAsia"/>
          <w:color w:val="auto"/>
        </w:rPr>
        <w:t>年之久的“私募教父”赵丹阳与</w:t>
      </w:r>
      <w:r w:rsidR="001A1ABB" w:rsidRPr="001A1ABB">
        <w:rPr>
          <w:rFonts w:eastAsiaTheme="minorEastAsia" w:hint="eastAsia"/>
          <w:color w:val="auto"/>
        </w:rPr>
        <w:t>企业家金志国携手推出的</w:t>
      </w:r>
      <w:r w:rsidR="001A1ABB">
        <w:rPr>
          <w:rFonts w:eastAsiaTheme="minorEastAsia" w:hint="eastAsia"/>
          <w:color w:val="auto"/>
        </w:rPr>
        <w:t>华润信托·赤子之心价值于新年伊始发售，引发业界关注。</w:t>
      </w:r>
      <w:r w:rsidR="00D15185">
        <w:rPr>
          <w:rFonts w:eastAsiaTheme="minorEastAsia" w:hint="eastAsia"/>
          <w:color w:val="auto"/>
        </w:rPr>
        <w:t>13</w:t>
      </w:r>
      <w:r w:rsidR="00D15185">
        <w:rPr>
          <w:rFonts w:eastAsiaTheme="minorEastAsia" w:hint="eastAsia"/>
          <w:color w:val="auto"/>
        </w:rPr>
        <w:t>只创新</w:t>
      </w:r>
      <w:r w:rsidR="00B06C4E">
        <w:rPr>
          <w:rFonts w:eastAsiaTheme="minorEastAsia" w:hint="eastAsia"/>
          <w:color w:val="auto"/>
        </w:rPr>
        <w:t>策略当中管理型</w:t>
      </w:r>
      <w:r w:rsidR="00D15185">
        <w:rPr>
          <w:rFonts w:eastAsiaTheme="minorEastAsia" w:hint="eastAsia"/>
          <w:color w:val="auto"/>
        </w:rPr>
        <w:t>10</w:t>
      </w:r>
      <w:r w:rsidR="00D15185">
        <w:rPr>
          <w:rFonts w:eastAsiaTheme="minorEastAsia" w:hint="eastAsia"/>
          <w:color w:val="auto"/>
        </w:rPr>
        <w:t>只，</w:t>
      </w:r>
      <w:r w:rsidR="00B06C4E">
        <w:rPr>
          <w:rFonts w:eastAsiaTheme="minorEastAsia" w:hint="eastAsia"/>
          <w:color w:val="auto"/>
        </w:rPr>
        <w:t>分级型</w:t>
      </w:r>
      <w:r w:rsidR="00D15185">
        <w:rPr>
          <w:rFonts w:eastAsiaTheme="minorEastAsia" w:hint="eastAsia"/>
          <w:color w:val="auto"/>
        </w:rPr>
        <w:t>2</w:t>
      </w:r>
      <w:r w:rsidR="00B06C4E">
        <w:rPr>
          <w:rFonts w:eastAsiaTheme="minorEastAsia" w:hint="eastAsia"/>
          <w:color w:val="auto"/>
        </w:rPr>
        <w:t>只</w:t>
      </w:r>
      <w:r w:rsidR="00D15185">
        <w:rPr>
          <w:rFonts w:eastAsiaTheme="minorEastAsia" w:hint="eastAsia"/>
          <w:color w:val="auto"/>
        </w:rPr>
        <w:t>，有限合伙</w:t>
      </w:r>
      <w:r w:rsidR="00D15185">
        <w:rPr>
          <w:rFonts w:eastAsiaTheme="minorEastAsia" w:hint="eastAsia"/>
          <w:color w:val="auto"/>
        </w:rPr>
        <w:t>1</w:t>
      </w:r>
      <w:r w:rsidR="00D15185">
        <w:rPr>
          <w:rFonts w:eastAsiaTheme="minorEastAsia" w:hint="eastAsia"/>
          <w:color w:val="auto"/>
        </w:rPr>
        <w:t>只</w:t>
      </w:r>
      <w:r w:rsidR="001A1ABB">
        <w:rPr>
          <w:rFonts w:eastAsiaTheme="minorEastAsia" w:hint="eastAsia"/>
          <w:color w:val="auto"/>
        </w:rPr>
        <w:t>；分策略来看，以固定收益策略居多，共有</w:t>
      </w:r>
      <w:r w:rsidR="001A1ABB">
        <w:rPr>
          <w:rFonts w:eastAsiaTheme="minorEastAsia" w:hint="eastAsia"/>
          <w:color w:val="auto"/>
        </w:rPr>
        <w:t>6</w:t>
      </w:r>
      <w:r w:rsidR="001A1ABB">
        <w:rPr>
          <w:rFonts w:eastAsiaTheme="minorEastAsia" w:hint="eastAsia"/>
          <w:color w:val="auto"/>
        </w:rPr>
        <w:t>只，其中</w:t>
      </w:r>
      <w:r w:rsidR="001A1ABB" w:rsidRPr="001A1ABB">
        <w:rPr>
          <w:rFonts w:eastAsiaTheme="minorEastAsia" w:hint="eastAsia"/>
          <w:color w:val="auto"/>
        </w:rPr>
        <w:t>北京</w:t>
      </w:r>
      <w:proofErr w:type="gramStart"/>
      <w:r w:rsidR="001A1ABB" w:rsidRPr="001A1ABB">
        <w:rPr>
          <w:rFonts w:eastAsiaTheme="minorEastAsia" w:hint="eastAsia"/>
          <w:color w:val="auto"/>
        </w:rPr>
        <w:t>佑瑞持投资</w:t>
      </w:r>
      <w:proofErr w:type="gramEnd"/>
      <w:r w:rsidR="001A1ABB">
        <w:rPr>
          <w:rFonts w:eastAsiaTheme="minorEastAsia" w:hint="eastAsia"/>
          <w:color w:val="auto"/>
        </w:rPr>
        <w:t>发行了</w:t>
      </w:r>
      <w:r w:rsidR="001A1ABB">
        <w:rPr>
          <w:rFonts w:eastAsiaTheme="minorEastAsia" w:hint="eastAsia"/>
          <w:color w:val="auto"/>
        </w:rPr>
        <w:t>4</w:t>
      </w:r>
      <w:r w:rsidR="001A1ABB">
        <w:rPr>
          <w:rFonts w:eastAsiaTheme="minorEastAsia" w:hint="eastAsia"/>
          <w:color w:val="auto"/>
        </w:rPr>
        <w:t>只</w:t>
      </w:r>
      <w:r w:rsidR="00481C92">
        <w:rPr>
          <w:rFonts w:eastAsiaTheme="minorEastAsia" w:hint="eastAsia"/>
          <w:color w:val="auto"/>
        </w:rPr>
        <w:t>。</w:t>
      </w:r>
    </w:p>
    <w:tbl>
      <w:tblPr>
        <w:tblW w:w="7442" w:type="dxa"/>
        <w:tblInd w:w="340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7442"/>
      </w:tblGrid>
      <w:tr w:rsidR="00656031" w:rsidTr="00656031">
        <w:trPr>
          <w:cantSplit/>
          <w:trHeight w:val="65"/>
        </w:trPr>
        <w:tc>
          <w:tcPr>
            <w:tcW w:w="7442" w:type="dxa"/>
            <w:shd w:val="clear" w:color="auto" w:fill="auto"/>
            <w:vAlign w:val="center"/>
          </w:tcPr>
          <w:p w:rsidR="00656031" w:rsidRPr="00485316" w:rsidRDefault="00656031" w:rsidP="00A84CFD">
            <w:pPr>
              <w:pStyle w:val="SubTitleLargeTable"/>
              <w:pBdr>
                <w:top w:val="none" w:sz="0" w:space="0" w:color="auto"/>
              </w:pBdr>
              <w:rPr>
                <w:rFonts w:ascii="宋体" w:eastAsiaTheme="minorEastAsia" w:hAnsi="宋体"/>
                <w:b w:val="0"/>
                <w:color w:val="FF6600"/>
              </w:rPr>
            </w:pPr>
            <w:r w:rsidRPr="00656031">
              <w:rPr>
                <w:rFonts w:ascii="宋体" w:eastAsia="宋体" w:hAnsi="宋体" w:cs="宋体" w:hint="eastAsia"/>
                <w:color w:val="FF6600"/>
              </w:rPr>
              <w:lastRenderedPageBreak/>
              <w:t>图表</w:t>
            </w:r>
            <w:r w:rsidR="00A214EE">
              <w:rPr>
                <w:rFonts w:eastAsiaTheme="minorEastAsia" w:hint="eastAsia"/>
                <w:color w:val="FF6600"/>
              </w:rPr>
              <w:t>1</w:t>
            </w:r>
            <w:r w:rsidRPr="00656031">
              <w:rPr>
                <w:rFonts w:ascii="宋体" w:eastAsia="宋体" w:hAnsi="宋体" w:cs="宋体" w:hint="eastAsia"/>
                <w:color w:val="FF6600"/>
              </w:rPr>
              <w:t>：</w:t>
            </w:r>
            <w:r w:rsidR="00263666">
              <w:rPr>
                <w:rFonts w:eastAsiaTheme="minorEastAsia" w:hint="eastAsia"/>
                <w:color w:val="FF6600"/>
              </w:rPr>
              <w:t>1</w:t>
            </w:r>
            <w:r w:rsidR="00485316">
              <w:rPr>
                <w:rFonts w:eastAsiaTheme="minorEastAsia" w:hint="eastAsia"/>
                <w:color w:val="FF6600"/>
              </w:rPr>
              <w:t>月份对冲基金发行概览</w:t>
            </w:r>
          </w:p>
        </w:tc>
      </w:tr>
      <w:tr w:rsidR="008840A4" w:rsidTr="00656031">
        <w:trPr>
          <w:cantSplit/>
          <w:trHeight w:val="3169"/>
        </w:trPr>
        <w:tc>
          <w:tcPr>
            <w:tcW w:w="7442" w:type="dxa"/>
            <w:shd w:val="clear" w:color="auto" w:fill="auto"/>
            <w:vAlign w:val="center"/>
          </w:tcPr>
          <w:p w:rsidR="008840A4" w:rsidRPr="00921371" w:rsidRDefault="00D15185" w:rsidP="00C30549">
            <w:pPr>
              <w:snapToGrid w:val="0"/>
              <w:spacing w:line="10" w:lineRule="atLeast"/>
              <w:jc w:val="center"/>
              <w:rPr>
                <w:rFonts w:ascii="宋体" w:eastAsia="宋体" w:hAnsi="宋体"/>
                <w:b/>
              </w:rPr>
            </w:pPr>
            <w:r>
              <w:rPr>
                <w:rFonts w:ascii="宋体" w:eastAsia="宋体" w:hAnsi="宋体"/>
                <w:b/>
                <w:noProof/>
              </w:rPr>
              <w:drawing>
                <wp:inline distT="0" distB="0" distL="0" distR="0">
                  <wp:extent cx="4362450" cy="2524125"/>
                  <wp:effectExtent l="19050" t="0" r="0" b="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4358838" cy="2522035"/>
                          </a:xfrm>
                          <a:prstGeom prst="rect">
                            <a:avLst/>
                          </a:prstGeom>
                          <a:noFill/>
                        </pic:spPr>
                      </pic:pic>
                    </a:graphicData>
                  </a:graphic>
                </wp:inline>
              </w:drawing>
            </w:r>
          </w:p>
        </w:tc>
      </w:tr>
    </w:tbl>
    <w:p w:rsidR="008840A4" w:rsidRPr="00656031" w:rsidRDefault="008840A4" w:rsidP="00C806CE">
      <w:pPr>
        <w:pStyle w:val="FootnoteNoline"/>
        <w:rPr>
          <w:color w:val="FF6600"/>
        </w:rPr>
      </w:pPr>
      <w:r w:rsidRPr="00656031">
        <w:rPr>
          <w:rFonts w:hint="eastAsia"/>
          <w:color w:val="FF6600"/>
        </w:rPr>
        <w:t>来源：</w:t>
      </w:r>
      <w:proofErr w:type="gramStart"/>
      <w:r w:rsidR="00C806CE" w:rsidRPr="00656031">
        <w:rPr>
          <w:rFonts w:hint="eastAsia"/>
          <w:color w:val="FF6600"/>
        </w:rPr>
        <w:t>凯</w:t>
      </w:r>
      <w:proofErr w:type="gramEnd"/>
      <w:r w:rsidR="00C806CE" w:rsidRPr="00656031">
        <w:rPr>
          <w:rFonts w:hint="eastAsia"/>
          <w:color w:val="FF6600"/>
        </w:rPr>
        <w:t>石财富工场</w:t>
      </w:r>
    </w:p>
    <w:p w:rsidR="00C737A4" w:rsidRPr="00D92CE8" w:rsidRDefault="00C737A4" w:rsidP="00D92CE8">
      <w:pPr>
        <w:widowControl/>
        <w:spacing w:after="120"/>
        <w:ind w:left="3430"/>
        <w:rPr>
          <w:rFonts w:ascii="Arial" w:eastAsia="楷体_GB2312" w:hAnsi="Arial"/>
          <w:b/>
          <w:bCs/>
          <w:color w:val="0070C0"/>
          <w:kern w:val="0"/>
          <w:sz w:val="24"/>
          <w:szCs w:val="20"/>
          <w:lang w:val="en-GB"/>
        </w:rPr>
      </w:pPr>
      <w:r w:rsidRPr="00D92CE8">
        <w:rPr>
          <w:rFonts w:ascii="Arial" w:eastAsia="楷体_GB2312" w:hAnsi="Arial" w:hint="eastAsia"/>
          <w:b/>
          <w:bCs/>
          <w:color w:val="0070C0"/>
          <w:kern w:val="0"/>
          <w:sz w:val="24"/>
          <w:szCs w:val="20"/>
          <w:lang w:val="en-GB"/>
        </w:rPr>
        <w:t>三、月度业绩回顾</w:t>
      </w:r>
    </w:p>
    <w:p w:rsidR="00C737A4" w:rsidRDefault="00CF7718" w:rsidP="00C737A4">
      <w:pPr>
        <w:widowControl/>
        <w:spacing w:after="120"/>
        <w:ind w:left="3430"/>
        <w:rPr>
          <w:rFonts w:ascii="宋体" w:eastAsia="宋体" w:hAnsi="宋体" w:cs="宋体"/>
          <w:b/>
          <w:bCs/>
          <w:color w:val="0070C0"/>
          <w:kern w:val="0"/>
          <w:szCs w:val="21"/>
          <w:lang w:val="en-GB"/>
        </w:rPr>
      </w:pPr>
      <w:r>
        <w:rPr>
          <w:rFonts w:ascii="宋体" w:eastAsia="宋体" w:hAnsi="宋体" w:cs="宋体" w:hint="eastAsia"/>
          <w:b/>
          <w:bCs/>
          <w:color w:val="0070C0"/>
          <w:kern w:val="0"/>
          <w:szCs w:val="21"/>
          <w:lang w:val="en-GB"/>
        </w:rPr>
        <w:t>市场延续结构分化，对冲基金平稳收涨</w:t>
      </w:r>
    </w:p>
    <w:p w:rsidR="00C806CE" w:rsidRPr="0041111A" w:rsidRDefault="009F1EF9" w:rsidP="00200D9D">
      <w:pPr>
        <w:pStyle w:val="ac"/>
        <w:numPr>
          <w:ilvl w:val="4"/>
          <w:numId w:val="1"/>
        </w:numPr>
        <w:spacing w:after="163"/>
        <w:rPr>
          <w:color w:val="auto"/>
        </w:rPr>
      </w:pPr>
      <w:r>
        <w:rPr>
          <w:rFonts w:eastAsiaTheme="minorEastAsia" w:hint="eastAsia"/>
        </w:rPr>
        <w:t>2014</w:t>
      </w:r>
      <w:r>
        <w:rPr>
          <w:rFonts w:eastAsiaTheme="minorEastAsia" w:hint="eastAsia"/>
        </w:rPr>
        <w:t>年开局</w:t>
      </w:r>
      <w:r w:rsidR="00ED29F6" w:rsidRPr="00ED29F6">
        <w:rPr>
          <w:rFonts w:hint="eastAsia"/>
        </w:rPr>
        <w:t>A</w:t>
      </w:r>
      <w:r>
        <w:rPr>
          <w:rFonts w:ascii="宋体" w:eastAsia="宋体" w:hAnsi="宋体" w:cs="宋体" w:hint="eastAsia"/>
        </w:rPr>
        <w:t>股</w:t>
      </w:r>
      <w:r w:rsidR="00ED29F6">
        <w:rPr>
          <w:rFonts w:ascii="宋体" w:eastAsia="宋体" w:hAnsi="宋体" w:cs="宋体" w:hint="eastAsia"/>
        </w:rPr>
        <w:t>依旧上演结构性行情</w:t>
      </w:r>
      <w:r>
        <w:rPr>
          <w:rFonts w:ascii="宋体" w:eastAsia="宋体" w:hAnsi="宋体" w:cs="宋体" w:hint="eastAsia"/>
        </w:rPr>
        <w:t>，</w:t>
      </w:r>
      <w:r w:rsidR="00ED29F6">
        <w:rPr>
          <w:rFonts w:ascii="宋体" w:eastAsia="宋体" w:hAnsi="宋体" w:cs="宋体" w:hint="eastAsia"/>
        </w:rPr>
        <w:t>主板市场表现低迷，</w:t>
      </w:r>
      <w:r w:rsidR="006A7944">
        <w:rPr>
          <w:rFonts w:ascii="宋体" w:eastAsia="宋体" w:hAnsi="宋体" w:cs="宋体" w:hint="eastAsia"/>
        </w:rPr>
        <w:t>创业板指则</w:t>
      </w:r>
      <w:r w:rsidR="00ED29F6" w:rsidRPr="00ED29F6">
        <w:rPr>
          <w:rFonts w:ascii="宋体" w:eastAsia="宋体" w:hAnsi="宋体" w:cs="宋体" w:hint="eastAsia"/>
        </w:rPr>
        <w:t>涨势如虹，连创新高。</w:t>
      </w:r>
      <w:r w:rsidR="00ED29F6" w:rsidRPr="00506F37">
        <w:rPr>
          <w:rFonts w:hint="eastAsia"/>
        </w:rPr>
        <w:t>1</w:t>
      </w:r>
      <w:r w:rsidR="00ED29F6" w:rsidRPr="00506F37">
        <w:rPr>
          <w:rFonts w:ascii="宋体" w:eastAsia="宋体" w:hAnsi="宋体" w:cs="宋体" w:hint="eastAsia"/>
        </w:rPr>
        <w:t>月披露的经济数据显示经济增长疲软，同时政策面平淡，</w:t>
      </w:r>
      <w:r w:rsidR="00ED29F6">
        <w:rPr>
          <w:rFonts w:ascii="宋体" w:eastAsia="宋体" w:hAnsi="宋体" w:cs="宋体" w:hint="eastAsia"/>
        </w:rPr>
        <w:t>月度上旬</w:t>
      </w:r>
      <w:r w:rsidR="00ED29F6" w:rsidRPr="00ED29F6">
        <w:rPr>
          <w:rFonts w:ascii="宋体" w:eastAsia="宋体" w:hAnsi="宋体" w:cs="宋体" w:hint="eastAsia"/>
        </w:rPr>
        <w:t>市场利率高企，</w:t>
      </w:r>
      <w:r w:rsidR="00ED29F6" w:rsidRPr="00ED29F6">
        <w:rPr>
          <w:rFonts w:hint="eastAsia"/>
        </w:rPr>
        <w:t>IPO</w:t>
      </w:r>
      <w:r w:rsidR="00ED29F6" w:rsidRPr="00ED29F6">
        <w:rPr>
          <w:rFonts w:ascii="宋体" w:eastAsia="宋体" w:hAnsi="宋体" w:cs="宋体" w:hint="eastAsia"/>
        </w:rPr>
        <w:t>的重</w:t>
      </w:r>
      <w:proofErr w:type="gramStart"/>
      <w:r w:rsidR="00ED29F6" w:rsidRPr="00ED29F6">
        <w:rPr>
          <w:rFonts w:ascii="宋体" w:eastAsia="宋体" w:hAnsi="宋体" w:cs="宋体" w:hint="eastAsia"/>
        </w:rPr>
        <w:t>启更是</w:t>
      </w:r>
      <w:proofErr w:type="gramEnd"/>
      <w:r w:rsidR="00ED29F6" w:rsidRPr="00ED29F6">
        <w:rPr>
          <w:rFonts w:ascii="宋体" w:eastAsia="宋体" w:hAnsi="宋体" w:cs="宋体" w:hint="eastAsia"/>
        </w:rPr>
        <w:t>雪上加霜，虽</w:t>
      </w:r>
      <w:r>
        <w:rPr>
          <w:rFonts w:ascii="宋体" w:eastAsia="宋体" w:hAnsi="宋体" w:cs="宋体" w:hint="eastAsia"/>
        </w:rPr>
        <w:t>然春</w:t>
      </w:r>
      <w:r w:rsidR="00ED29F6" w:rsidRPr="00ED29F6">
        <w:rPr>
          <w:rFonts w:ascii="宋体" w:eastAsia="宋体" w:hAnsi="宋体" w:cs="宋体" w:hint="eastAsia"/>
        </w:rPr>
        <w:t>节前央行大量注入流动性，投资者观望气氛仍十分浓厚。</w:t>
      </w:r>
      <w:r w:rsidR="00506F37" w:rsidRPr="00506F37">
        <w:rPr>
          <w:rFonts w:ascii="宋体" w:eastAsia="宋体" w:hAnsi="宋体" w:cs="宋体" w:hint="eastAsia"/>
        </w:rPr>
        <w:t>上证指数、深证成指和沪深</w:t>
      </w:r>
      <w:r w:rsidR="00506F37" w:rsidRPr="00506F37">
        <w:rPr>
          <w:rFonts w:hint="eastAsia"/>
        </w:rPr>
        <w:t>300</w:t>
      </w:r>
      <w:r w:rsidR="00506F37" w:rsidRPr="00506F37">
        <w:rPr>
          <w:rFonts w:ascii="宋体" w:eastAsia="宋体" w:hAnsi="宋体" w:cs="宋体" w:hint="eastAsia"/>
        </w:rPr>
        <w:t>分别下跌</w:t>
      </w:r>
      <w:r w:rsidR="00506F37" w:rsidRPr="00506F37">
        <w:rPr>
          <w:rFonts w:hint="eastAsia"/>
        </w:rPr>
        <w:t>3.91%</w:t>
      </w:r>
      <w:r w:rsidR="00506F37" w:rsidRPr="00506F37">
        <w:rPr>
          <w:rFonts w:ascii="宋体" w:eastAsia="宋体" w:hAnsi="宋体" w:cs="宋体" w:hint="eastAsia"/>
        </w:rPr>
        <w:t>、</w:t>
      </w:r>
      <w:r w:rsidR="00506F37" w:rsidRPr="00506F37">
        <w:rPr>
          <w:rFonts w:hint="eastAsia"/>
        </w:rPr>
        <w:t>6.76%</w:t>
      </w:r>
      <w:r w:rsidR="00506F37" w:rsidRPr="00506F37">
        <w:rPr>
          <w:rFonts w:ascii="宋体" w:eastAsia="宋体" w:hAnsi="宋体" w:cs="宋体" w:hint="eastAsia"/>
        </w:rPr>
        <w:t>和</w:t>
      </w:r>
      <w:r w:rsidR="00AF3242">
        <w:rPr>
          <w:rFonts w:hint="eastAsia"/>
        </w:rPr>
        <w:t>5.4</w:t>
      </w:r>
      <w:r w:rsidR="00AF3242">
        <w:rPr>
          <w:rFonts w:eastAsiaTheme="minorEastAsia" w:hint="eastAsia"/>
        </w:rPr>
        <w:t>8</w:t>
      </w:r>
      <w:r w:rsidR="00506F37" w:rsidRPr="00506F37">
        <w:rPr>
          <w:rFonts w:hint="eastAsia"/>
        </w:rPr>
        <w:t>%</w:t>
      </w:r>
      <w:r w:rsidR="00506F37" w:rsidRPr="00506F37">
        <w:rPr>
          <w:rFonts w:ascii="宋体" w:eastAsia="宋体" w:hAnsi="宋体" w:cs="宋体" w:hint="eastAsia"/>
        </w:rPr>
        <w:t>，中小板和创业板指分别上涨</w:t>
      </w:r>
      <w:r w:rsidR="00506F37" w:rsidRPr="00506F37">
        <w:rPr>
          <w:rFonts w:hint="eastAsia"/>
        </w:rPr>
        <w:t>1.01%</w:t>
      </w:r>
      <w:r w:rsidR="00506F37" w:rsidRPr="00506F37">
        <w:rPr>
          <w:rFonts w:ascii="宋体" w:eastAsia="宋体" w:hAnsi="宋体" w:cs="宋体" w:hint="eastAsia"/>
        </w:rPr>
        <w:t>和</w:t>
      </w:r>
      <w:r w:rsidR="00506F37" w:rsidRPr="00506F37">
        <w:rPr>
          <w:rFonts w:hint="eastAsia"/>
        </w:rPr>
        <w:t>14.68%</w:t>
      </w:r>
      <w:r w:rsidR="00506F37" w:rsidRPr="00506F37">
        <w:rPr>
          <w:rFonts w:ascii="宋体" w:eastAsia="宋体" w:hAnsi="宋体" w:cs="宋体" w:hint="eastAsia"/>
        </w:rPr>
        <w:t>。行业上看，</w:t>
      </w:r>
      <w:r w:rsidR="00506F37" w:rsidRPr="00506F37">
        <w:rPr>
          <w:rFonts w:hint="eastAsia"/>
        </w:rPr>
        <w:t>TMT</w:t>
      </w:r>
      <w:r w:rsidR="00506F37" w:rsidRPr="00506F37">
        <w:rPr>
          <w:rFonts w:ascii="宋体" w:eastAsia="宋体" w:hAnsi="宋体" w:cs="宋体" w:hint="eastAsia"/>
        </w:rPr>
        <w:t>行业涨势良好，周期类板块表现欠佳</w:t>
      </w:r>
      <w:r w:rsidR="00ED29F6">
        <w:rPr>
          <w:rFonts w:ascii="宋体" w:eastAsia="宋体" w:hAnsi="宋体" w:cs="宋体" w:hint="eastAsia"/>
        </w:rPr>
        <w:t>；</w:t>
      </w:r>
      <w:r w:rsidR="00506F37" w:rsidRPr="00506F37">
        <w:rPr>
          <w:rFonts w:ascii="宋体" w:eastAsia="宋体" w:hAnsi="宋体" w:cs="宋体" w:hint="eastAsia"/>
        </w:rPr>
        <w:t>传媒领涨，单月涨幅超过</w:t>
      </w:r>
      <w:r w:rsidR="00506F37" w:rsidRPr="00506F37">
        <w:rPr>
          <w:rFonts w:hint="eastAsia"/>
        </w:rPr>
        <w:t>20%</w:t>
      </w:r>
      <w:r w:rsidR="00506F37" w:rsidRPr="00506F37">
        <w:rPr>
          <w:rFonts w:ascii="宋体" w:eastAsia="宋体" w:hAnsi="宋体" w:cs="宋体" w:hint="eastAsia"/>
        </w:rPr>
        <w:t>；计算机、通信涨幅居前；煤炭领跌，单月跌幅为</w:t>
      </w:r>
      <w:r w:rsidR="00506F37" w:rsidRPr="00506F37">
        <w:rPr>
          <w:rFonts w:hint="eastAsia"/>
        </w:rPr>
        <w:t>12.77%</w:t>
      </w:r>
      <w:r w:rsidR="00506F37" w:rsidRPr="00506F37">
        <w:rPr>
          <w:rFonts w:ascii="宋体" w:eastAsia="宋体" w:hAnsi="宋体" w:cs="宋体" w:hint="eastAsia"/>
        </w:rPr>
        <w:t>；建材、建筑、食品饮料、农林牧渔、非银行金融、钢铁跌幅居前，超过</w:t>
      </w:r>
      <w:r w:rsidR="00506F37" w:rsidRPr="00506F37">
        <w:rPr>
          <w:rFonts w:hint="eastAsia"/>
        </w:rPr>
        <w:t>5%</w:t>
      </w:r>
      <w:r w:rsidR="00506F37" w:rsidRPr="00506F37">
        <w:rPr>
          <w:rFonts w:ascii="宋体" w:eastAsia="宋体" w:hAnsi="宋体" w:cs="宋体" w:hint="eastAsia"/>
        </w:rPr>
        <w:t>。</w:t>
      </w:r>
    </w:p>
    <w:tbl>
      <w:tblPr>
        <w:tblW w:w="10771" w:type="dxa"/>
        <w:tblLayout w:type="fixed"/>
        <w:tblCellMar>
          <w:left w:w="0" w:type="dxa"/>
          <w:right w:w="0" w:type="dxa"/>
        </w:tblCellMar>
        <w:tblLook w:val="0000"/>
      </w:tblPr>
      <w:tblGrid>
        <w:gridCol w:w="5272"/>
        <w:gridCol w:w="227"/>
        <w:gridCol w:w="5272"/>
      </w:tblGrid>
      <w:tr w:rsidR="00656031" w:rsidRPr="00837084" w:rsidTr="003629A1">
        <w:trPr>
          <w:cantSplit/>
          <w:trHeight w:val="368"/>
        </w:trPr>
        <w:tc>
          <w:tcPr>
            <w:tcW w:w="5272" w:type="dxa"/>
            <w:tcBorders>
              <w:top w:val="single" w:sz="6" w:space="0" w:color="FF6600"/>
              <w:bottom w:val="single" w:sz="6" w:space="0" w:color="FF6600"/>
            </w:tcBorders>
            <w:shd w:val="clear" w:color="auto" w:fill="auto"/>
            <w:vAlign w:val="center"/>
          </w:tcPr>
          <w:p w:rsidR="00656031" w:rsidRPr="00D549CA" w:rsidRDefault="003629A1" w:rsidP="003629A1">
            <w:pPr>
              <w:pStyle w:val="SubTitleLargeTable"/>
              <w:pBdr>
                <w:top w:val="none" w:sz="0" w:space="0" w:color="auto"/>
              </w:pBdr>
              <w:rPr>
                <w:rFonts w:eastAsiaTheme="minorEastAsia"/>
              </w:rPr>
            </w:pPr>
            <w:r w:rsidRPr="00656031">
              <w:rPr>
                <w:color w:val="FF6600"/>
              </w:rPr>
              <w:t>图表</w:t>
            </w:r>
            <w:r w:rsidR="00A214EE">
              <w:rPr>
                <w:rFonts w:eastAsiaTheme="minorEastAsia" w:hint="eastAsia"/>
                <w:color w:val="FF6600"/>
              </w:rPr>
              <w:t>2</w:t>
            </w:r>
            <w:r w:rsidRPr="00656031">
              <w:rPr>
                <w:rFonts w:hint="eastAsia"/>
                <w:color w:val="FF6600"/>
              </w:rPr>
              <w:t>：</w:t>
            </w:r>
            <w:r w:rsidR="00A245D0">
              <w:rPr>
                <w:rFonts w:eastAsiaTheme="minorEastAsia" w:hint="eastAsia"/>
                <w:color w:val="FF6600"/>
              </w:rPr>
              <w:t>1</w:t>
            </w:r>
            <w:r w:rsidR="00D549CA">
              <w:rPr>
                <w:rFonts w:eastAsiaTheme="minorEastAsia" w:hint="eastAsia"/>
                <w:color w:val="FF6600"/>
              </w:rPr>
              <w:t>月份全球各大指数涨跌对比</w:t>
            </w:r>
          </w:p>
        </w:tc>
        <w:tc>
          <w:tcPr>
            <w:tcW w:w="227" w:type="dxa"/>
            <w:vAlign w:val="center"/>
          </w:tcPr>
          <w:p w:rsidR="00656031" w:rsidRPr="00837084" w:rsidRDefault="00656031" w:rsidP="00C30549">
            <w:pPr>
              <w:jc w:val="center"/>
            </w:pPr>
          </w:p>
        </w:tc>
        <w:tc>
          <w:tcPr>
            <w:tcW w:w="5272" w:type="dxa"/>
            <w:tcBorders>
              <w:top w:val="single" w:sz="6" w:space="0" w:color="FF6600"/>
              <w:bottom w:val="single" w:sz="6" w:space="0" w:color="FF6600"/>
            </w:tcBorders>
            <w:shd w:val="clear" w:color="auto" w:fill="auto"/>
            <w:vAlign w:val="center"/>
          </w:tcPr>
          <w:p w:rsidR="00656031" w:rsidRPr="00D549CA" w:rsidRDefault="003629A1" w:rsidP="003629A1">
            <w:pPr>
              <w:pStyle w:val="SubTitleLargeTable"/>
              <w:pBdr>
                <w:top w:val="none" w:sz="0" w:space="0" w:color="auto"/>
              </w:pBdr>
              <w:rPr>
                <w:rFonts w:eastAsiaTheme="minorEastAsia"/>
              </w:rPr>
            </w:pPr>
            <w:r w:rsidRPr="00656031">
              <w:rPr>
                <w:color w:val="FF6600"/>
              </w:rPr>
              <w:t>图表</w:t>
            </w:r>
            <w:r w:rsidR="00A214EE">
              <w:rPr>
                <w:rFonts w:eastAsiaTheme="minorEastAsia" w:hint="eastAsia"/>
                <w:color w:val="FF6600"/>
              </w:rPr>
              <w:t>3</w:t>
            </w:r>
            <w:r w:rsidRPr="00656031">
              <w:rPr>
                <w:rFonts w:hint="eastAsia"/>
                <w:color w:val="FF6600"/>
              </w:rPr>
              <w:t>：</w:t>
            </w:r>
            <w:r w:rsidR="00A245D0">
              <w:rPr>
                <w:rFonts w:eastAsiaTheme="minorEastAsia" w:hint="eastAsia"/>
                <w:color w:val="FF6600"/>
              </w:rPr>
              <w:t>1</w:t>
            </w:r>
            <w:r w:rsidR="00347B08">
              <w:rPr>
                <w:rFonts w:eastAsiaTheme="minorEastAsia" w:hint="eastAsia"/>
                <w:color w:val="FF6600"/>
              </w:rPr>
              <w:t>月份</w:t>
            </w:r>
            <w:proofErr w:type="gramStart"/>
            <w:r w:rsidR="00347B08">
              <w:rPr>
                <w:rFonts w:eastAsiaTheme="minorEastAsia" w:hint="eastAsia"/>
                <w:color w:val="FF6600"/>
              </w:rPr>
              <w:t>申万</w:t>
            </w:r>
            <w:r w:rsidR="00D549CA">
              <w:rPr>
                <w:rFonts w:eastAsiaTheme="minorEastAsia" w:hint="eastAsia"/>
                <w:color w:val="FF6600"/>
              </w:rPr>
              <w:t>一级行业</w:t>
            </w:r>
            <w:proofErr w:type="gramEnd"/>
            <w:r w:rsidR="00D549CA">
              <w:rPr>
                <w:rFonts w:eastAsiaTheme="minorEastAsia" w:hint="eastAsia"/>
                <w:color w:val="FF6600"/>
              </w:rPr>
              <w:t>涨跌对比</w:t>
            </w:r>
          </w:p>
        </w:tc>
      </w:tr>
      <w:tr w:rsidR="008840A4" w:rsidRPr="00837084" w:rsidTr="00D549CA">
        <w:trPr>
          <w:cantSplit/>
          <w:trHeight w:val="3444"/>
        </w:trPr>
        <w:tc>
          <w:tcPr>
            <w:tcW w:w="5272" w:type="dxa"/>
            <w:tcBorders>
              <w:top w:val="single" w:sz="6" w:space="0" w:color="FF6600"/>
              <w:bottom w:val="single" w:sz="6" w:space="0" w:color="FF6600"/>
            </w:tcBorders>
            <w:shd w:val="clear" w:color="auto" w:fill="auto"/>
            <w:vAlign w:val="center"/>
          </w:tcPr>
          <w:p w:rsidR="008840A4" w:rsidRPr="009B34DA" w:rsidRDefault="0068621D" w:rsidP="00C30549">
            <w:pPr>
              <w:jc w:val="center"/>
            </w:pPr>
            <w:r>
              <w:rPr>
                <w:noProof/>
              </w:rPr>
              <w:drawing>
                <wp:inline distT="0" distB="0" distL="0" distR="0">
                  <wp:extent cx="3333750" cy="2150293"/>
                  <wp:effectExtent l="1905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337405" cy="2152650"/>
                          </a:xfrm>
                          <a:prstGeom prst="rect">
                            <a:avLst/>
                          </a:prstGeom>
                          <a:noFill/>
                        </pic:spPr>
                      </pic:pic>
                    </a:graphicData>
                  </a:graphic>
                </wp:inline>
              </w:drawing>
            </w:r>
          </w:p>
        </w:tc>
        <w:tc>
          <w:tcPr>
            <w:tcW w:w="227" w:type="dxa"/>
            <w:vAlign w:val="center"/>
          </w:tcPr>
          <w:p w:rsidR="008840A4" w:rsidRPr="00837084" w:rsidRDefault="008840A4" w:rsidP="00C30549">
            <w:pPr>
              <w:jc w:val="center"/>
            </w:pPr>
          </w:p>
        </w:tc>
        <w:tc>
          <w:tcPr>
            <w:tcW w:w="5272" w:type="dxa"/>
            <w:tcBorders>
              <w:top w:val="single" w:sz="6" w:space="0" w:color="FF6600"/>
              <w:bottom w:val="single" w:sz="6" w:space="0" w:color="FF6600"/>
            </w:tcBorders>
            <w:shd w:val="clear" w:color="auto" w:fill="auto"/>
            <w:vAlign w:val="center"/>
          </w:tcPr>
          <w:p w:rsidR="008840A4" w:rsidRPr="00F12D44" w:rsidRDefault="0068621D" w:rsidP="00C30549">
            <w:pPr>
              <w:jc w:val="center"/>
            </w:pPr>
            <w:r>
              <w:rPr>
                <w:noProof/>
              </w:rPr>
              <w:drawing>
                <wp:inline distT="0" distB="0" distL="0" distR="0">
                  <wp:extent cx="3352800" cy="2124075"/>
                  <wp:effectExtent l="1905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352800" cy="2124075"/>
                          </a:xfrm>
                          <a:prstGeom prst="rect">
                            <a:avLst/>
                          </a:prstGeom>
                          <a:noFill/>
                        </pic:spPr>
                      </pic:pic>
                    </a:graphicData>
                  </a:graphic>
                </wp:inline>
              </w:drawing>
            </w:r>
          </w:p>
        </w:tc>
      </w:tr>
    </w:tbl>
    <w:p w:rsidR="008840A4" w:rsidRDefault="008840A4" w:rsidP="003629A1">
      <w:pPr>
        <w:pStyle w:val="FootnoteNoline"/>
        <w:ind w:left="0"/>
        <w:jc w:val="left"/>
      </w:pPr>
      <w:r w:rsidRPr="003629A1">
        <w:rPr>
          <w:rFonts w:hint="eastAsia"/>
          <w:color w:val="FF6600"/>
        </w:rPr>
        <w:t>来源：</w:t>
      </w:r>
      <w:proofErr w:type="gramStart"/>
      <w:r w:rsidR="00C806CE" w:rsidRPr="003629A1">
        <w:rPr>
          <w:rFonts w:hint="eastAsia"/>
          <w:color w:val="FF6600"/>
        </w:rPr>
        <w:t>凯</w:t>
      </w:r>
      <w:proofErr w:type="gramEnd"/>
      <w:r w:rsidR="00C806CE" w:rsidRPr="003629A1">
        <w:rPr>
          <w:rFonts w:hint="eastAsia"/>
          <w:color w:val="FF6600"/>
        </w:rPr>
        <w:t>石财富工场</w:t>
      </w:r>
      <w:r>
        <w:rPr>
          <w:rFonts w:hint="eastAsia"/>
        </w:rPr>
        <w:t xml:space="preserve"> </w:t>
      </w:r>
    </w:p>
    <w:p w:rsidR="00367B17" w:rsidRPr="00367B17" w:rsidRDefault="00367B17" w:rsidP="00367B17">
      <w:pPr>
        <w:pStyle w:val="ac"/>
        <w:numPr>
          <w:ilvl w:val="4"/>
          <w:numId w:val="4"/>
        </w:numPr>
        <w:spacing w:after="163"/>
        <w:rPr>
          <w:color w:val="auto"/>
        </w:rPr>
      </w:pPr>
      <w:r>
        <w:rPr>
          <w:rFonts w:ascii="宋体" w:eastAsia="宋体" w:hAnsi="宋体" w:cs="宋体" w:hint="eastAsia"/>
          <w:color w:val="auto"/>
        </w:rPr>
        <w:t>尽管创业板继续突飞猛进，各类金融理财产品管理人</w:t>
      </w:r>
      <w:r w:rsidRPr="0041111A">
        <w:rPr>
          <w:rFonts w:ascii="宋体" w:eastAsia="宋体" w:hAnsi="宋体" w:cs="宋体" w:hint="eastAsia"/>
          <w:color w:val="auto"/>
        </w:rPr>
        <w:t>对其</w:t>
      </w:r>
      <w:r>
        <w:rPr>
          <w:rFonts w:ascii="宋体" w:eastAsia="宋体" w:hAnsi="宋体" w:cs="宋体" w:hint="eastAsia"/>
          <w:color w:val="auto"/>
        </w:rPr>
        <w:t>却持观望态度，因而</w:t>
      </w:r>
      <w:r w:rsidRPr="00896D1C">
        <w:rPr>
          <w:rFonts w:hint="eastAsia"/>
          <w:color w:val="auto"/>
        </w:rPr>
        <w:t>1</w:t>
      </w:r>
      <w:r w:rsidRPr="00896D1C">
        <w:rPr>
          <w:rFonts w:ascii="宋体" w:eastAsia="宋体" w:hAnsi="宋体" w:cs="宋体" w:hint="eastAsia"/>
          <w:color w:val="auto"/>
        </w:rPr>
        <w:t>月</w:t>
      </w:r>
      <w:r>
        <w:rPr>
          <w:rFonts w:ascii="宋体" w:eastAsia="宋体" w:hAnsi="宋体" w:cs="宋体" w:hint="eastAsia"/>
          <w:color w:val="auto"/>
        </w:rPr>
        <w:t>份金融产品普遍收益平缓。</w:t>
      </w:r>
      <w:r w:rsidRPr="0041111A">
        <w:rPr>
          <w:rFonts w:ascii="宋体" w:eastAsia="宋体" w:hAnsi="宋体" w:cs="宋体" w:hint="eastAsia"/>
          <w:color w:val="auto"/>
        </w:rPr>
        <w:t>具体来看，</w:t>
      </w:r>
      <w:r>
        <w:rPr>
          <w:rFonts w:ascii="宋体" w:eastAsia="宋体" w:hAnsi="宋体" w:cs="宋体" w:hint="eastAsia"/>
          <w:color w:val="auto"/>
        </w:rPr>
        <w:t>非指数</w:t>
      </w:r>
      <w:r w:rsidRPr="0041111A">
        <w:rPr>
          <w:rFonts w:ascii="宋体" w:eastAsia="宋体" w:hAnsi="宋体" w:cs="宋体" w:hint="eastAsia"/>
          <w:color w:val="auto"/>
        </w:rPr>
        <w:t>股票型</w:t>
      </w:r>
      <w:r>
        <w:rPr>
          <w:rFonts w:ascii="宋体" w:eastAsia="宋体" w:hAnsi="宋体" w:cs="宋体" w:hint="eastAsia"/>
          <w:color w:val="auto"/>
        </w:rPr>
        <w:t>公</w:t>
      </w:r>
      <w:proofErr w:type="gramStart"/>
      <w:r>
        <w:rPr>
          <w:rFonts w:ascii="宋体" w:eastAsia="宋体" w:hAnsi="宋体" w:cs="宋体" w:hint="eastAsia"/>
          <w:color w:val="auto"/>
        </w:rPr>
        <w:t>募</w:t>
      </w:r>
      <w:r w:rsidRPr="0041111A">
        <w:rPr>
          <w:rFonts w:ascii="宋体" w:eastAsia="宋体" w:hAnsi="宋体" w:cs="宋体" w:hint="eastAsia"/>
          <w:color w:val="auto"/>
        </w:rPr>
        <w:t>基金</w:t>
      </w:r>
      <w:proofErr w:type="gramEnd"/>
      <w:r w:rsidRPr="0041111A">
        <w:rPr>
          <w:rFonts w:ascii="宋体" w:eastAsia="宋体" w:hAnsi="宋体" w:cs="宋体" w:hint="eastAsia"/>
          <w:color w:val="auto"/>
        </w:rPr>
        <w:t>净值平均上涨</w:t>
      </w:r>
      <w:r w:rsidRPr="0041111A">
        <w:rPr>
          <w:rFonts w:hint="eastAsia"/>
          <w:color w:val="auto"/>
        </w:rPr>
        <w:t>1.18%</w:t>
      </w:r>
      <w:r w:rsidRPr="0041111A">
        <w:rPr>
          <w:rFonts w:ascii="宋体" w:eastAsia="宋体" w:hAnsi="宋体" w:cs="宋体" w:hint="eastAsia"/>
          <w:color w:val="auto"/>
        </w:rPr>
        <w:t>，</w:t>
      </w:r>
      <w:r>
        <w:rPr>
          <w:rFonts w:ascii="宋体" w:eastAsia="宋体" w:hAnsi="宋体" w:cs="宋体" w:hint="eastAsia"/>
          <w:color w:val="auto"/>
        </w:rPr>
        <w:t>股票多头策略对冲基金</w:t>
      </w:r>
      <w:r w:rsidR="001C250E">
        <w:rPr>
          <w:rFonts w:ascii="宋体" w:eastAsia="宋体" w:hAnsi="宋体" w:cs="宋体" w:hint="eastAsia"/>
          <w:color w:val="auto"/>
        </w:rPr>
        <w:t>的这一数据</w:t>
      </w:r>
      <w:r w:rsidR="004D02C3">
        <w:rPr>
          <w:rFonts w:ascii="宋体" w:eastAsia="宋体" w:hAnsi="宋体" w:cs="宋体" w:hint="eastAsia"/>
          <w:color w:val="auto"/>
        </w:rPr>
        <w:t>则</w:t>
      </w:r>
      <w:r w:rsidR="001C250E">
        <w:rPr>
          <w:rFonts w:ascii="宋体" w:eastAsia="宋体" w:hAnsi="宋体" w:cs="宋体" w:hint="eastAsia"/>
          <w:color w:val="auto"/>
        </w:rPr>
        <w:t>为：管理</w:t>
      </w:r>
      <w:r w:rsidR="001C250E" w:rsidRPr="001C250E">
        <w:rPr>
          <w:rFonts w:eastAsiaTheme="minorEastAsia" w:hint="eastAsia"/>
          <w:color w:val="auto"/>
        </w:rPr>
        <w:t>型</w:t>
      </w:r>
      <w:r w:rsidR="001C250E" w:rsidRPr="001C250E">
        <w:rPr>
          <w:rFonts w:eastAsiaTheme="minorEastAsia" w:hint="eastAsia"/>
          <w:color w:val="auto"/>
        </w:rPr>
        <w:t>1.78</w:t>
      </w:r>
      <w:r w:rsidRPr="001C250E">
        <w:rPr>
          <w:rFonts w:eastAsiaTheme="minorEastAsia" w:hint="eastAsia"/>
          <w:color w:val="auto"/>
        </w:rPr>
        <w:t>%</w:t>
      </w:r>
      <w:r w:rsidR="001C250E">
        <w:rPr>
          <w:rFonts w:hint="eastAsia"/>
          <w:color w:val="auto"/>
        </w:rPr>
        <w:t>，分级型</w:t>
      </w:r>
      <w:r w:rsidR="001C250E">
        <w:rPr>
          <w:rFonts w:eastAsiaTheme="minorEastAsia" w:hint="eastAsia"/>
          <w:color w:val="auto"/>
        </w:rPr>
        <w:t>2.06%</w:t>
      </w:r>
      <w:r w:rsidRPr="0041111A">
        <w:rPr>
          <w:rFonts w:ascii="宋体" w:eastAsia="宋体" w:hAnsi="宋体" w:cs="宋体" w:hint="eastAsia"/>
          <w:color w:val="auto"/>
        </w:rPr>
        <w:t>。</w:t>
      </w:r>
      <w:r w:rsidR="001C250E">
        <w:rPr>
          <w:rFonts w:hint="eastAsia"/>
          <w:szCs w:val="21"/>
        </w:rPr>
        <w:t>与</w:t>
      </w:r>
      <w:r w:rsidR="001C250E">
        <w:rPr>
          <w:rFonts w:hint="eastAsia"/>
          <w:szCs w:val="21"/>
        </w:rPr>
        <w:t>A</w:t>
      </w:r>
      <w:r w:rsidR="001C250E">
        <w:rPr>
          <w:rFonts w:hint="eastAsia"/>
          <w:szCs w:val="21"/>
        </w:rPr>
        <w:t>股主要指数相比，传统策略的对冲基金</w:t>
      </w:r>
      <w:proofErr w:type="gramStart"/>
      <w:r w:rsidR="001C250E">
        <w:rPr>
          <w:rFonts w:hint="eastAsia"/>
          <w:szCs w:val="21"/>
        </w:rPr>
        <w:t>跑赢沪深</w:t>
      </w:r>
      <w:proofErr w:type="gramEnd"/>
      <w:r w:rsidR="001C250E">
        <w:rPr>
          <w:rFonts w:hint="eastAsia"/>
          <w:szCs w:val="21"/>
        </w:rPr>
        <w:t>300</w:t>
      </w:r>
      <w:r w:rsidR="00F32D1E">
        <w:rPr>
          <w:rFonts w:hint="eastAsia"/>
          <w:szCs w:val="21"/>
        </w:rPr>
        <w:t>、中证</w:t>
      </w:r>
      <w:r w:rsidR="00F32D1E">
        <w:rPr>
          <w:rFonts w:eastAsiaTheme="minorEastAsia" w:hint="eastAsia"/>
          <w:szCs w:val="21"/>
        </w:rPr>
        <w:t>500</w:t>
      </w:r>
      <w:r w:rsidR="00F32D1E">
        <w:rPr>
          <w:rFonts w:eastAsiaTheme="minorEastAsia" w:hint="eastAsia"/>
          <w:szCs w:val="21"/>
        </w:rPr>
        <w:t>和</w:t>
      </w:r>
      <w:r w:rsidR="001C250E">
        <w:rPr>
          <w:rFonts w:hint="eastAsia"/>
          <w:szCs w:val="21"/>
        </w:rPr>
        <w:t>中小板指</w:t>
      </w:r>
      <w:r w:rsidR="00F32D1E">
        <w:rPr>
          <w:rFonts w:hint="eastAsia"/>
          <w:szCs w:val="21"/>
        </w:rPr>
        <w:t>，</w:t>
      </w:r>
      <w:r w:rsidR="001C250E">
        <w:rPr>
          <w:rFonts w:hint="eastAsia"/>
          <w:szCs w:val="21"/>
        </w:rPr>
        <w:t>但落后</w:t>
      </w:r>
      <w:r w:rsidR="00F32D1E">
        <w:rPr>
          <w:rFonts w:hint="eastAsia"/>
          <w:szCs w:val="21"/>
        </w:rPr>
        <w:t>于</w:t>
      </w:r>
      <w:r w:rsidR="001C250E">
        <w:rPr>
          <w:rFonts w:hint="eastAsia"/>
          <w:szCs w:val="21"/>
        </w:rPr>
        <w:t>创业板指。</w:t>
      </w:r>
    </w:p>
    <w:tbl>
      <w:tblPr>
        <w:tblW w:w="7442" w:type="dxa"/>
        <w:tblInd w:w="340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7442"/>
      </w:tblGrid>
      <w:tr w:rsidR="00622694" w:rsidTr="00C30549">
        <w:trPr>
          <w:cantSplit/>
          <w:trHeight w:val="65"/>
        </w:trPr>
        <w:tc>
          <w:tcPr>
            <w:tcW w:w="7442" w:type="dxa"/>
            <w:shd w:val="clear" w:color="auto" w:fill="auto"/>
            <w:vAlign w:val="center"/>
          </w:tcPr>
          <w:p w:rsidR="00622694" w:rsidRPr="001201B9" w:rsidRDefault="00622694" w:rsidP="00C30549">
            <w:pPr>
              <w:pStyle w:val="SubTitleLargeTable"/>
              <w:pBdr>
                <w:top w:val="none" w:sz="0" w:space="0" w:color="auto"/>
              </w:pBdr>
              <w:rPr>
                <w:rFonts w:ascii="宋体" w:eastAsiaTheme="minorEastAsia" w:hAnsi="宋体"/>
                <w:b w:val="0"/>
                <w:color w:val="FF6600"/>
              </w:rPr>
            </w:pPr>
            <w:r w:rsidRPr="00656031">
              <w:rPr>
                <w:rFonts w:ascii="宋体" w:eastAsia="宋体" w:hAnsi="宋体" w:cs="宋体" w:hint="eastAsia"/>
                <w:color w:val="FF6600"/>
              </w:rPr>
              <w:lastRenderedPageBreak/>
              <w:t>图表</w:t>
            </w:r>
            <w:r w:rsidR="003C328F">
              <w:rPr>
                <w:rFonts w:eastAsiaTheme="minorEastAsia" w:hint="eastAsia"/>
                <w:color w:val="FF6600"/>
              </w:rPr>
              <w:t>4</w:t>
            </w:r>
            <w:r w:rsidRPr="00656031">
              <w:rPr>
                <w:rFonts w:ascii="宋体" w:eastAsia="宋体" w:hAnsi="宋体" w:cs="宋体" w:hint="eastAsia"/>
                <w:color w:val="FF6600"/>
              </w:rPr>
              <w:t>：</w:t>
            </w:r>
            <w:r w:rsidR="00A245D0">
              <w:rPr>
                <w:rFonts w:eastAsiaTheme="minorEastAsia" w:hint="eastAsia"/>
                <w:color w:val="FF6600"/>
              </w:rPr>
              <w:t>1</w:t>
            </w:r>
            <w:r w:rsidR="001201B9">
              <w:rPr>
                <w:rFonts w:eastAsiaTheme="minorEastAsia" w:hint="eastAsia"/>
                <w:color w:val="FF6600"/>
              </w:rPr>
              <w:t>月份各指数及</w:t>
            </w:r>
            <w:r w:rsidR="003C328F">
              <w:rPr>
                <w:rFonts w:eastAsiaTheme="minorEastAsia" w:hint="eastAsia"/>
                <w:color w:val="FF6600"/>
              </w:rPr>
              <w:t>各类金融产品涨跌对比</w:t>
            </w:r>
          </w:p>
        </w:tc>
      </w:tr>
      <w:tr w:rsidR="00622694" w:rsidTr="00C30549">
        <w:trPr>
          <w:cantSplit/>
          <w:trHeight w:val="3169"/>
        </w:trPr>
        <w:tc>
          <w:tcPr>
            <w:tcW w:w="7442" w:type="dxa"/>
            <w:shd w:val="clear" w:color="auto" w:fill="auto"/>
            <w:vAlign w:val="center"/>
          </w:tcPr>
          <w:p w:rsidR="00622694" w:rsidRPr="00921371" w:rsidRDefault="00AF3242" w:rsidP="00C30549">
            <w:pPr>
              <w:snapToGrid w:val="0"/>
              <w:spacing w:line="10" w:lineRule="atLeast"/>
              <w:jc w:val="center"/>
              <w:rPr>
                <w:rFonts w:ascii="宋体" w:eastAsia="宋体" w:hAnsi="宋体"/>
                <w:b/>
              </w:rPr>
            </w:pPr>
            <w:r>
              <w:rPr>
                <w:rFonts w:ascii="宋体" w:eastAsia="宋体" w:hAnsi="宋体"/>
                <w:b/>
                <w:noProof/>
              </w:rPr>
              <w:drawing>
                <wp:inline distT="0" distB="0" distL="0" distR="0">
                  <wp:extent cx="4238625" cy="2543175"/>
                  <wp:effectExtent l="19050" t="0" r="952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4235115" cy="2541069"/>
                          </a:xfrm>
                          <a:prstGeom prst="rect">
                            <a:avLst/>
                          </a:prstGeom>
                          <a:noFill/>
                        </pic:spPr>
                      </pic:pic>
                    </a:graphicData>
                  </a:graphic>
                </wp:inline>
              </w:drawing>
            </w:r>
          </w:p>
        </w:tc>
      </w:tr>
    </w:tbl>
    <w:p w:rsidR="00622694" w:rsidRPr="00656031" w:rsidRDefault="00622694" w:rsidP="00622694">
      <w:pPr>
        <w:pStyle w:val="FootnoteNoline"/>
        <w:rPr>
          <w:color w:val="FF6600"/>
        </w:rPr>
      </w:pPr>
      <w:r w:rsidRPr="00656031">
        <w:rPr>
          <w:rFonts w:ascii="宋体" w:eastAsia="宋体" w:hAnsi="宋体" w:cs="宋体" w:hint="eastAsia"/>
          <w:color w:val="FF6600"/>
        </w:rPr>
        <w:t>来源：</w:t>
      </w:r>
      <w:proofErr w:type="gramStart"/>
      <w:r w:rsidRPr="00656031">
        <w:rPr>
          <w:rFonts w:ascii="宋体" w:eastAsia="宋体" w:hAnsi="宋体" w:cs="宋体" w:hint="eastAsia"/>
          <w:color w:val="FF6600"/>
        </w:rPr>
        <w:t>凯</w:t>
      </w:r>
      <w:proofErr w:type="gramEnd"/>
      <w:r w:rsidRPr="00656031">
        <w:rPr>
          <w:rFonts w:ascii="宋体" w:eastAsia="宋体" w:hAnsi="宋体" w:cs="宋体" w:hint="eastAsia"/>
          <w:color w:val="FF6600"/>
        </w:rPr>
        <w:t>石财富工场</w:t>
      </w:r>
    </w:p>
    <w:p w:rsidR="00F42AFF" w:rsidRPr="00B57CA3" w:rsidRDefault="0090625F" w:rsidP="00B57CA3">
      <w:pPr>
        <w:pStyle w:val="ac"/>
        <w:numPr>
          <w:ilvl w:val="0"/>
          <w:numId w:val="5"/>
        </w:numPr>
        <w:spacing w:after="163"/>
        <w:rPr>
          <w:szCs w:val="21"/>
        </w:rPr>
      </w:pPr>
      <w:r w:rsidRPr="00B57CA3">
        <w:rPr>
          <w:rFonts w:hint="eastAsia"/>
          <w:szCs w:val="21"/>
        </w:rPr>
        <w:t>管理型对冲基金</w:t>
      </w:r>
      <w:r w:rsidR="00F42AFF" w:rsidRPr="00B57CA3">
        <w:rPr>
          <w:rFonts w:hint="eastAsia"/>
          <w:szCs w:val="21"/>
        </w:rPr>
        <w:t>1</w:t>
      </w:r>
      <w:r w:rsidR="00F42AFF" w:rsidRPr="00B57CA3">
        <w:rPr>
          <w:rFonts w:hint="eastAsia"/>
          <w:szCs w:val="21"/>
        </w:rPr>
        <w:t>月</w:t>
      </w:r>
      <w:r w:rsidRPr="00B57CA3">
        <w:rPr>
          <w:rFonts w:hint="eastAsia"/>
          <w:szCs w:val="21"/>
        </w:rPr>
        <w:t>份</w:t>
      </w:r>
      <w:r w:rsidR="00F42AFF" w:rsidRPr="00B57CA3">
        <w:rPr>
          <w:rFonts w:hint="eastAsia"/>
          <w:szCs w:val="21"/>
        </w:rPr>
        <w:t>平均业绩</w:t>
      </w:r>
      <w:r w:rsidR="00F42AFF" w:rsidRPr="00B57CA3">
        <w:rPr>
          <w:rFonts w:hint="eastAsia"/>
          <w:szCs w:val="21"/>
        </w:rPr>
        <w:t>1.78%</w:t>
      </w:r>
      <w:r w:rsidR="00F42AFF" w:rsidRPr="00B57CA3">
        <w:rPr>
          <w:rFonts w:hint="eastAsia"/>
          <w:szCs w:val="21"/>
        </w:rPr>
        <w:t>。纳入统计的</w:t>
      </w:r>
      <w:r w:rsidR="00F42AFF" w:rsidRPr="00B57CA3">
        <w:rPr>
          <w:rFonts w:hint="eastAsia"/>
          <w:szCs w:val="21"/>
        </w:rPr>
        <w:t>837</w:t>
      </w:r>
      <w:r w:rsidR="00F42AFF" w:rsidRPr="00B57CA3">
        <w:rPr>
          <w:rFonts w:hint="eastAsia"/>
          <w:szCs w:val="21"/>
        </w:rPr>
        <w:t>只产品中，</w:t>
      </w:r>
      <w:r w:rsidR="00F42AFF" w:rsidRPr="00B57CA3">
        <w:rPr>
          <w:rFonts w:hint="eastAsia"/>
          <w:szCs w:val="21"/>
        </w:rPr>
        <w:t>528</w:t>
      </w:r>
      <w:r w:rsidR="00F42AFF" w:rsidRPr="00B57CA3">
        <w:rPr>
          <w:rFonts w:hint="eastAsia"/>
          <w:szCs w:val="21"/>
        </w:rPr>
        <w:t>只（占比</w:t>
      </w:r>
      <w:r w:rsidR="00F42AFF" w:rsidRPr="00B57CA3">
        <w:rPr>
          <w:rFonts w:hint="eastAsia"/>
          <w:szCs w:val="21"/>
        </w:rPr>
        <w:t>63%</w:t>
      </w:r>
      <w:r w:rsidR="00F42AFF" w:rsidRPr="00B57CA3">
        <w:rPr>
          <w:rFonts w:hint="eastAsia"/>
          <w:szCs w:val="21"/>
        </w:rPr>
        <w:t>）实现了正收益，其中</w:t>
      </w:r>
      <w:r w:rsidR="00F42AFF" w:rsidRPr="00B57CA3">
        <w:rPr>
          <w:rFonts w:hint="eastAsia"/>
          <w:szCs w:val="21"/>
        </w:rPr>
        <w:t>2</w:t>
      </w:r>
      <w:r w:rsidR="00F42AFF" w:rsidRPr="00B57CA3">
        <w:rPr>
          <w:rFonts w:hint="eastAsia"/>
          <w:szCs w:val="21"/>
        </w:rPr>
        <w:t>只产品收益率超过</w:t>
      </w:r>
      <w:r w:rsidR="00F42AFF" w:rsidRPr="00B57CA3">
        <w:rPr>
          <w:rFonts w:hint="eastAsia"/>
          <w:szCs w:val="21"/>
        </w:rPr>
        <w:t>20%</w:t>
      </w:r>
      <w:r w:rsidR="00F42AFF" w:rsidRPr="00B57CA3">
        <w:rPr>
          <w:rFonts w:hint="eastAsia"/>
          <w:szCs w:val="21"/>
        </w:rPr>
        <w:t>，</w:t>
      </w:r>
      <w:r w:rsidR="00F42AFF" w:rsidRPr="00B57CA3">
        <w:rPr>
          <w:rFonts w:hint="eastAsia"/>
          <w:szCs w:val="21"/>
        </w:rPr>
        <w:t>13</w:t>
      </w:r>
      <w:r w:rsidR="00F42AFF" w:rsidRPr="00B57CA3">
        <w:rPr>
          <w:rFonts w:hint="eastAsia"/>
          <w:szCs w:val="21"/>
        </w:rPr>
        <w:t>只产品的收益率介于</w:t>
      </w:r>
      <w:r w:rsidRPr="00B57CA3">
        <w:rPr>
          <w:rFonts w:hint="eastAsia"/>
          <w:szCs w:val="21"/>
        </w:rPr>
        <w:t>15~</w:t>
      </w:r>
      <w:r w:rsidR="00F42AFF" w:rsidRPr="00B57CA3">
        <w:rPr>
          <w:rFonts w:hint="eastAsia"/>
          <w:szCs w:val="21"/>
        </w:rPr>
        <w:t>20%</w:t>
      </w:r>
      <w:r w:rsidR="00F42AFF" w:rsidRPr="00B57CA3">
        <w:rPr>
          <w:rFonts w:hint="eastAsia"/>
          <w:szCs w:val="21"/>
        </w:rPr>
        <w:t>，</w:t>
      </w:r>
      <w:r w:rsidR="00F42AFF" w:rsidRPr="00B57CA3">
        <w:rPr>
          <w:rFonts w:hint="eastAsia"/>
          <w:szCs w:val="21"/>
        </w:rPr>
        <w:t>54</w:t>
      </w:r>
      <w:r w:rsidR="00F42AFF" w:rsidRPr="00B57CA3">
        <w:rPr>
          <w:rFonts w:hint="eastAsia"/>
          <w:szCs w:val="21"/>
        </w:rPr>
        <w:t>只产品的收益率介于</w:t>
      </w:r>
      <w:r w:rsidR="00F42AFF" w:rsidRPr="00B57CA3">
        <w:rPr>
          <w:rFonts w:hint="eastAsia"/>
          <w:szCs w:val="21"/>
        </w:rPr>
        <w:t>10</w:t>
      </w:r>
      <w:r w:rsidRPr="00B57CA3">
        <w:rPr>
          <w:rFonts w:hint="eastAsia"/>
          <w:szCs w:val="21"/>
        </w:rPr>
        <w:t>~</w:t>
      </w:r>
      <w:r w:rsidR="00F42AFF" w:rsidRPr="00B57CA3">
        <w:rPr>
          <w:rFonts w:hint="eastAsia"/>
          <w:szCs w:val="21"/>
        </w:rPr>
        <w:t>15%</w:t>
      </w:r>
      <w:r w:rsidR="00F42AFF" w:rsidRPr="00B57CA3">
        <w:rPr>
          <w:rFonts w:hint="eastAsia"/>
          <w:szCs w:val="21"/>
        </w:rPr>
        <w:t>。收益率最高为</w:t>
      </w:r>
      <w:r w:rsidR="00F42AFF" w:rsidRPr="00B57CA3">
        <w:rPr>
          <w:rFonts w:hint="eastAsia"/>
          <w:szCs w:val="21"/>
        </w:rPr>
        <w:t>25.48%</w:t>
      </w:r>
      <w:r w:rsidR="00F42AFF" w:rsidRPr="00B57CA3">
        <w:rPr>
          <w:rFonts w:hint="eastAsia"/>
          <w:szCs w:val="21"/>
        </w:rPr>
        <w:t>，为中</w:t>
      </w:r>
      <w:proofErr w:type="gramStart"/>
      <w:r w:rsidR="00F42AFF" w:rsidRPr="00B57CA3">
        <w:rPr>
          <w:rFonts w:hint="eastAsia"/>
          <w:szCs w:val="21"/>
        </w:rPr>
        <w:t>信</w:t>
      </w:r>
      <w:proofErr w:type="gramEnd"/>
      <w:r w:rsidR="00F42AFF" w:rsidRPr="00B57CA3">
        <w:rPr>
          <w:rFonts w:hint="eastAsia"/>
          <w:szCs w:val="21"/>
        </w:rPr>
        <w:t>信托</w:t>
      </w:r>
      <w:r w:rsidR="00F42AFF" w:rsidRPr="00B57CA3">
        <w:rPr>
          <w:rFonts w:hint="eastAsia"/>
          <w:szCs w:val="21"/>
        </w:rPr>
        <w:t>-</w:t>
      </w:r>
      <w:r w:rsidR="00F42AFF" w:rsidRPr="00B57CA3">
        <w:rPr>
          <w:rFonts w:hint="eastAsia"/>
          <w:szCs w:val="21"/>
        </w:rPr>
        <w:t>鼎力价值成长</w:t>
      </w:r>
      <w:r w:rsidR="00F42AFF" w:rsidRPr="00B57CA3">
        <w:rPr>
          <w:rFonts w:hint="eastAsia"/>
          <w:szCs w:val="21"/>
        </w:rPr>
        <w:t>1</w:t>
      </w:r>
      <w:r w:rsidR="00F42AFF" w:rsidRPr="00B57CA3">
        <w:rPr>
          <w:rFonts w:hint="eastAsia"/>
          <w:szCs w:val="21"/>
        </w:rPr>
        <w:t>期所取得，收益率最低为</w:t>
      </w:r>
      <w:r w:rsidR="00F42AFF" w:rsidRPr="00B57CA3">
        <w:rPr>
          <w:rFonts w:hint="eastAsia"/>
          <w:szCs w:val="21"/>
        </w:rPr>
        <w:t>-16.74%</w:t>
      </w:r>
      <w:r w:rsidR="00F42AFF" w:rsidRPr="00B57CA3">
        <w:rPr>
          <w:rFonts w:hint="eastAsia"/>
          <w:szCs w:val="21"/>
        </w:rPr>
        <w:t>，首尾相差</w:t>
      </w:r>
      <w:r w:rsidR="00F42AFF" w:rsidRPr="00B57CA3">
        <w:rPr>
          <w:rFonts w:hint="eastAsia"/>
          <w:szCs w:val="21"/>
        </w:rPr>
        <w:t>42</w:t>
      </w:r>
      <w:r w:rsidR="00F42AFF" w:rsidRPr="00B57CA3">
        <w:rPr>
          <w:rFonts w:hint="eastAsia"/>
          <w:szCs w:val="21"/>
        </w:rPr>
        <w:t>个百分点</w:t>
      </w:r>
      <w:r w:rsidR="00253E67" w:rsidRPr="00B57CA3">
        <w:rPr>
          <w:rFonts w:hint="eastAsia"/>
          <w:szCs w:val="21"/>
        </w:rPr>
        <w:t>，业绩分布范围有所收窄</w:t>
      </w:r>
      <w:r w:rsidR="00F42AFF" w:rsidRPr="00B57CA3">
        <w:rPr>
          <w:rFonts w:hint="eastAsia"/>
          <w:szCs w:val="21"/>
        </w:rPr>
        <w:t>。</w:t>
      </w:r>
    </w:p>
    <w:p w:rsidR="00367B17" w:rsidRPr="00B57CA3" w:rsidRDefault="0090625F" w:rsidP="00B57CA3">
      <w:pPr>
        <w:pStyle w:val="ac"/>
        <w:numPr>
          <w:ilvl w:val="0"/>
          <w:numId w:val="5"/>
        </w:numPr>
        <w:spacing w:after="163"/>
        <w:rPr>
          <w:szCs w:val="21"/>
        </w:rPr>
      </w:pPr>
      <w:r w:rsidRPr="00B57CA3">
        <w:rPr>
          <w:rFonts w:hint="eastAsia"/>
          <w:szCs w:val="21"/>
        </w:rPr>
        <w:t>分级型</w:t>
      </w:r>
      <w:r w:rsidR="00F42AFF" w:rsidRPr="00B57CA3">
        <w:rPr>
          <w:rFonts w:hint="eastAsia"/>
          <w:szCs w:val="21"/>
        </w:rPr>
        <w:t>1</w:t>
      </w:r>
      <w:r w:rsidR="00F42AFF" w:rsidRPr="00B57CA3">
        <w:rPr>
          <w:rFonts w:hint="eastAsia"/>
          <w:szCs w:val="21"/>
        </w:rPr>
        <w:t>月</w:t>
      </w:r>
      <w:r w:rsidRPr="00B57CA3">
        <w:rPr>
          <w:rFonts w:hint="eastAsia"/>
          <w:szCs w:val="21"/>
        </w:rPr>
        <w:t>份均涨</w:t>
      </w:r>
      <w:r w:rsidR="00F42AFF" w:rsidRPr="00B57CA3">
        <w:rPr>
          <w:rFonts w:hint="eastAsia"/>
          <w:szCs w:val="21"/>
        </w:rPr>
        <w:t>2.06%</w:t>
      </w:r>
      <w:r w:rsidR="00F42AFF" w:rsidRPr="00B57CA3">
        <w:rPr>
          <w:rFonts w:hint="eastAsia"/>
          <w:szCs w:val="21"/>
        </w:rPr>
        <w:t>。纳入统计的</w:t>
      </w:r>
      <w:r w:rsidR="00F42AFF" w:rsidRPr="00B57CA3">
        <w:rPr>
          <w:rFonts w:hint="eastAsia"/>
          <w:szCs w:val="21"/>
        </w:rPr>
        <w:t>59</w:t>
      </w:r>
      <w:r w:rsidR="00F42AFF" w:rsidRPr="00B57CA3">
        <w:rPr>
          <w:rFonts w:hint="eastAsia"/>
          <w:szCs w:val="21"/>
        </w:rPr>
        <w:t>只产品中，</w:t>
      </w:r>
      <w:r w:rsidR="00F42AFF" w:rsidRPr="00B57CA3">
        <w:rPr>
          <w:rFonts w:hint="eastAsia"/>
          <w:szCs w:val="21"/>
        </w:rPr>
        <w:t>38</w:t>
      </w:r>
      <w:r w:rsidR="00F42AFF" w:rsidRPr="00B57CA3">
        <w:rPr>
          <w:rFonts w:hint="eastAsia"/>
          <w:szCs w:val="21"/>
        </w:rPr>
        <w:t>只（占比</w:t>
      </w:r>
      <w:r w:rsidR="00F42AFF" w:rsidRPr="00B57CA3">
        <w:rPr>
          <w:rFonts w:hint="eastAsia"/>
          <w:szCs w:val="21"/>
        </w:rPr>
        <w:t>64%</w:t>
      </w:r>
      <w:r w:rsidR="00F42AFF" w:rsidRPr="00B57CA3">
        <w:rPr>
          <w:rFonts w:hint="eastAsia"/>
          <w:szCs w:val="21"/>
        </w:rPr>
        <w:t>）为投资者创造了正收益，</w:t>
      </w:r>
      <w:r w:rsidRPr="00B57CA3">
        <w:rPr>
          <w:rFonts w:hint="eastAsia"/>
          <w:szCs w:val="21"/>
        </w:rPr>
        <w:t>有</w:t>
      </w:r>
      <w:r w:rsidR="00F42AFF" w:rsidRPr="00B57CA3">
        <w:rPr>
          <w:rFonts w:hint="eastAsia"/>
          <w:szCs w:val="21"/>
        </w:rPr>
        <w:t>1</w:t>
      </w:r>
      <w:r w:rsidR="00F42AFF" w:rsidRPr="00B57CA3">
        <w:rPr>
          <w:rFonts w:hint="eastAsia"/>
          <w:szCs w:val="21"/>
        </w:rPr>
        <w:t>只产品收益率超过</w:t>
      </w:r>
      <w:r w:rsidR="00F42AFF" w:rsidRPr="00B57CA3">
        <w:rPr>
          <w:rFonts w:hint="eastAsia"/>
          <w:szCs w:val="21"/>
        </w:rPr>
        <w:t>20%</w:t>
      </w:r>
      <w:r w:rsidR="00F42AFF" w:rsidRPr="00B57CA3">
        <w:rPr>
          <w:rFonts w:hint="eastAsia"/>
          <w:szCs w:val="21"/>
        </w:rPr>
        <w:t>，</w:t>
      </w:r>
      <w:r w:rsidR="00F42AFF" w:rsidRPr="00B57CA3">
        <w:rPr>
          <w:rFonts w:hint="eastAsia"/>
          <w:szCs w:val="21"/>
        </w:rPr>
        <w:t>1</w:t>
      </w:r>
      <w:r w:rsidR="00F42AFF" w:rsidRPr="00B57CA3">
        <w:rPr>
          <w:rFonts w:hint="eastAsia"/>
          <w:szCs w:val="21"/>
        </w:rPr>
        <w:t>只产品收益率介于</w:t>
      </w:r>
      <w:r w:rsidRPr="00B57CA3">
        <w:rPr>
          <w:rFonts w:hint="eastAsia"/>
          <w:szCs w:val="21"/>
        </w:rPr>
        <w:t>15~</w:t>
      </w:r>
      <w:r w:rsidR="00F42AFF" w:rsidRPr="00B57CA3">
        <w:rPr>
          <w:rFonts w:hint="eastAsia"/>
          <w:szCs w:val="21"/>
        </w:rPr>
        <w:t>20%</w:t>
      </w:r>
      <w:r w:rsidR="00F42AFF" w:rsidRPr="00B57CA3">
        <w:rPr>
          <w:rFonts w:hint="eastAsia"/>
          <w:szCs w:val="21"/>
        </w:rPr>
        <w:t>，</w:t>
      </w:r>
      <w:r w:rsidR="00F42AFF" w:rsidRPr="00B57CA3">
        <w:rPr>
          <w:rFonts w:hint="eastAsia"/>
          <w:szCs w:val="21"/>
        </w:rPr>
        <w:t>2</w:t>
      </w:r>
      <w:r w:rsidR="00F42AFF" w:rsidRPr="00B57CA3">
        <w:rPr>
          <w:rFonts w:hint="eastAsia"/>
          <w:szCs w:val="21"/>
        </w:rPr>
        <w:t>只产品收益率介于</w:t>
      </w:r>
      <w:r w:rsidRPr="00B57CA3">
        <w:rPr>
          <w:rFonts w:hint="eastAsia"/>
          <w:szCs w:val="21"/>
        </w:rPr>
        <w:t>10~</w:t>
      </w:r>
      <w:r w:rsidR="00F42AFF" w:rsidRPr="00B57CA3">
        <w:rPr>
          <w:rFonts w:hint="eastAsia"/>
          <w:szCs w:val="21"/>
        </w:rPr>
        <w:t>15%</w:t>
      </w:r>
      <w:r w:rsidR="00F42AFF" w:rsidRPr="00B57CA3">
        <w:rPr>
          <w:rFonts w:hint="eastAsia"/>
          <w:szCs w:val="21"/>
        </w:rPr>
        <w:t>。</w:t>
      </w:r>
      <w:r w:rsidR="00F3036C" w:rsidRPr="00B57CA3">
        <w:rPr>
          <w:rFonts w:hint="eastAsia"/>
          <w:szCs w:val="21"/>
        </w:rPr>
        <w:t>收益率最高</w:t>
      </w:r>
      <w:r w:rsidR="00F42AFF" w:rsidRPr="00B57CA3">
        <w:rPr>
          <w:rFonts w:hint="eastAsia"/>
          <w:szCs w:val="21"/>
        </w:rPr>
        <w:t>22.83%</w:t>
      </w:r>
      <w:r w:rsidR="00F42AFF" w:rsidRPr="00B57CA3">
        <w:rPr>
          <w:rFonts w:hint="eastAsia"/>
          <w:szCs w:val="21"/>
        </w:rPr>
        <w:t>，为中海信托</w:t>
      </w:r>
      <w:r w:rsidR="00F42AFF" w:rsidRPr="00B57CA3">
        <w:rPr>
          <w:rFonts w:hint="eastAsia"/>
          <w:szCs w:val="21"/>
        </w:rPr>
        <w:t>-</w:t>
      </w:r>
      <w:r w:rsidR="00F42AFF" w:rsidRPr="00B57CA3">
        <w:rPr>
          <w:rFonts w:hint="eastAsia"/>
          <w:szCs w:val="21"/>
        </w:rPr>
        <w:t>浦江之星</w:t>
      </w:r>
      <w:r w:rsidR="00F42AFF" w:rsidRPr="00B57CA3">
        <w:rPr>
          <w:rFonts w:hint="eastAsia"/>
          <w:szCs w:val="21"/>
        </w:rPr>
        <w:t>6</w:t>
      </w:r>
      <w:r w:rsidR="00F42AFF" w:rsidRPr="00B57CA3">
        <w:rPr>
          <w:rFonts w:hint="eastAsia"/>
          <w:szCs w:val="21"/>
        </w:rPr>
        <w:t>号所获得，最低为</w:t>
      </w:r>
      <w:r w:rsidR="00F42AFF" w:rsidRPr="00B57CA3">
        <w:rPr>
          <w:rFonts w:hint="eastAsia"/>
          <w:szCs w:val="21"/>
        </w:rPr>
        <w:t>-8.28%</w:t>
      </w:r>
      <w:r w:rsidR="00F42AFF" w:rsidRPr="00B57CA3">
        <w:rPr>
          <w:rFonts w:hint="eastAsia"/>
          <w:szCs w:val="21"/>
        </w:rPr>
        <w:t>，首尾相差</w:t>
      </w:r>
      <w:r w:rsidR="00F42AFF" w:rsidRPr="00B57CA3">
        <w:rPr>
          <w:rFonts w:hint="eastAsia"/>
          <w:szCs w:val="21"/>
        </w:rPr>
        <w:t>31</w:t>
      </w:r>
      <w:r w:rsidR="00F42AFF" w:rsidRPr="00B57CA3">
        <w:rPr>
          <w:rFonts w:hint="eastAsia"/>
          <w:szCs w:val="21"/>
        </w:rPr>
        <w:t>个百分点。</w:t>
      </w:r>
    </w:p>
    <w:p w:rsidR="00B57CA3" w:rsidRPr="00B57CA3" w:rsidRDefault="00B7645C" w:rsidP="00C426D9">
      <w:pPr>
        <w:pStyle w:val="ac"/>
        <w:numPr>
          <w:ilvl w:val="4"/>
          <w:numId w:val="4"/>
        </w:numPr>
        <w:spacing w:after="163"/>
        <w:rPr>
          <w:szCs w:val="21"/>
        </w:rPr>
      </w:pPr>
      <w:r>
        <w:rPr>
          <w:rFonts w:hint="eastAsia"/>
          <w:szCs w:val="21"/>
        </w:rPr>
        <w:t>非传统</w:t>
      </w:r>
      <w:r w:rsidR="00FF2253">
        <w:rPr>
          <w:rFonts w:hint="eastAsia"/>
          <w:szCs w:val="21"/>
        </w:rPr>
        <w:t>策略</w:t>
      </w:r>
      <w:r>
        <w:rPr>
          <w:rFonts w:hint="eastAsia"/>
          <w:szCs w:val="21"/>
        </w:rPr>
        <w:t>的其他</w:t>
      </w:r>
      <w:r w:rsidR="00FF2253">
        <w:rPr>
          <w:rFonts w:hint="eastAsia"/>
          <w:szCs w:val="21"/>
        </w:rPr>
        <w:t>对冲基金群体</w:t>
      </w:r>
      <w:r w:rsidR="00DB3675">
        <w:rPr>
          <w:rFonts w:hint="eastAsia"/>
          <w:szCs w:val="21"/>
        </w:rPr>
        <w:t>中</w:t>
      </w:r>
      <w:r w:rsidR="00DB3675">
        <w:rPr>
          <w:rFonts w:eastAsiaTheme="minorEastAsia" w:hint="eastAsia"/>
          <w:szCs w:val="21"/>
        </w:rPr>
        <w:t>，</w:t>
      </w:r>
      <w:r w:rsidR="00A720AF" w:rsidRPr="00876548">
        <w:rPr>
          <w:rFonts w:hint="eastAsia"/>
          <w:szCs w:val="21"/>
        </w:rPr>
        <w:t>低</w:t>
      </w:r>
      <w:r w:rsidR="00DB3675">
        <w:rPr>
          <w:rFonts w:hint="eastAsia"/>
          <w:szCs w:val="21"/>
        </w:rPr>
        <w:t>风险策略品种</w:t>
      </w:r>
      <w:r w:rsidR="00DB3675">
        <w:rPr>
          <w:rFonts w:eastAsiaTheme="minorEastAsia" w:hint="eastAsia"/>
          <w:szCs w:val="21"/>
        </w:rPr>
        <w:t>1</w:t>
      </w:r>
      <w:r w:rsidR="00DB3675">
        <w:rPr>
          <w:rFonts w:eastAsiaTheme="minorEastAsia" w:hint="eastAsia"/>
          <w:szCs w:val="21"/>
        </w:rPr>
        <w:t>月份</w:t>
      </w:r>
      <w:r w:rsidR="00DB3675">
        <w:rPr>
          <w:rFonts w:hint="eastAsia"/>
          <w:szCs w:val="21"/>
        </w:rPr>
        <w:t>平均回报</w:t>
      </w:r>
      <w:r w:rsidR="00A720AF" w:rsidRPr="00876548">
        <w:rPr>
          <w:rFonts w:hint="eastAsia"/>
          <w:szCs w:val="21"/>
        </w:rPr>
        <w:t>1.04%</w:t>
      </w:r>
      <w:r w:rsidR="00DB3675">
        <w:rPr>
          <w:rFonts w:hint="eastAsia"/>
          <w:szCs w:val="21"/>
        </w:rPr>
        <w:t>，高风险策略产品平均</w:t>
      </w:r>
      <w:r w:rsidR="00A720AF" w:rsidRPr="00876548">
        <w:rPr>
          <w:rFonts w:hint="eastAsia"/>
          <w:szCs w:val="21"/>
        </w:rPr>
        <w:t>0.5</w:t>
      </w:r>
      <w:r w:rsidR="00A720AF">
        <w:rPr>
          <w:rFonts w:hint="eastAsia"/>
          <w:szCs w:val="21"/>
        </w:rPr>
        <w:t>6</w:t>
      </w:r>
      <w:r w:rsidR="00A720AF" w:rsidRPr="00876548">
        <w:rPr>
          <w:rFonts w:hint="eastAsia"/>
          <w:szCs w:val="21"/>
        </w:rPr>
        <w:t>%</w:t>
      </w:r>
      <w:r w:rsidR="00A720AF" w:rsidRPr="00876548">
        <w:rPr>
          <w:rFonts w:hint="eastAsia"/>
          <w:szCs w:val="21"/>
        </w:rPr>
        <w:t>，</w:t>
      </w:r>
      <w:r w:rsidR="00DB3675">
        <w:rPr>
          <w:rFonts w:hint="eastAsia"/>
          <w:szCs w:val="21"/>
        </w:rPr>
        <w:t>表现略逊于</w:t>
      </w:r>
      <w:r w:rsidR="00A720AF" w:rsidRPr="00876548">
        <w:rPr>
          <w:rFonts w:hint="eastAsia"/>
          <w:szCs w:val="21"/>
        </w:rPr>
        <w:t>传统策略产品。</w:t>
      </w:r>
      <w:r w:rsidR="00B57CA3">
        <w:rPr>
          <w:rFonts w:ascii="宋体" w:eastAsia="宋体" w:hAnsi="宋体" w:cs="宋体" w:hint="eastAsia"/>
          <w:szCs w:val="21"/>
        </w:rPr>
        <w:t>整体来看，</w:t>
      </w:r>
      <w:r w:rsidR="00B57CA3">
        <w:rPr>
          <w:rFonts w:eastAsiaTheme="minorEastAsia" w:hint="eastAsia"/>
          <w:szCs w:val="21"/>
        </w:rPr>
        <w:t>1</w:t>
      </w:r>
      <w:r w:rsidR="00B57CA3">
        <w:rPr>
          <w:rFonts w:eastAsiaTheme="minorEastAsia" w:hint="eastAsia"/>
          <w:szCs w:val="21"/>
        </w:rPr>
        <w:t>月份的结构性行情更适合</w:t>
      </w:r>
      <w:r w:rsidR="00B57CA3">
        <w:rPr>
          <w:rFonts w:ascii="宋体" w:eastAsia="宋体" w:hAnsi="宋体" w:cs="宋体" w:hint="eastAsia"/>
          <w:szCs w:val="21"/>
        </w:rPr>
        <w:t>传统策略发挥其主动管理的能力。</w:t>
      </w:r>
    </w:p>
    <w:p w:rsidR="00B57CA3" w:rsidRPr="00B57CA3" w:rsidRDefault="008954A3" w:rsidP="00B57CA3">
      <w:pPr>
        <w:pStyle w:val="ac"/>
        <w:numPr>
          <w:ilvl w:val="0"/>
          <w:numId w:val="5"/>
        </w:numPr>
        <w:spacing w:after="163"/>
        <w:rPr>
          <w:szCs w:val="21"/>
        </w:rPr>
      </w:pPr>
      <w:r>
        <w:rPr>
          <w:rFonts w:hint="eastAsia"/>
          <w:szCs w:val="21"/>
        </w:rPr>
        <w:t>连续数月以高收益示人的</w:t>
      </w:r>
      <w:r w:rsidR="00A720AF" w:rsidRPr="00876548">
        <w:rPr>
          <w:rFonts w:hint="eastAsia"/>
          <w:szCs w:val="21"/>
        </w:rPr>
        <w:t>事件驱动策略</w:t>
      </w:r>
      <w:r w:rsidR="00C619A9" w:rsidRPr="00B57CA3">
        <w:rPr>
          <w:rFonts w:hint="eastAsia"/>
          <w:szCs w:val="21"/>
        </w:rPr>
        <w:t>35</w:t>
      </w:r>
      <w:r w:rsidR="00C619A9" w:rsidRPr="00B57CA3">
        <w:rPr>
          <w:rFonts w:hint="eastAsia"/>
          <w:szCs w:val="21"/>
        </w:rPr>
        <w:t>只产品有近半数出现下跌，导致月度</w:t>
      </w:r>
      <w:r w:rsidRPr="00B57CA3">
        <w:rPr>
          <w:rFonts w:hint="eastAsia"/>
          <w:szCs w:val="21"/>
        </w:rPr>
        <w:t>平均</w:t>
      </w:r>
      <w:r w:rsidR="00C619A9">
        <w:rPr>
          <w:rFonts w:hint="eastAsia"/>
          <w:szCs w:val="21"/>
        </w:rPr>
        <w:t>收益为负</w:t>
      </w:r>
      <w:r>
        <w:rPr>
          <w:rFonts w:hint="eastAsia"/>
          <w:szCs w:val="21"/>
        </w:rPr>
        <w:t>，</w:t>
      </w:r>
      <w:r w:rsidR="00C619A9">
        <w:rPr>
          <w:rFonts w:hint="eastAsia"/>
          <w:szCs w:val="21"/>
        </w:rPr>
        <w:t>显示了该策略的高波动性；不过其中</w:t>
      </w:r>
      <w:proofErr w:type="gramStart"/>
      <w:r w:rsidR="00C619A9">
        <w:rPr>
          <w:rFonts w:hint="eastAsia"/>
          <w:szCs w:val="21"/>
        </w:rPr>
        <w:t>的博弘和</w:t>
      </w:r>
      <w:proofErr w:type="gramEnd"/>
      <w:r w:rsidR="00C619A9">
        <w:rPr>
          <w:rFonts w:hint="eastAsia"/>
          <w:szCs w:val="21"/>
        </w:rPr>
        <w:t>盛世景均有多</w:t>
      </w:r>
      <w:proofErr w:type="gramStart"/>
      <w:r w:rsidR="00C619A9">
        <w:rPr>
          <w:rFonts w:hint="eastAsia"/>
          <w:szCs w:val="21"/>
        </w:rPr>
        <w:t>只产品</w:t>
      </w:r>
      <w:proofErr w:type="gramEnd"/>
      <w:r w:rsidR="00C619A9">
        <w:rPr>
          <w:rFonts w:hint="eastAsia"/>
          <w:szCs w:val="21"/>
        </w:rPr>
        <w:t>当月收益率接近</w:t>
      </w:r>
      <w:r w:rsidR="00C619A9" w:rsidRPr="00B57CA3">
        <w:rPr>
          <w:rFonts w:hint="eastAsia"/>
          <w:szCs w:val="21"/>
        </w:rPr>
        <w:t>8%</w:t>
      </w:r>
      <w:r w:rsidR="00C619A9" w:rsidRPr="00B57CA3">
        <w:rPr>
          <w:rFonts w:hint="eastAsia"/>
          <w:szCs w:val="21"/>
        </w:rPr>
        <w:t>，依然在各策略中领先</w:t>
      </w:r>
      <w:r w:rsidR="00A720AF" w:rsidRPr="00876548">
        <w:rPr>
          <w:rFonts w:hint="eastAsia"/>
          <w:szCs w:val="21"/>
        </w:rPr>
        <w:t>。</w:t>
      </w:r>
    </w:p>
    <w:p w:rsidR="00C806CE" w:rsidRPr="00D452D8" w:rsidRDefault="00C619A9" w:rsidP="00D452D8">
      <w:pPr>
        <w:pStyle w:val="ac"/>
        <w:numPr>
          <w:ilvl w:val="0"/>
          <w:numId w:val="5"/>
        </w:numPr>
        <w:spacing w:after="163"/>
        <w:rPr>
          <w:szCs w:val="21"/>
        </w:rPr>
      </w:pPr>
      <w:r>
        <w:rPr>
          <w:rFonts w:hint="eastAsia"/>
          <w:szCs w:val="21"/>
        </w:rPr>
        <w:t>值得注意的是，</w:t>
      </w:r>
      <w:r w:rsidRPr="00C619A9">
        <w:rPr>
          <w:rFonts w:hint="eastAsia"/>
          <w:szCs w:val="21"/>
        </w:rPr>
        <w:t>深圳尊</w:t>
      </w:r>
      <w:proofErr w:type="gramStart"/>
      <w:r w:rsidRPr="00C619A9">
        <w:rPr>
          <w:rFonts w:hint="eastAsia"/>
          <w:szCs w:val="21"/>
        </w:rPr>
        <w:t>道投资</w:t>
      </w:r>
      <w:proofErr w:type="gramEnd"/>
      <w:r>
        <w:rPr>
          <w:rFonts w:hint="eastAsia"/>
          <w:szCs w:val="21"/>
        </w:rPr>
        <w:t>旗下的</w:t>
      </w:r>
      <w:r w:rsidR="00B57CA3">
        <w:rPr>
          <w:rFonts w:eastAsiaTheme="minorEastAsia" w:hint="eastAsia"/>
          <w:szCs w:val="21"/>
        </w:rPr>
        <w:t>3</w:t>
      </w:r>
      <w:r w:rsidR="00B57CA3">
        <w:rPr>
          <w:rFonts w:eastAsiaTheme="minorEastAsia" w:hint="eastAsia"/>
          <w:szCs w:val="21"/>
        </w:rPr>
        <w:t>只</w:t>
      </w:r>
      <w:r>
        <w:rPr>
          <w:rFonts w:hint="eastAsia"/>
          <w:szCs w:val="21"/>
        </w:rPr>
        <w:t>产品在高、低风险类别中均拔得头筹：高风险中的</w:t>
      </w:r>
      <w:r w:rsidRPr="00C619A9">
        <w:rPr>
          <w:rFonts w:hint="eastAsia"/>
          <w:szCs w:val="21"/>
        </w:rPr>
        <w:t>有限合伙</w:t>
      </w:r>
      <w:r w:rsidRPr="00C619A9">
        <w:rPr>
          <w:rFonts w:hint="eastAsia"/>
          <w:szCs w:val="21"/>
        </w:rPr>
        <w:t>-</w:t>
      </w:r>
      <w:proofErr w:type="gramStart"/>
      <w:r w:rsidRPr="00C619A9">
        <w:rPr>
          <w:rFonts w:hint="eastAsia"/>
          <w:szCs w:val="21"/>
        </w:rPr>
        <w:t>尚道乾坤</w:t>
      </w:r>
      <w:proofErr w:type="gramEnd"/>
      <w:r>
        <w:rPr>
          <w:rFonts w:hint="eastAsia"/>
          <w:szCs w:val="21"/>
        </w:rPr>
        <w:t>采取</w:t>
      </w:r>
      <w:r w:rsidRPr="00C619A9">
        <w:rPr>
          <w:rFonts w:hint="eastAsia"/>
          <w:szCs w:val="21"/>
        </w:rPr>
        <w:t>多空对冲</w:t>
      </w:r>
      <w:r>
        <w:rPr>
          <w:rFonts w:hint="eastAsia"/>
          <w:szCs w:val="21"/>
        </w:rPr>
        <w:t>策略，月度回报率高达</w:t>
      </w:r>
      <w:r w:rsidRPr="00B57CA3">
        <w:rPr>
          <w:rFonts w:hint="eastAsia"/>
          <w:szCs w:val="21"/>
        </w:rPr>
        <w:t>17.96%</w:t>
      </w:r>
      <w:r w:rsidRPr="00B57CA3">
        <w:rPr>
          <w:rFonts w:hint="eastAsia"/>
          <w:szCs w:val="21"/>
        </w:rPr>
        <w:t>，可与传统策略佼佼者相比肩；低风险类别中</w:t>
      </w:r>
      <w:r w:rsidR="00B57CA3" w:rsidRPr="00B57CA3">
        <w:rPr>
          <w:rFonts w:hint="eastAsia"/>
          <w:szCs w:val="21"/>
        </w:rPr>
        <w:t>采取市场中性策略的</w:t>
      </w:r>
      <w:r w:rsidRPr="00B57CA3">
        <w:rPr>
          <w:rFonts w:hint="eastAsia"/>
          <w:szCs w:val="21"/>
        </w:rPr>
        <w:t>有限合伙</w:t>
      </w:r>
      <w:r w:rsidRPr="00B57CA3">
        <w:rPr>
          <w:rFonts w:hint="eastAsia"/>
          <w:szCs w:val="21"/>
        </w:rPr>
        <w:t>-</w:t>
      </w:r>
      <w:r w:rsidRPr="00B57CA3">
        <w:rPr>
          <w:rFonts w:hint="eastAsia"/>
          <w:szCs w:val="21"/>
        </w:rPr>
        <w:t>大田对冲基金一号、有限合伙</w:t>
      </w:r>
      <w:r w:rsidRPr="00B57CA3">
        <w:rPr>
          <w:rFonts w:hint="eastAsia"/>
          <w:szCs w:val="21"/>
        </w:rPr>
        <w:t>-</w:t>
      </w:r>
      <w:r w:rsidRPr="00B57CA3">
        <w:rPr>
          <w:rFonts w:hint="eastAsia"/>
          <w:szCs w:val="21"/>
        </w:rPr>
        <w:t>尊道阶梯</w:t>
      </w:r>
      <w:r w:rsidRPr="00B57CA3">
        <w:rPr>
          <w:rFonts w:hint="eastAsia"/>
          <w:szCs w:val="21"/>
        </w:rPr>
        <w:t>Alpha</w:t>
      </w:r>
      <w:r w:rsidRPr="00B57CA3">
        <w:rPr>
          <w:rFonts w:hint="eastAsia"/>
          <w:szCs w:val="21"/>
        </w:rPr>
        <w:t>策略基金</w:t>
      </w:r>
      <w:r w:rsidR="00B57CA3" w:rsidRPr="00B57CA3">
        <w:rPr>
          <w:rFonts w:hint="eastAsia"/>
          <w:szCs w:val="21"/>
        </w:rPr>
        <w:t>这</w:t>
      </w:r>
      <w:r w:rsidR="00B57CA3" w:rsidRPr="00B57CA3">
        <w:rPr>
          <w:rFonts w:hint="eastAsia"/>
          <w:szCs w:val="21"/>
        </w:rPr>
        <w:t>2</w:t>
      </w:r>
      <w:r w:rsidR="00B57CA3" w:rsidRPr="00B57CA3">
        <w:rPr>
          <w:rFonts w:hint="eastAsia"/>
          <w:szCs w:val="21"/>
        </w:rPr>
        <w:t>只产品以</w:t>
      </w:r>
      <w:r w:rsidR="00B57CA3" w:rsidRPr="00B57CA3">
        <w:rPr>
          <w:rFonts w:hint="eastAsia"/>
          <w:szCs w:val="21"/>
        </w:rPr>
        <w:t>10.05%</w:t>
      </w:r>
      <w:r w:rsidR="00B57CA3" w:rsidRPr="00B57CA3">
        <w:rPr>
          <w:rFonts w:hint="eastAsia"/>
          <w:szCs w:val="21"/>
        </w:rPr>
        <w:t>、</w:t>
      </w:r>
      <w:r w:rsidR="00B57CA3" w:rsidRPr="00B57CA3">
        <w:rPr>
          <w:rFonts w:hint="eastAsia"/>
          <w:szCs w:val="21"/>
        </w:rPr>
        <w:t>9.94%</w:t>
      </w:r>
      <w:r w:rsidR="00B57CA3" w:rsidRPr="00B57CA3">
        <w:rPr>
          <w:rFonts w:hint="eastAsia"/>
          <w:szCs w:val="21"/>
        </w:rPr>
        <w:t>的成绩遥遥领先于同类。</w:t>
      </w:r>
      <w:r w:rsidR="00202A39">
        <w:rPr>
          <w:rFonts w:hint="eastAsia"/>
          <w:szCs w:val="21"/>
        </w:rPr>
        <w:t>据了解，</w:t>
      </w:r>
      <w:r w:rsidR="00202A39" w:rsidRPr="00C619A9">
        <w:rPr>
          <w:rFonts w:hint="eastAsia"/>
          <w:szCs w:val="21"/>
        </w:rPr>
        <w:t>尊道</w:t>
      </w:r>
      <w:r w:rsidR="00202A39">
        <w:rPr>
          <w:rFonts w:hint="eastAsia"/>
          <w:szCs w:val="21"/>
        </w:rPr>
        <w:t>系列产品的上乘表现主要来自投资</w:t>
      </w:r>
      <w:r w:rsidR="00202A39" w:rsidRPr="00202A39">
        <w:rPr>
          <w:rFonts w:ascii="宋体" w:eastAsia="宋体" w:hAnsi="宋体" w:cs="宋体" w:hint="eastAsia"/>
          <w:szCs w:val="21"/>
        </w:rPr>
        <w:t>科技股的大涨</w:t>
      </w:r>
      <w:r w:rsidR="00202A39">
        <w:rPr>
          <w:rFonts w:ascii="宋体" w:eastAsia="宋体" w:hAnsi="宋体" w:cs="宋体" w:hint="eastAsia"/>
          <w:szCs w:val="21"/>
        </w:rPr>
        <w:t>。</w:t>
      </w:r>
    </w:p>
    <w:tbl>
      <w:tblPr>
        <w:tblW w:w="11056" w:type="dxa"/>
        <w:tblInd w:w="-284"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1844"/>
        <w:gridCol w:w="1134"/>
        <w:gridCol w:w="1345"/>
        <w:gridCol w:w="1347"/>
        <w:gridCol w:w="1346"/>
        <w:gridCol w:w="1347"/>
        <w:gridCol w:w="1346"/>
        <w:gridCol w:w="1347"/>
      </w:tblGrid>
      <w:tr w:rsidR="00F56F61" w:rsidTr="00661160">
        <w:trPr>
          <w:cantSplit/>
          <w:trHeight w:val="335"/>
        </w:trPr>
        <w:tc>
          <w:tcPr>
            <w:tcW w:w="11056" w:type="dxa"/>
            <w:gridSpan w:val="8"/>
            <w:tcBorders>
              <w:bottom w:val="single" w:sz="6" w:space="0" w:color="FF6600"/>
            </w:tcBorders>
            <w:shd w:val="clear" w:color="auto" w:fill="auto"/>
            <w:vAlign w:val="center"/>
          </w:tcPr>
          <w:p w:rsidR="00F56F61" w:rsidRPr="0007259C" w:rsidRDefault="00F56F61" w:rsidP="00C30549">
            <w:pPr>
              <w:pStyle w:val="SubTitleLargeTable"/>
              <w:pBdr>
                <w:top w:val="none" w:sz="0" w:space="0" w:color="auto"/>
              </w:pBdr>
              <w:rPr>
                <w:rFonts w:ascii="宋体" w:eastAsia="宋体" w:hAnsi="宋体"/>
                <w:b w:val="0"/>
              </w:rPr>
            </w:pPr>
            <w:r w:rsidRPr="00656031">
              <w:rPr>
                <w:color w:val="FF6600"/>
              </w:rPr>
              <w:t>图表</w:t>
            </w:r>
            <w:r>
              <w:rPr>
                <w:rFonts w:eastAsiaTheme="minorEastAsia" w:hint="eastAsia"/>
                <w:color w:val="FF6600"/>
              </w:rPr>
              <w:t>5</w:t>
            </w:r>
            <w:r w:rsidRPr="00656031">
              <w:rPr>
                <w:rFonts w:hint="eastAsia"/>
                <w:color w:val="FF6600"/>
              </w:rPr>
              <w:t>：</w:t>
            </w:r>
            <w:r w:rsidRPr="009D5ADD">
              <w:rPr>
                <w:rFonts w:eastAsiaTheme="minorEastAsia" w:hint="eastAsia"/>
                <w:color w:val="FF6600"/>
              </w:rPr>
              <w:t>各策略对冲基金各阶段业绩概览</w:t>
            </w:r>
          </w:p>
        </w:tc>
      </w:tr>
      <w:tr w:rsidR="00F56F61" w:rsidTr="00950113">
        <w:trPr>
          <w:cantSplit/>
          <w:trHeight w:val="392"/>
        </w:trPr>
        <w:tc>
          <w:tcPr>
            <w:tcW w:w="2978" w:type="dxa"/>
            <w:gridSpan w:val="2"/>
            <w:tcBorders>
              <w:bottom w:val="single" w:sz="6" w:space="0" w:color="FF6600"/>
              <w:right w:val="single" w:sz="6" w:space="0" w:color="FF6600"/>
            </w:tcBorders>
            <w:shd w:val="clear" w:color="auto" w:fill="FDE9D9" w:themeFill="accent6" w:themeFillTint="33"/>
            <w:vAlign w:val="center"/>
          </w:tcPr>
          <w:p w:rsidR="00F56F61" w:rsidRPr="0007259C" w:rsidRDefault="00F56F61" w:rsidP="00C30549">
            <w:pPr>
              <w:jc w:val="center"/>
              <w:rPr>
                <w:rFonts w:ascii="宋体" w:eastAsia="宋体" w:hAnsi="宋体"/>
                <w:b/>
              </w:rPr>
            </w:pPr>
          </w:p>
        </w:tc>
        <w:tc>
          <w:tcPr>
            <w:tcW w:w="1345" w:type="dxa"/>
            <w:tcBorders>
              <w:left w:val="single" w:sz="6" w:space="0" w:color="FF6600"/>
              <w:right w:val="single" w:sz="6" w:space="0" w:color="FF6600"/>
            </w:tcBorders>
            <w:shd w:val="clear" w:color="auto" w:fill="FDE9D9" w:themeFill="accent6" w:themeFillTint="33"/>
            <w:vAlign w:val="center"/>
          </w:tcPr>
          <w:p w:rsidR="00F56F61" w:rsidRPr="00014D59" w:rsidRDefault="00F56F61" w:rsidP="00C30549">
            <w:pPr>
              <w:jc w:val="center"/>
              <w:rPr>
                <w:rFonts w:ascii="宋体" w:eastAsia="宋体" w:hAnsi="宋体"/>
                <w:b/>
                <w:bCs/>
                <w:color w:val="000000"/>
                <w:sz w:val="18"/>
                <w:szCs w:val="18"/>
              </w:rPr>
            </w:pPr>
            <w:r w:rsidRPr="00014D59">
              <w:rPr>
                <w:rFonts w:ascii="宋体" w:eastAsia="宋体" w:hAnsi="宋体" w:hint="eastAsia"/>
                <w:b/>
                <w:bCs/>
                <w:color w:val="000000"/>
                <w:sz w:val="18"/>
                <w:szCs w:val="18"/>
              </w:rPr>
              <w:t>近一月</w:t>
            </w:r>
          </w:p>
        </w:tc>
        <w:tc>
          <w:tcPr>
            <w:tcW w:w="1347" w:type="dxa"/>
            <w:tcBorders>
              <w:left w:val="single" w:sz="6" w:space="0" w:color="FF6600"/>
              <w:right w:val="single" w:sz="6" w:space="0" w:color="FF6600"/>
            </w:tcBorders>
            <w:shd w:val="clear" w:color="auto" w:fill="FDE9D9" w:themeFill="accent6" w:themeFillTint="33"/>
            <w:vAlign w:val="center"/>
          </w:tcPr>
          <w:p w:rsidR="00F56F61" w:rsidRPr="00014D59" w:rsidRDefault="00F56F61" w:rsidP="00C30549">
            <w:pPr>
              <w:jc w:val="center"/>
              <w:rPr>
                <w:rFonts w:ascii="宋体" w:eastAsia="宋体" w:hAnsi="宋体"/>
                <w:b/>
                <w:bCs/>
                <w:color w:val="000000"/>
                <w:sz w:val="18"/>
                <w:szCs w:val="18"/>
              </w:rPr>
            </w:pPr>
            <w:r w:rsidRPr="00014D59">
              <w:rPr>
                <w:rFonts w:ascii="宋体" w:eastAsia="宋体" w:hAnsi="宋体" w:hint="eastAsia"/>
                <w:b/>
                <w:bCs/>
                <w:color w:val="000000"/>
                <w:sz w:val="18"/>
                <w:szCs w:val="18"/>
              </w:rPr>
              <w:t>近一季</w:t>
            </w:r>
          </w:p>
        </w:tc>
        <w:tc>
          <w:tcPr>
            <w:tcW w:w="1346" w:type="dxa"/>
            <w:tcBorders>
              <w:left w:val="single" w:sz="6" w:space="0" w:color="FF6600"/>
              <w:right w:val="single" w:sz="6" w:space="0" w:color="FF6600"/>
            </w:tcBorders>
            <w:shd w:val="clear" w:color="auto" w:fill="FDE9D9" w:themeFill="accent6" w:themeFillTint="33"/>
            <w:vAlign w:val="center"/>
          </w:tcPr>
          <w:p w:rsidR="00F56F61" w:rsidRPr="00014D59" w:rsidRDefault="00950113" w:rsidP="00F56F61">
            <w:pPr>
              <w:jc w:val="center"/>
              <w:rPr>
                <w:rFonts w:ascii="宋体" w:eastAsia="宋体" w:hAnsi="宋体"/>
                <w:b/>
                <w:bCs/>
                <w:color w:val="000000"/>
                <w:sz w:val="18"/>
                <w:szCs w:val="18"/>
              </w:rPr>
            </w:pPr>
            <w:r>
              <w:rPr>
                <w:rFonts w:ascii="宋体" w:eastAsia="宋体" w:hAnsi="宋体" w:hint="eastAsia"/>
                <w:b/>
                <w:bCs/>
                <w:color w:val="000000"/>
                <w:sz w:val="18"/>
                <w:szCs w:val="18"/>
              </w:rPr>
              <w:t>近半年</w:t>
            </w:r>
          </w:p>
        </w:tc>
        <w:tc>
          <w:tcPr>
            <w:tcW w:w="1347" w:type="dxa"/>
            <w:tcBorders>
              <w:left w:val="single" w:sz="6" w:space="0" w:color="FF6600"/>
              <w:right w:val="single" w:sz="6" w:space="0" w:color="FF6600"/>
            </w:tcBorders>
            <w:shd w:val="clear" w:color="auto" w:fill="FDE9D9" w:themeFill="accent6" w:themeFillTint="33"/>
            <w:vAlign w:val="center"/>
          </w:tcPr>
          <w:p w:rsidR="00F56F61" w:rsidRPr="00014D59" w:rsidRDefault="00F56F61" w:rsidP="00C30549">
            <w:pPr>
              <w:jc w:val="center"/>
              <w:rPr>
                <w:rFonts w:ascii="宋体" w:eastAsia="宋体" w:hAnsi="宋体"/>
                <w:b/>
                <w:bCs/>
                <w:color w:val="000000"/>
                <w:sz w:val="18"/>
                <w:szCs w:val="18"/>
              </w:rPr>
            </w:pPr>
            <w:r w:rsidRPr="00014D59">
              <w:rPr>
                <w:rFonts w:ascii="宋体" w:eastAsia="宋体" w:hAnsi="宋体" w:hint="eastAsia"/>
                <w:b/>
                <w:bCs/>
                <w:color w:val="000000"/>
                <w:sz w:val="18"/>
                <w:szCs w:val="18"/>
              </w:rPr>
              <w:t>近一</w:t>
            </w:r>
            <w:r>
              <w:rPr>
                <w:rFonts w:ascii="宋体" w:eastAsia="宋体" w:hAnsi="宋体" w:hint="eastAsia"/>
                <w:b/>
                <w:bCs/>
                <w:color w:val="000000"/>
                <w:sz w:val="18"/>
                <w:szCs w:val="18"/>
              </w:rPr>
              <w:t>年</w:t>
            </w:r>
          </w:p>
        </w:tc>
        <w:tc>
          <w:tcPr>
            <w:tcW w:w="1346" w:type="dxa"/>
            <w:tcBorders>
              <w:left w:val="single" w:sz="6" w:space="0" w:color="FF6600"/>
              <w:right w:val="single" w:sz="6" w:space="0" w:color="FF6600"/>
            </w:tcBorders>
            <w:shd w:val="clear" w:color="auto" w:fill="FDE9D9" w:themeFill="accent6" w:themeFillTint="33"/>
            <w:vAlign w:val="center"/>
          </w:tcPr>
          <w:p w:rsidR="00F56F61" w:rsidRPr="00F56F61" w:rsidRDefault="00F56F61" w:rsidP="00C30549">
            <w:pPr>
              <w:jc w:val="center"/>
              <w:rPr>
                <w:rFonts w:ascii="宋体" w:eastAsia="宋体" w:hAnsi="宋体"/>
                <w:b/>
                <w:bCs/>
                <w:color w:val="000000"/>
                <w:sz w:val="18"/>
                <w:szCs w:val="18"/>
              </w:rPr>
            </w:pPr>
            <w:r w:rsidRPr="00F56F61">
              <w:rPr>
                <w:rFonts w:ascii="宋体" w:eastAsia="宋体" w:hAnsi="宋体"/>
                <w:b/>
                <w:bCs/>
                <w:color w:val="000000"/>
                <w:sz w:val="18"/>
                <w:szCs w:val="18"/>
              </w:rPr>
              <w:t>近两年</w:t>
            </w:r>
          </w:p>
        </w:tc>
        <w:tc>
          <w:tcPr>
            <w:tcW w:w="1347" w:type="dxa"/>
            <w:tcBorders>
              <w:left w:val="single" w:sz="6" w:space="0" w:color="FF6600"/>
            </w:tcBorders>
            <w:shd w:val="clear" w:color="auto" w:fill="FDE9D9" w:themeFill="accent6" w:themeFillTint="33"/>
            <w:vAlign w:val="center"/>
          </w:tcPr>
          <w:p w:rsidR="00F56F61" w:rsidRPr="00F56F61" w:rsidRDefault="00F56F61" w:rsidP="00C30549">
            <w:pPr>
              <w:jc w:val="center"/>
              <w:rPr>
                <w:rFonts w:ascii="宋体" w:eastAsia="宋体" w:hAnsi="宋体"/>
                <w:b/>
                <w:bCs/>
                <w:color w:val="000000"/>
                <w:sz w:val="18"/>
                <w:szCs w:val="18"/>
              </w:rPr>
            </w:pPr>
            <w:r w:rsidRPr="00F56F61">
              <w:rPr>
                <w:rFonts w:ascii="宋体" w:eastAsia="宋体" w:hAnsi="宋体"/>
                <w:b/>
                <w:bCs/>
                <w:color w:val="000000"/>
                <w:sz w:val="18"/>
                <w:szCs w:val="18"/>
              </w:rPr>
              <w:t>近三年</w:t>
            </w:r>
          </w:p>
        </w:tc>
      </w:tr>
      <w:tr w:rsidR="00826DB0" w:rsidTr="00950113">
        <w:trPr>
          <w:cantSplit/>
          <w:trHeight w:val="412"/>
        </w:trPr>
        <w:tc>
          <w:tcPr>
            <w:tcW w:w="1844" w:type="dxa"/>
            <w:vMerge w:val="restart"/>
            <w:tcBorders>
              <w:right w:val="single" w:sz="6" w:space="0" w:color="FF6600"/>
            </w:tcBorders>
            <w:shd w:val="clear" w:color="auto" w:fill="FDE9D9" w:themeFill="accent6" w:themeFillTint="33"/>
            <w:vAlign w:val="center"/>
          </w:tcPr>
          <w:p w:rsidR="00826DB0" w:rsidRPr="00014D59" w:rsidRDefault="00826DB0" w:rsidP="00826DB0">
            <w:pPr>
              <w:jc w:val="center"/>
              <w:rPr>
                <w:rFonts w:ascii="宋体" w:eastAsia="宋体" w:hAnsi="宋体"/>
                <w:b/>
                <w:sz w:val="18"/>
                <w:szCs w:val="18"/>
              </w:rPr>
            </w:pPr>
            <w:r>
              <w:rPr>
                <w:rFonts w:ascii="宋体" w:eastAsia="宋体" w:hAnsi="宋体"/>
                <w:b/>
                <w:sz w:val="18"/>
                <w:szCs w:val="18"/>
              </w:rPr>
              <w:t>股票多头策略</w:t>
            </w:r>
          </w:p>
        </w:tc>
        <w:tc>
          <w:tcPr>
            <w:tcW w:w="1134" w:type="dxa"/>
            <w:tcBorders>
              <w:left w:val="single" w:sz="6" w:space="0" w:color="FF6600"/>
              <w:right w:val="single" w:sz="6" w:space="0" w:color="FF6600"/>
            </w:tcBorders>
            <w:shd w:val="clear" w:color="auto" w:fill="FDE9D9" w:themeFill="accent6" w:themeFillTint="33"/>
            <w:vAlign w:val="center"/>
          </w:tcPr>
          <w:p w:rsidR="00826DB0" w:rsidRPr="00014D59" w:rsidRDefault="00826DB0" w:rsidP="00826DB0">
            <w:pPr>
              <w:jc w:val="center"/>
              <w:rPr>
                <w:rFonts w:ascii="宋体" w:eastAsia="宋体" w:hAnsi="宋体"/>
                <w:b/>
                <w:sz w:val="18"/>
                <w:szCs w:val="18"/>
              </w:rPr>
            </w:pPr>
            <w:r>
              <w:rPr>
                <w:rFonts w:ascii="宋体" w:eastAsia="宋体" w:hAnsi="宋体"/>
                <w:b/>
                <w:sz w:val="18"/>
                <w:szCs w:val="18"/>
              </w:rPr>
              <w:t>管理型</w:t>
            </w:r>
          </w:p>
        </w:tc>
        <w:tc>
          <w:tcPr>
            <w:tcW w:w="1345" w:type="dxa"/>
            <w:tcBorders>
              <w:left w:val="single" w:sz="6" w:space="0" w:color="FF6600"/>
              <w:right w:val="single" w:sz="6" w:space="0" w:color="FF6600"/>
            </w:tcBorders>
            <w:shd w:val="clear" w:color="auto" w:fill="auto"/>
            <w:vAlign w:val="center"/>
          </w:tcPr>
          <w:p w:rsidR="00826DB0" w:rsidRPr="00826DB0" w:rsidRDefault="00826DB0" w:rsidP="00826DB0">
            <w:pPr>
              <w:jc w:val="center"/>
              <w:rPr>
                <w:rFonts w:ascii="宋体" w:eastAsia="宋体" w:hAnsi="宋体" w:cs="宋体"/>
                <w:sz w:val="18"/>
                <w:szCs w:val="18"/>
              </w:rPr>
            </w:pPr>
            <w:r w:rsidRPr="00826DB0">
              <w:rPr>
                <w:rFonts w:ascii="宋体" w:eastAsia="宋体" w:hAnsi="宋体" w:hint="eastAsia"/>
                <w:sz w:val="18"/>
                <w:szCs w:val="18"/>
              </w:rPr>
              <w:t>1.78%</w:t>
            </w:r>
          </w:p>
        </w:tc>
        <w:tc>
          <w:tcPr>
            <w:tcW w:w="1347" w:type="dxa"/>
            <w:tcBorders>
              <w:left w:val="single" w:sz="6" w:space="0" w:color="FF6600"/>
              <w:right w:val="single" w:sz="6" w:space="0" w:color="FF6600"/>
            </w:tcBorders>
            <w:shd w:val="clear" w:color="auto" w:fill="auto"/>
            <w:vAlign w:val="center"/>
          </w:tcPr>
          <w:p w:rsidR="00826DB0" w:rsidRPr="00826DB0" w:rsidRDefault="00826DB0" w:rsidP="00826DB0">
            <w:pPr>
              <w:jc w:val="center"/>
              <w:rPr>
                <w:rFonts w:ascii="宋体" w:eastAsia="宋体" w:hAnsi="宋体" w:cs="宋体"/>
                <w:sz w:val="18"/>
                <w:szCs w:val="18"/>
              </w:rPr>
            </w:pPr>
            <w:r w:rsidRPr="00826DB0">
              <w:rPr>
                <w:rFonts w:ascii="宋体" w:eastAsia="宋体" w:hAnsi="宋体" w:hint="eastAsia"/>
                <w:sz w:val="18"/>
                <w:szCs w:val="18"/>
              </w:rPr>
              <w:t>2.53%</w:t>
            </w:r>
          </w:p>
        </w:tc>
        <w:tc>
          <w:tcPr>
            <w:tcW w:w="1346" w:type="dxa"/>
            <w:tcBorders>
              <w:left w:val="single" w:sz="6" w:space="0" w:color="FF6600"/>
              <w:right w:val="single" w:sz="6" w:space="0" w:color="FF6600"/>
            </w:tcBorders>
            <w:shd w:val="clear" w:color="auto" w:fill="auto"/>
            <w:vAlign w:val="center"/>
          </w:tcPr>
          <w:p w:rsidR="00826DB0" w:rsidRPr="00826DB0" w:rsidRDefault="00826DB0" w:rsidP="00826DB0">
            <w:pPr>
              <w:jc w:val="center"/>
              <w:rPr>
                <w:rFonts w:ascii="宋体" w:eastAsia="宋体" w:hAnsi="宋体" w:cs="宋体"/>
                <w:sz w:val="18"/>
                <w:szCs w:val="18"/>
              </w:rPr>
            </w:pPr>
            <w:r w:rsidRPr="00826DB0">
              <w:rPr>
                <w:rFonts w:ascii="宋体" w:eastAsia="宋体" w:hAnsi="宋体" w:hint="eastAsia"/>
                <w:sz w:val="18"/>
                <w:szCs w:val="18"/>
              </w:rPr>
              <w:t>6.40%</w:t>
            </w:r>
          </w:p>
        </w:tc>
        <w:tc>
          <w:tcPr>
            <w:tcW w:w="1347" w:type="dxa"/>
            <w:tcBorders>
              <w:left w:val="single" w:sz="6" w:space="0" w:color="FF6600"/>
              <w:right w:val="single" w:sz="6" w:space="0" w:color="FF6600"/>
            </w:tcBorders>
            <w:shd w:val="clear" w:color="auto" w:fill="auto"/>
            <w:vAlign w:val="center"/>
          </w:tcPr>
          <w:p w:rsidR="00826DB0" w:rsidRPr="00826DB0" w:rsidRDefault="00826DB0" w:rsidP="00826DB0">
            <w:pPr>
              <w:jc w:val="center"/>
              <w:rPr>
                <w:rFonts w:ascii="宋体" w:eastAsia="宋体" w:hAnsi="宋体"/>
                <w:sz w:val="18"/>
                <w:szCs w:val="18"/>
              </w:rPr>
            </w:pPr>
            <w:r w:rsidRPr="00826DB0">
              <w:rPr>
                <w:rFonts w:ascii="宋体" w:eastAsia="宋体" w:hAnsi="宋体" w:hint="eastAsia"/>
                <w:sz w:val="18"/>
                <w:szCs w:val="18"/>
              </w:rPr>
              <w:t>10.24%</w:t>
            </w:r>
          </w:p>
        </w:tc>
        <w:tc>
          <w:tcPr>
            <w:tcW w:w="1346" w:type="dxa"/>
            <w:tcBorders>
              <w:left w:val="single" w:sz="6" w:space="0" w:color="FF6600"/>
              <w:right w:val="single" w:sz="6" w:space="0" w:color="FF6600"/>
            </w:tcBorders>
            <w:shd w:val="clear" w:color="auto" w:fill="auto"/>
            <w:vAlign w:val="center"/>
          </w:tcPr>
          <w:p w:rsidR="00826DB0" w:rsidRPr="00826DB0" w:rsidRDefault="00826DB0" w:rsidP="00826DB0">
            <w:pPr>
              <w:jc w:val="center"/>
              <w:rPr>
                <w:rFonts w:ascii="宋体" w:eastAsia="宋体" w:hAnsi="宋体"/>
                <w:sz w:val="18"/>
                <w:szCs w:val="18"/>
              </w:rPr>
            </w:pPr>
            <w:r w:rsidRPr="00826DB0">
              <w:rPr>
                <w:rFonts w:ascii="宋体" w:eastAsia="宋体" w:hAnsi="宋体" w:hint="eastAsia"/>
                <w:sz w:val="18"/>
                <w:szCs w:val="18"/>
              </w:rPr>
              <w:t>19.30%</w:t>
            </w:r>
          </w:p>
        </w:tc>
        <w:tc>
          <w:tcPr>
            <w:tcW w:w="1347" w:type="dxa"/>
            <w:tcBorders>
              <w:left w:val="single" w:sz="6" w:space="0" w:color="FF6600"/>
            </w:tcBorders>
            <w:shd w:val="clear" w:color="auto" w:fill="auto"/>
            <w:vAlign w:val="center"/>
          </w:tcPr>
          <w:p w:rsidR="00826DB0" w:rsidRPr="00826DB0" w:rsidRDefault="00826DB0" w:rsidP="00826DB0">
            <w:pPr>
              <w:jc w:val="center"/>
              <w:rPr>
                <w:rFonts w:ascii="宋体" w:eastAsia="宋体" w:hAnsi="宋体"/>
                <w:sz w:val="18"/>
                <w:szCs w:val="18"/>
              </w:rPr>
            </w:pPr>
            <w:r w:rsidRPr="00826DB0">
              <w:rPr>
                <w:rFonts w:ascii="宋体" w:eastAsia="宋体" w:hAnsi="宋体" w:hint="eastAsia"/>
                <w:sz w:val="18"/>
                <w:szCs w:val="18"/>
              </w:rPr>
              <w:t>1.65%</w:t>
            </w:r>
          </w:p>
        </w:tc>
      </w:tr>
      <w:tr w:rsidR="00826DB0" w:rsidTr="00950113">
        <w:trPr>
          <w:cantSplit/>
          <w:trHeight w:val="403"/>
        </w:trPr>
        <w:tc>
          <w:tcPr>
            <w:tcW w:w="1844" w:type="dxa"/>
            <w:vMerge/>
            <w:tcBorders>
              <w:right w:val="single" w:sz="6" w:space="0" w:color="FF6600"/>
            </w:tcBorders>
            <w:shd w:val="clear" w:color="auto" w:fill="FDE9D9" w:themeFill="accent6" w:themeFillTint="33"/>
            <w:vAlign w:val="center"/>
          </w:tcPr>
          <w:p w:rsidR="00826DB0" w:rsidRPr="0007259C" w:rsidRDefault="00826DB0" w:rsidP="00826DB0">
            <w:pPr>
              <w:jc w:val="center"/>
              <w:rPr>
                <w:rFonts w:ascii="宋体" w:eastAsia="宋体" w:hAnsi="宋体"/>
                <w:b/>
              </w:rPr>
            </w:pPr>
          </w:p>
        </w:tc>
        <w:tc>
          <w:tcPr>
            <w:tcW w:w="1134" w:type="dxa"/>
            <w:tcBorders>
              <w:left w:val="single" w:sz="6" w:space="0" w:color="FF6600"/>
              <w:right w:val="single" w:sz="6" w:space="0" w:color="FF6600"/>
            </w:tcBorders>
            <w:shd w:val="clear" w:color="auto" w:fill="FDE9D9" w:themeFill="accent6" w:themeFillTint="33"/>
            <w:vAlign w:val="center"/>
          </w:tcPr>
          <w:p w:rsidR="00826DB0" w:rsidRPr="00014D59" w:rsidRDefault="00826DB0" w:rsidP="00826DB0">
            <w:pPr>
              <w:jc w:val="center"/>
              <w:rPr>
                <w:rFonts w:ascii="宋体" w:eastAsia="宋体" w:hAnsi="宋体"/>
                <w:b/>
                <w:sz w:val="18"/>
                <w:szCs w:val="18"/>
              </w:rPr>
            </w:pPr>
            <w:r>
              <w:rPr>
                <w:rFonts w:ascii="宋体" w:eastAsia="宋体" w:hAnsi="宋体"/>
                <w:b/>
                <w:sz w:val="18"/>
                <w:szCs w:val="18"/>
              </w:rPr>
              <w:t>分级型</w:t>
            </w:r>
          </w:p>
        </w:tc>
        <w:tc>
          <w:tcPr>
            <w:tcW w:w="1345" w:type="dxa"/>
            <w:tcBorders>
              <w:left w:val="single" w:sz="6" w:space="0" w:color="FF6600"/>
              <w:right w:val="single" w:sz="6" w:space="0" w:color="FF6600"/>
            </w:tcBorders>
            <w:shd w:val="clear" w:color="auto" w:fill="auto"/>
            <w:vAlign w:val="center"/>
          </w:tcPr>
          <w:p w:rsidR="00826DB0" w:rsidRPr="00826DB0" w:rsidRDefault="00826DB0" w:rsidP="00826DB0">
            <w:pPr>
              <w:jc w:val="center"/>
              <w:rPr>
                <w:rFonts w:ascii="宋体" w:eastAsia="宋体" w:hAnsi="宋体" w:cs="宋体"/>
                <w:sz w:val="18"/>
                <w:szCs w:val="18"/>
              </w:rPr>
            </w:pPr>
            <w:r w:rsidRPr="00826DB0">
              <w:rPr>
                <w:rFonts w:ascii="宋体" w:eastAsia="宋体" w:hAnsi="宋体" w:hint="eastAsia"/>
                <w:sz w:val="18"/>
                <w:szCs w:val="18"/>
              </w:rPr>
              <w:t>2.06%</w:t>
            </w:r>
          </w:p>
        </w:tc>
        <w:tc>
          <w:tcPr>
            <w:tcW w:w="1347" w:type="dxa"/>
            <w:tcBorders>
              <w:left w:val="single" w:sz="6" w:space="0" w:color="FF6600"/>
              <w:right w:val="single" w:sz="6" w:space="0" w:color="FF6600"/>
            </w:tcBorders>
            <w:shd w:val="clear" w:color="auto" w:fill="auto"/>
            <w:vAlign w:val="center"/>
          </w:tcPr>
          <w:p w:rsidR="00826DB0" w:rsidRPr="00826DB0" w:rsidRDefault="00826DB0" w:rsidP="00826DB0">
            <w:pPr>
              <w:jc w:val="center"/>
              <w:rPr>
                <w:rFonts w:ascii="宋体" w:eastAsia="宋体" w:hAnsi="宋体" w:cs="宋体"/>
                <w:sz w:val="18"/>
                <w:szCs w:val="18"/>
              </w:rPr>
            </w:pPr>
            <w:r w:rsidRPr="00826DB0">
              <w:rPr>
                <w:rFonts w:ascii="宋体" w:eastAsia="宋体" w:hAnsi="宋体" w:hint="eastAsia"/>
                <w:sz w:val="18"/>
                <w:szCs w:val="18"/>
              </w:rPr>
              <w:t>4.77%</w:t>
            </w:r>
          </w:p>
        </w:tc>
        <w:tc>
          <w:tcPr>
            <w:tcW w:w="1346" w:type="dxa"/>
            <w:tcBorders>
              <w:left w:val="single" w:sz="6" w:space="0" w:color="FF6600"/>
              <w:right w:val="single" w:sz="6" w:space="0" w:color="FF6600"/>
            </w:tcBorders>
            <w:shd w:val="clear" w:color="auto" w:fill="auto"/>
            <w:vAlign w:val="center"/>
          </w:tcPr>
          <w:p w:rsidR="00826DB0" w:rsidRPr="00826DB0" w:rsidRDefault="00826DB0" w:rsidP="00826DB0">
            <w:pPr>
              <w:jc w:val="center"/>
              <w:rPr>
                <w:rFonts w:ascii="宋体" w:eastAsia="宋体" w:hAnsi="宋体" w:cs="宋体"/>
                <w:sz w:val="18"/>
                <w:szCs w:val="18"/>
              </w:rPr>
            </w:pPr>
            <w:r w:rsidRPr="00826DB0">
              <w:rPr>
                <w:rFonts w:ascii="宋体" w:eastAsia="宋体" w:hAnsi="宋体" w:hint="eastAsia"/>
                <w:sz w:val="18"/>
                <w:szCs w:val="18"/>
              </w:rPr>
              <w:t>6.99%</w:t>
            </w:r>
          </w:p>
        </w:tc>
        <w:tc>
          <w:tcPr>
            <w:tcW w:w="1347" w:type="dxa"/>
            <w:tcBorders>
              <w:left w:val="single" w:sz="6" w:space="0" w:color="FF6600"/>
              <w:right w:val="single" w:sz="6" w:space="0" w:color="FF6600"/>
            </w:tcBorders>
            <w:shd w:val="clear" w:color="auto" w:fill="auto"/>
            <w:vAlign w:val="center"/>
          </w:tcPr>
          <w:p w:rsidR="00826DB0" w:rsidRPr="00826DB0" w:rsidRDefault="00826DB0" w:rsidP="00826DB0">
            <w:pPr>
              <w:jc w:val="center"/>
              <w:rPr>
                <w:rFonts w:ascii="宋体" w:eastAsia="宋体" w:hAnsi="宋体"/>
                <w:sz w:val="18"/>
                <w:szCs w:val="18"/>
              </w:rPr>
            </w:pPr>
            <w:r w:rsidRPr="00826DB0">
              <w:rPr>
                <w:rFonts w:ascii="宋体" w:eastAsia="宋体" w:hAnsi="宋体" w:hint="eastAsia"/>
                <w:sz w:val="18"/>
                <w:szCs w:val="18"/>
              </w:rPr>
              <w:t>6.57%</w:t>
            </w:r>
          </w:p>
        </w:tc>
        <w:tc>
          <w:tcPr>
            <w:tcW w:w="1346" w:type="dxa"/>
            <w:tcBorders>
              <w:left w:val="single" w:sz="6" w:space="0" w:color="FF6600"/>
              <w:right w:val="single" w:sz="6" w:space="0" w:color="FF6600"/>
            </w:tcBorders>
            <w:shd w:val="clear" w:color="auto" w:fill="auto"/>
            <w:vAlign w:val="center"/>
          </w:tcPr>
          <w:p w:rsidR="00826DB0" w:rsidRPr="00826DB0" w:rsidRDefault="00826DB0" w:rsidP="00826DB0">
            <w:pPr>
              <w:jc w:val="center"/>
              <w:rPr>
                <w:rFonts w:ascii="宋体" w:eastAsia="宋体" w:hAnsi="宋体"/>
                <w:sz w:val="18"/>
                <w:szCs w:val="18"/>
              </w:rPr>
            </w:pPr>
            <w:r w:rsidRPr="00826DB0">
              <w:rPr>
                <w:rFonts w:ascii="宋体" w:eastAsia="宋体" w:hAnsi="宋体" w:hint="eastAsia"/>
                <w:sz w:val="18"/>
                <w:szCs w:val="18"/>
              </w:rPr>
              <w:t>17.78%</w:t>
            </w:r>
          </w:p>
        </w:tc>
        <w:tc>
          <w:tcPr>
            <w:tcW w:w="1347" w:type="dxa"/>
            <w:tcBorders>
              <w:left w:val="single" w:sz="6" w:space="0" w:color="FF6600"/>
            </w:tcBorders>
            <w:shd w:val="clear" w:color="auto" w:fill="auto"/>
            <w:vAlign w:val="center"/>
          </w:tcPr>
          <w:p w:rsidR="00826DB0" w:rsidRPr="00826DB0" w:rsidRDefault="00826DB0" w:rsidP="00826DB0">
            <w:pPr>
              <w:jc w:val="center"/>
              <w:rPr>
                <w:rFonts w:ascii="宋体" w:eastAsia="宋体" w:hAnsi="宋体"/>
                <w:sz w:val="18"/>
                <w:szCs w:val="18"/>
              </w:rPr>
            </w:pPr>
            <w:r w:rsidRPr="00826DB0">
              <w:rPr>
                <w:rFonts w:ascii="宋体" w:eastAsia="宋体" w:hAnsi="宋体" w:hint="eastAsia"/>
                <w:sz w:val="18"/>
                <w:szCs w:val="18"/>
              </w:rPr>
              <w:t>17.55%</w:t>
            </w:r>
          </w:p>
        </w:tc>
      </w:tr>
      <w:tr w:rsidR="00826DB0" w:rsidRPr="00B8403D" w:rsidTr="00950113">
        <w:trPr>
          <w:cantSplit/>
          <w:trHeight w:val="396"/>
        </w:trPr>
        <w:tc>
          <w:tcPr>
            <w:tcW w:w="2978" w:type="dxa"/>
            <w:gridSpan w:val="2"/>
            <w:tcBorders>
              <w:right w:val="single" w:sz="6" w:space="0" w:color="FF6600"/>
            </w:tcBorders>
            <w:shd w:val="clear" w:color="auto" w:fill="FDE9D9" w:themeFill="accent6" w:themeFillTint="33"/>
            <w:vAlign w:val="center"/>
          </w:tcPr>
          <w:p w:rsidR="00826DB0" w:rsidRPr="00950113" w:rsidRDefault="00826DB0" w:rsidP="00826DB0">
            <w:pPr>
              <w:jc w:val="center"/>
              <w:rPr>
                <w:rFonts w:ascii="宋体" w:eastAsia="宋体" w:hAnsi="宋体"/>
                <w:b/>
                <w:sz w:val="18"/>
                <w:szCs w:val="18"/>
              </w:rPr>
            </w:pPr>
            <w:r>
              <w:rPr>
                <w:rFonts w:ascii="宋体" w:eastAsia="宋体" w:hAnsi="宋体" w:hint="eastAsia"/>
                <w:b/>
                <w:sz w:val="18"/>
                <w:szCs w:val="18"/>
              </w:rPr>
              <w:t>事件驱动策略（</w:t>
            </w:r>
            <w:r w:rsidRPr="00950113">
              <w:rPr>
                <w:rFonts w:ascii="宋体" w:eastAsia="宋体" w:hAnsi="宋体" w:hint="eastAsia"/>
                <w:b/>
                <w:sz w:val="18"/>
                <w:szCs w:val="18"/>
              </w:rPr>
              <w:t>定向增发、大宗交易）</w:t>
            </w:r>
          </w:p>
        </w:tc>
        <w:tc>
          <w:tcPr>
            <w:tcW w:w="1345" w:type="dxa"/>
            <w:tcBorders>
              <w:left w:val="single" w:sz="6" w:space="0" w:color="FF6600"/>
              <w:right w:val="single" w:sz="6" w:space="0" w:color="FF6600"/>
            </w:tcBorders>
            <w:shd w:val="clear" w:color="auto" w:fill="auto"/>
            <w:vAlign w:val="center"/>
          </w:tcPr>
          <w:p w:rsidR="00826DB0" w:rsidRPr="00826DB0" w:rsidRDefault="00C619A9" w:rsidP="00826DB0">
            <w:pPr>
              <w:jc w:val="center"/>
              <w:rPr>
                <w:rFonts w:ascii="宋体" w:eastAsia="宋体" w:hAnsi="宋体" w:cs="宋体"/>
                <w:color w:val="FF0000"/>
                <w:sz w:val="18"/>
                <w:szCs w:val="18"/>
              </w:rPr>
            </w:pPr>
            <w:r>
              <w:rPr>
                <w:rFonts w:ascii="宋体" w:eastAsia="宋体" w:hAnsi="宋体" w:hint="eastAsia"/>
                <w:color w:val="FF0000"/>
                <w:sz w:val="18"/>
                <w:szCs w:val="18"/>
              </w:rPr>
              <w:t>-0.60</w:t>
            </w:r>
            <w:r w:rsidR="00826DB0" w:rsidRPr="00826DB0">
              <w:rPr>
                <w:rFonts w:ascii="宋体" w:eastAsia="宋体" w:hAnsi="宋体" w:hint="eastAsia"/>
                <w:color w:val="FF0000"/>
                <w:sz w:val="18"/>
                <w:szCs w:val="18"/>
              </w:rPr>
              <w:t>%</w:t>
            </w:r>
          </w:p>
        </w:tc>
        <w:tc>
          <w:tcPr>
            <w:tcW w:w="1347" w:type="dxa"/>
            <w:tcBorders>
              <w:left w:val="single" w:sz="6" w:space="0" w:color="FF6600"/>
              <w:right w:val="single" w:sz="6" w:space="0" w:color="FF6600"/>
            </w:tcBorders>
            <w:shd w:val="clear" w:color="auto" w:fill="auto"/>
            <w:vAlign w:val="center"/>
          </w:tcPr>
          <w:p w:rsidR="00826DB0" w:rsidRPr="00826DB0" w:rsidRDefault="00826DB0" w:rsidP="00826DB0">
            <w:pPr>
              <w:jc w:val="center"/>
              <w:rPr>
                <w:rFonts w:ascii="宋体" w:eastAsia="宋体" w:hAnsi="宋体" w:cs="宋体"/>
                <w:sz w:val="18"/>
                <w:szCs w:val="18"/>
              </w:rPr>
            </w:pPr>
            <w:r w:rsidRPr="00826DB0">
              <w:rPr>
                <w:rFonts w:ascii="宋体" w:eastAsia="宋体" w:hAnsi="宋体" w:hint="eastAsia"/>
                <w:sz w:val="18"/>
                <w:szCs w:val="18"/>
              </w:rPr>
              <w:t>6.38%</w:t>
            </w:r>
          </w:p>
        </w:tc>
        <w:tc>
          <w:tcPr>
            <w:tcW w:w="1346" w:type="dxa"/>
            <w:tcBorders>
              <w:left w:val="single" w:sz="6" w:space="0" w:color="FF6600"/>
              <w:right w:val="single" w:sz="6" w:space="0" w:color="FF6600"/>
            </w:tcBorders>
            <w:shd w:val="clear" w:color="auto" w:fill="auto"/>
            <w:vAlign w:val="center"/>
          </w:tcPr>
          <w:p w:rsidR="00826DB0" w:rsidRPr="00826DB0" w:rsidRDefault="00826DB0" w:rsidP="00826DB0">
            <w:pPr>
              <w:jc w:val="center"/>
              <w:rPr>
                <w:rFonts w:ascii="宋体" w:eastAsia="宋体" w:hAnsi="宋体" w:cs="宋体"/>
                <w:sz w:val="18"/>
                <w:szCs w:val="18"/>
              </w:rPr>
            </w:pPr>
            <w:r w:rsidRPr="00826DB0">
              <w:rPr>
                <w:rFonts w:ascii="宋体" w:eastAsia="宋体" w:hAnsi="宋体" w:hint="eastAsia"/>
                <w:sz w:val="18"/>
                <w:szCs w:val="18"/>
              </w:rPr>
              <w:t>21.40%</w:t>
            </w:r>
          </w:p>
        </w:tc>
        <w:tc>
          <w:tcPr>
            <w:tcW w:w="1347" w:type="dxa"/>
            <w:tcBorders>
              <w:left w:val="single" w:sz="6" w:space="0" w:color="FF6600"/>
              <w:right w:val="single" w:sz="6" w:space="0" w:color="FF6600"/>
            </w:tcBorders>
            <w:shd w:val="clear" w:color="auto" w:fill="auto"/>
            <w:vAlign w:val="center"/>
          </w:tcPr>
          <w:p w:rsidR="00826DB0" w:rsidRPr="00826DB0" w:rsidRDefault="00826DB0" w:rsidP="00826DB0">
            <w:pPr>
              <w:jc w:val="center"/>
              <w:rPr>
                <w:rFonts w:ascii="宋体" w:eastAsia="宋体" w:hAnsi="宋体"/>
                <w:sz w:val="18"/>
                <w:szCs w:val="18"/>
              </w:rPr>
            </w:pPr>
            <w:r w:rsidRPr="00826DB0">
              <w:rPr>
                <w:rFonts w:ascii="宋体" w:eastAsia="宋体" w:hAnsi="宋体" w:hint="eastAsia"/>
                <w:sz w:val="18"/>
                <w:szCs w:val="18"/>
              </w:rPr>
              <w:t>16.40%</w:t>
            </w:r>
          </w:p>
        </w:tc>
        <w:tc>
          <w:tcPr>
            <w:tcW w:w="1346" w:type="dxa"/>
            <w:tcBorders>
              <w:left w:val="single" w:sz="6" w:space="0" w:color="FF6600"/>
              <w:right w:val="single" w:sz="6" w:space="0" w:color="FF6600"/>
            </w:tcBorders>
            <w:shd w:val="clear" w:color="auto" w:fill="auto"/>
            <w:vAlign w:val="center"/>
          </w:tcPr>
          <w:p w:rsidR="00826DB0" w:rsidRPr="00826DB0" w:rsidRDefault="00826DB0" w:rsidP="00826DB0">
            <w:pPr>
              <w:jc w:val="center"/>
              <w:rPr>
                <w:rFonts w:ascii="宋体" w:eastAsia="宋体" w:hAnsi="宋体"/>
                <w:sz w:val="18"/>
                <w:szCs w:val="18"/>
              </w:rPr>
            </w:pPr>
            <w:r w:rsidRPr="00826DB0">
              <w:rPr>
                <w:rFonts w:ascii="宋体" w:eastAsia="宋体" w:hAnsi="宋体" w:hint="eastAsia"/>
                <w:sz w:val="18"/>
                <w:szCs w:val="18"/>
              </w:rPr>
              <w:t>44.99%</w:t>
            </w:r>
          </w:p>
        </w:tc>
        <w:tc>
          <w:tcPr>
            <w:tcW w:w="1347" w:type="dxa"/>
            <w:tcBorders>
              <w:left w:val="single" w:sz="6" w:space="0" w:color="FF6600"/>
            </w:tcBorders>
            <w:shd w:val="clear" w:color="auto" w:fill="auto"/>
            <w:vAlign w:val="center"/>
          </w:tcPr>
          <w:p w:rsidR="00826DB0" w:rsidRPr="00826DB0" w:rsidRDefault="00826DB0" w:rsidP="00826DB0">
            <w:pPr>
              <w:jc w:val="center"/>
              <w:rPr>
                <w:rFonts w:ascii="宋体" w:eastAsia="宋体" w:hAnsi="宋体"/>
                <w:sz w:val="18"/>
                <w:szCs w:val="18"/>
              </w:rPr>
            </w:pPr>
            <w:r w:rsidRPr="00826DB0">
              <w:rPr>
                <w:rFonts w:ascii="宋体" w:eastAsia="宋体" w:hAnsi="宋体" w:hint="eastAsia"/>
                <w:sz w:val="18"/>
                <w:szCs w:val="18"/>
              </w:rPr>
              <w:t>——</w:t>
            </w:r>
          </w:p>
        </w:tc>
      </w:tr>
      <w:tr w:rsidR="00826DB0" w:rsidTr="00950113">
        <w:trPr>
          <w:cantSplit/>
          <w:trHeight w:val="416"/>
        </w:trPr>
        <w:tc>
          <w:tcPr>
            <w:tcW w:w="2978" w:type="dxa"/>
            <w:gridSpan w:val="2"/>
            <w:tcBorders>
              <w:right w:val="single" w:sz="6" w:space="0" w:color="FF6600"/>
            </w:tcBorders>
            <w:shd w:val="clear" w:color="auto" w:fill="FDE9D9" w:themeFill="accent6" w:themeFillTint="33"/>
            <w:vAlign w:val="center"/>
          </w:tcPr>
          <w:p w:rsidR="00826DB0" w:rsidRPr="00950113" w:rsidRDefault="00826DB0" w:rsidP="00826DB0">
            <w:pPr>
              <w:jc w:val="center"/>
              <w:rPr>
                <w:rFonts w:ascii="宋体" w:eastAsia="宋体" w:hAnsi="宋体"/>
                <w:b/>
                <w:sz w:val="18"/>
                <w:szCs w:val="18"/>
              </w:rPr>
            </w:pPr>
            <w:r w:rsidRPr="00950113">
              <w:rPr>
                <w:rFonts w:ascii="宋体" w:eastAsia="宋体" w:hAnsi="宋体" w:hint="eastAsia"/>
                <w:b/>
                <w:sz w:val="18"/>
                <w:szCs w:val="18"/>
              </w:rPr>
              <w:t>(全球)宏观策略</w:t>
            </w:r>
          </w:p>
        </w:tc>
        <w:tc>
          <w:tcPr>
            <w:tcW w:w="1345" w:type="dxa"/>
            <w:tcBorders>
              <w:left w:val="single" w:sz="6" w:space="0" w:color="FF6600"/>
              <w:right w:val="single" w:sz="6" w:space="0" w:color="FF6600"/>
            </w:tcBorders>
            <w:shd w:val="clear" w:color="auto" w:fill="auto"/>
            <w:vAlign w:val="center"/>
          </w:tcPr>
          <w:p w:rsidR="00826DB0" w:rsidRPr="00826DB0" w:rsidRDefault="00826DB0" w:rsidP="00826DB0">
            <w:pPr>
              <w:jc w:val="center"/>
              <w:rPr>
                <w:rFonts w:ascii="宋体" w:eastAsia="宋体" w:hAnsi="宋体" w:cs="宋体"/>
                <w:sz w:val="18"/>
                <w:szCs w:val="18"/>
              </w:rPr>
            </w:pPr>
            <w:r w:rsidRPr="00826DB0">
              <w:rPr>
                <w:rFonts w:ascii="宋体" w:eastAsia="宋体" w:hAnsi="宋体" w:hint="eastAsia"/>
                <w:sz w:val="18"/>
                <w:szCs w:val="18"/>
              </w:rPr>
              <w:t>1.10%</w:t>
            </w:r>
          </w:p>
        </w:tc>
        <w:tc>
          <w:tcPr>
            <w:tcW w:w="1347" w:type="dxa"/>
            <w:tcBorders>
              <w:left w:val="single" w:sz="6" w:space="0" w:color="FF6600"/>
              <w:right w:val="single" w:sz="6" w:space="0" w:color="FF6600"/>
            </w:tcBorders>
            <w:shd w:val="clear" w:color="auto" w:fill="auto"/>
            <w:vAlign w:val="center"/>
          </w:tcPr>
          <w:p w:rsidR="00826DB0" w:rsidRPr="00826DB0" w:rsidRDefault="00826DB0" w:rsidP="00826DB0">
            <w:pPr>
              <w:jc w:val="center"/>
              <w:rPr>
                <w:rFonts w:ascii="宋体" w:eastAsia="宋体" w:hAnsi="宋体" w:cs="宋体"/>
                <w:sz w:val="18"/>
                <w:szCs w:val="18"/>
              </w:rPr>
            </w:pPr>
            <w:r w:rsidRPr="00826DB0">
              <w:rPr>
                <w:rFonts w:ascii="宋体" w:eastAsia="宋体" w:hAnsi="宋体" w:hint="eastAsia"/>
                <w:sz w:val="18"/>
                <w:szCs w:val="18"/>
              </w:rPr>
              <w:t>4.19%</w:t>
            </w:r>
          </w:p>
        </w:tc>
        <w:tc>
          <w:tcPr>
            <w:tcW w:w="1346" w:type="dxa"/>
            <w:tcBorders>
              <w:left w:val="single" w:sz="6" w:space="0" w:color="FF6600"/>
              <w:right w:val="single" w:sz="6" w:space="0" w:color="FF6600"/>
            </w:tcBorders>
            <w:shd w:val="clear" w:color="auto" w:fill="auto"/>
            <w:vAlign w:val="center"/>
          </w:tcPr>
          <w:p w:rsidR="00826DB0" w:rsidRPr="00826DB0" w:rsidRDefault="00826DB0" w:rsidP="00826DB0">
            <w:pPr>
              <w:jc w:val="center"/>
              <w:rPr>
                <w:rFonts w:ascii="宋体" w:eastAsia="宋体" w:hAnsi="宋体" w:cs="宋体"/>
                <w:sz w:val="18"/>
                <w:szCs w:val="18"/>
              </w:rPr>
            </w:pPr>
            <w:r w:rsidRPr="00826DB0">
              <w:rPr>
                <w:rFonts w:ascii="宋体" w:eastAsia="宋体" w:hAnsi="宋体" w:hint="eastAsia"/>
                <w:sz w:val="18"/>
                <w:szCs w:val="18"/>
              </w:rPr>
              <w:t>1.74%</w:t>
            </w:r>
          </w:p>
        </w:tc>
        <w:tc>
          <w:tcPr>
            <w:tcW w:w="1347" w:type="dxa"/>
            <w:tcBorders>
              <w:left w:val="single" w:sz="6" w:space="0" w:color="FF6600"/>
              <w:right w:val="single" w:sz="6" w:space="0" w:color="FF6600"/>
            </w:tcBorders>
            <w:shd w:val="clear" w:color="auto" w:fill="auto"/>
            <w:vAlign w:val="center"/>
          </w:tcPr>
          <w:p w:rsidR="00826DB0" w:rsidRPr="00826DB0" w:rsidRDefault="00826DB0" w:rsidP="00826DB0">
            <w:pPr>
              <w:jc w:val="center"/>
              <w:rPr>
                <w:rFonts w:ascii="宋体" w:eastAsia="宋体" w:hAnsi="宋体" w:cs="宋体"/>
                <w:sz w:val="18"/>
                <w:szCs w:val="18"/>
              </w:rPr>
            </w:pPr>
            <w:r w:rsidRPr="00826DB0">
              <w:rPr>
                <w:rFonts w:ascii="宋体" w:eastAsia="宋体" w:hAnsi="宋体" w:hint="eastAsia"/>
                <w:sz w:val="18"/>
                <w:szCs w:val="18"/>
              </w:rPr>
              <w:t>30.46%</w:t>
            </w:r>
          </w:p>
        </w:tc>
        <w:tc>
          <w:tcPr>
            <w:tcW w:w="1346" w:type="dxa"/>
            <w:tcBorders>
              <w:left w:val="single" w:sz="6" w:space="0" w:color="FF6600"/>
              <w:right w:val="single" w:sz="6" w:space="0" w:color="FF6600"/>
            </w:tcBorders>
            <w:shd w:val="clear" w:color="auto" w:fill="auto"/>
            <w:vAlign w:val="center"/>
          </w:tcPr>
          <w:p w:rsidR="00826DB0" w:rsidRPr="00826DB0" w:rsidRDefault="00826DB0" w:rsidP="00826DB0">
            <w:pPr>
              <w:jc w:val="center"/>
              <w:rPr>
                <w:rFonts w:ascii="宋体" w:eastAsia="宋体" w:hAnsi="宋体"/>
                <w:sz w:val="18"/>
                <w:szCs w:val="18"/>
              </w:rPr>
            </w:pPr>
            <w:r w:rsidRPr="00826DB0">
              <w:rPr>
                <w:rFonts w:ascii="宋体" w:eastAsia="宋体" w:hAnsi="宋体" w:hint="eastAsia"/>
                <w:sz w:val="18"/>
                <w:szCs w:val="18"/>
              </w:rPr>
              <w:t>——</w:t>
            </w:r>
          </w:p>
        </w:tc>
        <w:tc>
          <w:tcPr>
            <w:tcW w:w="1347" w:type="dxa"/>
            <w:tcBorders>
              <w:left w:val="single" w:sz="6" w:space="0" w:color="FF6600"/>
            </w:tcBorders>
            <w:shd w:val="clear" w:color="auto" w:fill="auto"/>
            <w:vAlign w:val="center"/>
          </w:tcPr>
          <w:p w:rsidR="00826DB0" w:rsidRPr="00826DB0" w:rsidRDefault="00826DB0" w:rsidP="00826DB0">
            <w:pPr>
              <w:jc w:val="center"/>
              <w:rPr>
                <w:rFonts w:ascii="宋体" w:eastAsia="宋体" w:hAnsi="宋体"/>
                <w:sz w:val="18"/>
                <w:szCs w:val="18"/>
              </w:rPr>
            </w:pPr>
            <w:r w:rsidRPr="00826DB0">
              <w:rPr>
                <w:rFonts w:ascii="宋体" w:eastAsia="宋体" w:hAnsi="宋体" w:hint="eastAsia"/>
                <w:sz w:val="18"/>
                <w:szCs w:val="18"/>
              </w:rPr>
              <w:t>——</w:t>
            </w:r>
          </w:p>
        </w:tc>
      </w:tr>
      <w:tr w:rsidR="00826DB0" w:rsidTr="00950113">
        <w:trPr>
          <w:cantSplit/>
          <w:trHeight w:val="408"/>
        </w:trPr>
        <w:tc>
          <w:tcPr>
            <w:tcW w:w="2978" w:type="dxa"/>
            <w:gridSpan w:val="2"/>
            <w:tcBorders>
              <w:right w:val="single" w:sz="6" w:space="0" w:color="FF6600"/>
            </w:tcBorders>
            <w:shd w:val="clear" w:color="auto" w:fill="FDE9D9" w:themeFill="accent6" w:themeFillTint="33"/>
            <w:vAlign w:val="center"/>
          </w:tcPr>
          <w:p w:rsidR="00826DB0" w:rsidRPr="00950113" w:rsidRDefault="00826DB0" w:rsidP="00826DB0">
            <w:pPr>
              <w:jc w:val="center"/>
              <w:rPr>
                <w:rFonts w:ascii="宋体" w:eastAsia="宋体" w:hAnsi="宋体"/>
                <w:b/>
                <w:sz w:val="18"/>
                <w:szCs w:val="18"/>
              </w:rPr>
            </w:pPr>
            <w:r w:rsidRPr="00950113">
              <w:rPr>
                <w:rFonts w:ascii="宋体" w:eastAsia="宋体" w:hAnsi="宋体" w:hint="eastAsia"/>
                <w:b/>
                <w:sz w:val="18"/>
                <w:szCs w:val="18"/>
              </w:rPr>
              <w:t>相对价值策略-相对价值套利策略</w:t>
            </w:r>
          </w:p>
        </w:tc>
        <w:tc>
          <w:tcPr>
            <w:tcW w:w="1345" w:type="dxa"/>
            <w:tcBorders>
              <w:left w:val="single" w:sz="6" w:space="0" w:color="FF6600"/>
              <w:right w:val="single" w:sz="6" w:space="0" w:color="FF6600"/>
            </w:tcBorders>
            <w:shd w:val="clear" w:color="auto" w:fill="auto"/>
            <w:vAlign w:val="center"/>
          </w:tcPr>
          <w:p w:rsidR="00826DB0" w:rsidRPr="00826DB0" w:rsidRDefault="00826DB0" w:rsidP="00826DB0">
            <w:pPr>
              <w:jc w:val="center"/>
              <w:rPr>
                <w:rFonts w:ascii="宋体" w:eastAsia="宋体" w:hAnsi="宋体" w:cs="宋体"/>
                <w:sz w:val="18"/>
                <w:szCs w:val="18"/>
              </w:rPr>
            </w:pPr>
            <w:r w:rsidRPr="00826DB0">
              <w:rPr>
                <w:rFonts w:ascii="宋体" w:eastAsia="宋体" w:hAnsi="宋体" w:hint="eastAsia"/>
                <w:sz w:val="18"/>
                <w:szCs w:val="18"/>
              </w:rPr>
              <w:t>1.40%</w:t>
            </w:r>
          </w:p>
        </w:tc>
        <w:tc>
          <w:tcPr>
            <w:tcW w:w="1347" w:type="dxa"/>
            <w:tcBorders>
              <w:left w:val="single" w:sz="6" w:space="0" w:color="FF6600"/>
              <w:right w:val="single" w:sz="6" w:space="0" w:color="FF6600"/>
            </w:tcBorders>
            <w:shd w:val="clear" w:color="auto" w:fill="auto"/>
            <w:vAlign w:val="center"/>
          </w:tcPr>
          <w:p w:rsidR="00826DB0" w:rsidRPr="00826DB0" w:rsidRDefault="00826DB0" w:rsidP="00826DB0">
            <w:pPr>
              <w:jc w:val="center"/>
              <w:rPr>
                <w:rFonts w:ascii="宋体" w:eastAsia="宋体" w:hAnsi="宋体" w:cs="宋体"/>
                <w:sz w:val="18"/>
                <w:szCs w:val="18"/>
              </w:rPr>
            </w:pPr>
            <w:r w:rsidRPr="00826DB0">
              <w:rPr>
                <w:rFonts w:ascii="宋体" w:eastAsia="宋体" w:hAnsi="宋体" w:hint="eastAsia"/>
                <w:sz w:val="18"/>
                <w:szCs w:val="18"/>
              </w:rPr>
              <w:t>2.06%</w:t>
            </w:r>
          </w:p>
        </w:tc>
        <w:tc>
          <w:tcPr>
            <w:tcW w:w="1346" w:type="dxa"/>
            <w:tcBorders>
              <w:left w:val="single" w:sz="6" w:space="0" w:color="FF6600"/>
              <w:right w:val="single" w:sz="6" w:space="0" w:color="FF6600"/>
            </w:tcBorders>
            <w:shd w:val="clear" w:color="auto" w:fill="auto"/>
            <w:vAlign w:val="center"/>
          </w:tcPr>
          <w:p w:rsidR="00826DB0" w:rsidRPr="00826DB0" w:rsidRDefault="00826DB0" w:rsidP="00826DB0">
            <w:pPr>
              <w:jc w:val="center"/>
              <w:rPr>
                <w:rFonts w:ascii="宋体" w:eastAsia="宋体" w:hAnsi="宋体" w:cs="宋体"/>
                <w:sz w:val="18"/>
                <w:szCs w:val="18"/>
              </w:rPr>
            </w:pPr>
            <w:r w:rsidRPr="00826DB0">
              <w:rPr>
                <w:rFonts w:ascii="宋体" w:eastAsia="宋体" w:hAnsi="宋体" w:hint="eastAsia"/>
                <w:sz w:val="18"/>
                <w:szCs w:val="18"/>
              </w:rPr>
              <w:t>3.22%</w:t>
            </w:r>
          </w:p>
        </w:tc>
        <w:tc>
          <w:tcPr>
            <w:tcW w:w="1347" w:type="dxa"/>
            <w:tcBorders>
              <w:left w:val="single" w:sz="6" w:space="0" w:color="FF6600"/>
              <w:right w:val="single" w:sz="6" w:space="0" w:color="FF6600"/>
            </w:tcBorders>
            <w:shd w:val="clear" w:color="auto" w:fill="auto"/>
            <w:vAlign w:val="center"/>
          </w:tcPr>
          <w:p w:rsidR="00826DB0" w:rsidRPr="00826DB0" w:rsidRDefault="00826DB0" w:rsidP="00826DB0">
            <w:pPr>
              <w:jc w:val="center"/>
              <w:rPr>
                <w:rFonts w:ascii="宋体" w:eastAsia="宋体" w:hAnsi="宋体"/>
                <w:sz w:val="18"/>
                <w:szCs w:val="18"/>
              </w:rPr>
            </w:pPr>
            <w:r w:rsidRPr="00826DB0">
              <w:rPr>
                <w:rFonts w:ascii="宋体" w:eastAsia="宋体" w:hAnsi="宋体" w:hint="eastAsia"/>
                <w:sz w:val="18"/>
                <w:szCs w:val="18"/>
              </w:rPr>
              <w:t>10.29%</w:t>
            </w:r>
          </w:p>
        </w:tc>
        <w:tc>
          <w:tcPr>
            <w:tcW w:w="1346" w:type="dxa"/>
            <w:tcBorders>
              <w:left w:val="single" w:sz="6" w:space="0" w:color="FF6600"/>
              <w:right w:val="single" w:sz="6" w:space="0" w:color="FF6600"/>
            </w:tcBorders>
            <w:shd w:val="clear" w:color="auto" w:fill="auto"/>
            <w:vAlign w:val="center"/>
          </w:tcPr>
          <w:p w:rsidR="00826DB0" w:rsidRPr="00826DB0" w:rsidRDefault="00826DB0" w:rsidP="00826DB0">
            <w:pPr>
              <w:jc w:val="center"/>
              <w:rPr>
                <w:rFonts w:ascii="宋体" w:eastAsia="宋体" w:hAnsi="宋体"/>
                <w:sz w:val="18"/>
                <w:szCs w:val="18"/>
              </w:rPr>
            </w:pPr>
            <w:r w:rsidRPr="00826DB0">
              <w:rPr>
                <w:rFonts w:ascii="宋体" w:eastAsia="宋体" w:hAnsi="宋体" w:hint="eastAsia"/>
                <w:sz w:val="18"/>
                <w:szCs w:val="18"/>
              </w:rPr>
              <w:t>——</w:t>
            </w:r>
          </w:p>
        </w:tc>
        <w:tc>
          <w:tcPr>
            <w:tcW w:w="1347" w:type="dxa"/>
            <w:tcBorders>
              <w:left w:val="single" w:sz="6" w:space="0" w:color="FF6600"/>
            </w:tcBorders>
            <w:shd w:val="clear" w:color="auto" w:fill="auto"/>
            <w:vAlign w:val="center"/>
          </w:tcPr>
          <w:p w:rsidR="00826DB0" w:rsidRPr="00826DB0" w:rsidRDefault="00826DB0" w:rsidP="00826DB0">
            <w:pPr>
              <w:jc w:val="center"/>
              <w:rPr>
                <w:rFonts w:ascii="宋体" w:eastAsia="宋体" w:hAnsi="宋体"/>
                <w:sz w:val="18"/>
                <w:szCs w:val="18"/>
              </w:rPr>
            </w:pPr>
            <w:r w:rsidRPr="00826DB0">
              <w:rPr>
                <w:rFonts w:ascii="宋体" w:eastAsia="宋体" w:hAnsi="宋体" w:hint="eastAsia"/>
                <w:sz w:val="18"/>
                <w:szCs w:val="18"/>
              </w:rPr>
              <w:t>——</w:t>
            </w:r>
          </w:p>
        </w:tc>
      </w:tr>
      <w:tr w:rsidR="00826DB0" w:rsidTr="00950113">
        <w:trPr>
          <w:cantSplit/>
          <w:trHeight w:val="413"/>
        </w:trPr>
        <w:tc>
          <w:tcPr>
            <w:tcW w:w="2978" w:type="dxa"/>
            <w:gridSpan w:val="2"/>
            <w:tcBorders>
              <w:right w:val="single" w:sz="6" w:space="0" w:color="FF6600"/>
            </w:tcBorders>
            <w:shd w:val="clear" w:color="auto" w:fill="FDE9D9" w:themeFill="accent6" w:themeFillTint="33"/>
            <w:vAlign w:val="center"/>
          </w:tcPr>
          <w:p w:rsidR="00826DB0" w:rsidRPr="00950113" w:rsidRDefault="00826DB0" w:rsidP="00826DB0">
            <w:pPr>
              <w:jc w:val="center"/>
              <w:rPr>
                <w:rFonts w:ascii="宋体" w:eastAsia="宋体" w:hAnsi="宋体"/>
                <w:b/>
                <w:sz w:val="18"/>
                <w:szCs w:val="18"/>
              </w:rPr>
            </w:pPr>
            <w:r w:rsidRPr="00950113">
              <w:rPr>
                <w:rFonts w:ascii="宋体" w:eastAsia="宋体" w:hAnsi="宋体" w:hint="eastAsia"/>
                <w:b/>
                <w:sz w:val="18"/>
                <w:szCs w:val="18"/>
              </w:rPr>
              <w:lastRenderedPageBreak/>
              <w:t>固定收益策略</w:t>
            </w:r>
          </w:p>
        </w:tc>
        <w:tc>
          <w:tcPr>
            <w:tcW w:w="1345" w:type="dxa"/>
            <w:tcBorders>
              <w:left w:val="single" w:sz="6" w:space="0" w:color="FF6600"/>
              <w:right w:val="single" w:sz="6" w:space="0" w:color="FF6600"/>
            </w:tcBorders>
            <w:shd w:val="clear" w:color="auto" w:fill="auto"/>
            <w:vAlign w:val="center"/>
          </w:tcPr>
          <w:p w:rsidR="00826DB0" w:rsidRPr="00826DB0" w:rsidRDefault="00826DB0" w:rsidP="00826DB0">
            <w:pPr>
              <w:jc w:val="center"/>
              <w:rPr>
                <w:rFonts w:ascii="宋体" w:eastAsia="宋体" w:hAnsi="宋体" w:cs="宋体"/>
                <w:sz w:val="18"/>
                <w:szCs w:val="18"/>
              </w:rPr>
            </w:pPr>
            <w:r w:rsidRPr="00826DB0">
              <w:rPr>
                <w:rFonts w:ascii="宋体" w:eastAsia="宋体" w:hAnsi="宋体" w:hint="eastAsia"/>
                <w:sz w:val="18"/>
                <w:szCs w:val="18"/>
              </w:rPr>
              <w:t>0.41%</w:t>
            </w:r>
          </w:p>
        </w:tc>
        <w:tc>
          <w:tcPr>
            <w:tcW w:w="1347" w:type="dxa"/>
            <w:tcBorders>
              <w:left w:val="single" w:sz="6" w:space="0" w:color="FF6600"/>
              <w:right w:val="single" w:sz="6" w:space="0" w:color="FF6600"/>
            </w:tcBorders>
            <w:shd w:val="clear" w:color="auto" w:fill="auto"/>
            <w:vAlign w:val="center"/>
          </w:tcPr>
          <w:p w:rsidR="00826DB0" w:rsidRPr="00826DB0" w:rsidRDefault="00826DB0" w:rsidP="00826DB0">
            <w:pPr>
              <w:jc w:val="center"/>
              <w:rPr>
                <w:rFonts w:ascii="宋体" w:eastAsia="宋体" w:hAnsi="宋体" w:cs="宋体"/>
                <w:sz w:val="18"/>
                <w:szCs w:val="18"/>
              </w:rPr>
            </w:pPr>
            <w:r w:rsidRPr="00826DB0">
              <w:rPr>
                <w:rFonts w:ascii="宋体" w:eastAsia="宋体" w:hAnsi="宋体" w:hint="eastAsia"/>
                <w:sz w:val="18"/>
                <w:szCs w:val="18"/>
              </w:rPr>
              <w:t>-0.71%</w:t>
            </w:r>
          </w:p>
        </w:tc>
        <w:tc>
          <w:tcPr>
            <w:tcW w:w="1346" w:type="dxa"/>
            <w:tcBorders>
              <w:left w:val="single" w:sz="6" w:space="0" w:color="FF6600"/>
              <w:right w:val="single" w:sz="6" w:space="0" w:color="FF6600"/>
            </w:tcBorders>
            <w:shd w:val="clear" w:color="auto" w:fill="auto"/>
            <w:vAlign w:val="center"/>
          </w:tcPr>
          <w:p w:rsidR="00826DB0" w:rsidRPr="00826DB0" w:rsidRDefault="00826DB0" w:rsidP="00826DB0">
            <w:pPr>
              <w:jc w:val="center"/>
              <w:rPr>
                <w:rFonts w:ascii="宋体" w:eastAsia="宋体" w:hAnsi="宋体" w:cs="宋体"/>
                <w:sz w:val="18"/>
                <w:szCs w:val="18"/>
              </w:rPr>
            </w:pPr>
            <w:r w:rsidRPr="00826DB0">
              <w:rPr>
                <w:rFonts w:ascii="宋体" w:eastAsia="宋体" w:hAnsi="宋体" w:hint="eastAsia"/>
                <w:sz w:val="18"/>
                <w:szCs w:val="18"/>
              </w:rPr>
              <w:t>0.06%</w:t>
            </w:r>
          </w:p>
        </w:tc>
        <w:tc>
          <w:tcPr>
            <w:tcW w:w="1347" w:type="dxa"/>
            <w:tcBorders>
              <w:left w:val="single" w:sz="6" w:space="0" w:color="FF6600"/>
              <w:right w:val="single" w:sz="6" w:space="0" w:color="FF6600"/>
            </w:tcBorders>
            <w:shd w:val="clear" w:color="auto" w:fill="auto"/>
            <w:vAlign w:val="center"/>
          </w:tcPr>
          <w:p w:rsidR="00826DB0" w:rsidRPr="00826DB0" w:rsidRDefault="00826DB0" w:rsidP="00826DB0">
            <w:pPr>
              <w:jc w:val="center"/>
              <w:rPr>
                <w:rFonts w:ascii="宋体" w:eastAsia="宋体" w:hAnsi="宋体"/>
                <w:sz w:val="18"/>
                <w:szCs w:val="18"/>
              </w:rPr>
            </w:pPr>
            <w:r w:rsidRPr="00826DB0">
              <w:rPr>
                <w:rFonts w:ascii="宋体" w:eastAsia="宋体" w:hAnsi="宋体" w:hint="eastAsia"/>
                <w:sz w:val="18"/>
                <w:szCs w:val="18"/>
              </w:rPr>
              <w:t>9.86%</w:t>
            </w:r>
          </w:p>
        </w:tc>
        <w:tc>
          <w:tcPr>
            <w:tcW w:w="1346" w:type="dxa"/>
            <w:tcBorders>
              <w:left w:val="single" w:sz="6" w:space="0" w:color="FF6600"/>
              <w:right w:val="single" w:sz="6" w:space="0" w:color="FF6600"/>
            </w:tcBorders>
            <w:shd w:val="clear" w:color="auto" w:fill="auto"/>
            <w:vAlign w:val="center"/>
          </w:tcPr>
          <w:p w:rsidR="00826DB0" w:rsidRPr="00826DB0" w:rsidRDefault="00826DB0" w:rsidP="00826DB0">
            <w:pPr>
              <w:jc w:val="center"/>
              <w:rPr>
                <w:rFonts w:ascii="宋体" w:eastAsia="宋体" w:hAnsi="宋体"/>
                <w:sz w:val="18"/>
                <w:szCs w:val="18"/>
              </w:rPr>
            </w:pPr>
            <w:r w:rsidRPr="00826DB0">
              <w:rPr>
                <w:rFonts w:ascii="宋体" w:eastAsia="宋体" w:hAnsi="宋体" w:hint="eastAsia"/>
                <w:sz w:val="18"/>
                <w:szCs w:val="18"/>
              </w:rPr>
              <w:t>19.38%</w:t>
            </w:r>
          </w:p>
        </w:tc>
        <w:tc>
          <w:tcPr>
            <w:tcW w:w="1347" w:type="dxa"/>
            <w:tcBorders>
              <w:left w:val="single" w:sz="6" w:space="0" w:color="FF6600"/>
            </w:tcBorders>
            <w:shd w:val="clear" w:color="auto" w:fill="auto"/>
            <w:vAlign w:val="center"/>
          </w:tcPr>
          <w:p w:rsidR="00826DB0" w:rsidRPr="00826DB0" w:rsidRDefault="00826DB0" w:rsidP="00826DB0">
            <w:pPr>
              <w:jc w:val="center"/>
              <w:rPr>
                <w:rFonts w:ascii="宋体" w:eastAsia="宋体" w:hAnsi="宋体"/>
                <w:sz w:val="18"/>
                <w:szCs w:val="18"/>
              </w:rPr>
            </w:pPr>
            <w:r w:rsidRPr="00826DB0">
              <w:rPr>
                <w:rFonts w:ascii="宋体" w:eastAsia="宋体" w:hAnsi="宋体" w:hint="eastAsia"/>
                <w:sz w:val="18"/>
                <w:szCs w:val="18"/>
              </w:rPr>
              <w:t>——</w:t>
            </w:r>
          </w:p>
        </w:tc>
      </w:tr>
      <w:tr w:rsidR="00826DB0" w:rsidTr="00950113">
        <w:trPr>
          <w:cantSplit/>
          <w:trHeight w:val="406"/>
        </w:trPr>
        <w:tc>
          <w:tcPr>
            <w:tcW w:w="2978" w:type="dxa"/>
            <w:gridSpan w:val="2"/>
            <w:tcBorders>
              <w:right w:val="single" w:sz="6" w:space="0" w:color="FF6600"/>
            </w:tcBorders>
            <w:shd w:val="clear" w:color="auto" w:fill="FDE9D9" w:themeFill="accent6" w:themeFillTint="33"/>
            <w:vAlign w:val="center"/>
          </w:tcPr>
          <w:p w:rsidR="00826DB0" w:rsidRPr="00950113" w:rsidRDefault="00826DB0" w:rsidP="00826DB0">
            <w:pPr>
              <w:jc w:val="center"/>
              <w:rPr>
                <w:rFonts w:ascii="宋体" w:eastAsia="宋体" w:hAnsi="宋体"/>
                <w:b/>
                <w:sz w:val="18"/>
                <w:szCs w:val="18"/>
              </w:rPr>
            </w:pPr>
            <w:r w:rsidRPr="00950113">
              <w:rPr>
                <w:rFonts w:ascii="宋体" w:eastAsia="宋体" w:hAnsi="宋体" w:hint="eastAsia"/>
                <w:b/>
                <w:sz w:val="18"/>
                <w:szCs w:val="18"/>
              </w:rPr>
              <w:t>股票对冲策略-市场中性策略</w:t>
            </w:r>
          </w:p>
        </w:tc>
        <w:tc>
          <w:tcPr>
            <w:tcW w:w="1345" w:type="dxa"/>
            <w:tcBorders>
              <w:left w:val="single" w:sz="6" w:space="0" w:color="FF6600"/>
              <w:right w:val="single" w:sz="6" w:space="0" w:color="FF6600"/>
            </w:tcBorders>
            <w:shd w:val="clear" w:color="auto" w:fill="auto"/>
            <w:vAlign w:val="center"/>
          </w:tcPr>
          <w:p w:rsidR="00826DB0" w:rsidRPr="00826DB0" w:rsidRDefault="00826DB0" w:rsidP="00826DB0">
            <w:pPr>
              <w:jc w:val="center"/>
              <w:rPr>
                <w:rFonts w:ascii="宋体" w:eastAsia="宋体" w:hAnsi="宋体" w:cs="宋体"/>
                <w:sz w:val="18"/>
                <w:szCs w:val="18"/>
              </w:rPr>
            </w:pPr>
            <w:r w:rsidRPr="00826DB0">
              <w:rPr>
                <w:rFonts w:ascii="宋体" w:eastAsia="宋体" w:hAnsi="宋体" w:hint="eastAsia"/>
                <w:sz w:val="18"/>
                <w:szCs w:val="18"/>
              </w:rPr>
              <w:t>1.61%</w:t>
            </w:r>
          </w:p>
        </w:tc>
        <w:tc>
          <w:tcPr>
            <w:tcW w:w="1347" w:type="dxa"/>
            <w:tcBorders>
              <w:left w:val="single" w:sz="6" w:space="0" w:color="FF6600"/>
              <w:right w:val="single" w:sz="6" w:space="0" w:color="FF6600"/>
            </w:tcBorders>
            <w:shd w:val="clear" w:color="auto" w:fill="auto"/>
            <w:vAlign w:val="center"/>
          </w:tcPr>
          <w:p w:rsidR="00826DB0" w:rsidRPr="00826DB0" w:rsidRDefault="00826DB0" w:rsidP="00826DB0">
            <w:pPr>
              <w:jc w:val="center"/>
              <w:rPr>
                <w:rFonts w:ascii="宋体" w:eastAsia="宋体" w:hAnsi="宋体" w:cs="宋体"/>
                <w:sz w:val="18"/>
                <w:szCs w:val="18"/>
              </w:rPr>
            </w:pPr>
            <w:r w:rsidRPr="00826DB0">
              <w:rPr>
                <w:rFonts w:ascii="宋体" w:eastAsia="宋体" w:hAnsi="宋体" w:hint="eastAsia"/>
                <w:sz w:val="18"/>
                <w:szCs w:val="18"/>
              </w:rPr>
              <w:t>3.65%</w:t>
            </w:r>
          </w:p>
        </w:tc>
        <w:tc>
          <w:tcPr>
            <w:tcW w:w="1346" w:type="dxa"/>
            <w:tcBorders>
              <w:left w:val="single" w:sz="6" w:space="0" w:color="FF6600"/>
              <w:right w:val="single" w:sz="6" w:space="0" w:color="FF6600"/>
            </w:tcBorders>
            <w:shd w:val="clear" w:color="auto" w:fill="auto"/>
            <w:vAlign w:val="center"/>
          </w:tcPr>
          <w:p w:rsidR="00826DB0" w:rsidRPr="00826DB0" w:rsidRDefault="00826DB0" w:rsidP="00826DB0">
            <w:pPr>
              <w:jc w:val="center"/>
              <w:rPr>
                <w:rFonts w:ascii="宋体" w:eastAsia="宋体" w:hAnsi="宋体" w:cs="宋体"/>
                <w:sz w:val="18"/>
                <w:szCs w:val="18"/>
              </w:rPr>
            </w:pPr>
            <w:r w:rsidRPr="00826DB0">
              <w:rPr>
                <w:rFonts w:ascii="宋体" w:eastAsia="宋体" w:hAnsi="宋体" w:hint="eastAsia"/>
                <w:sz w:val="18"/>
                <w:szCs w:val="18"/>
              </w:rPr>
              <w:t>3.80%</w:t>
            </w:r>
          </w:p>
        </w:tc>
        <w:tc>
          <w:tcPr>
            <w:tcW w:w="1347" w:type="dxa"/>
            <w:tcBorders>
              <w:left w:val="single" w:sz="6" w:space="0" w:color="FF6600"/>
              <w:right w:val="single" w:sz="6" w:space="0" w:color="FF6600"/>
            </w:tcBorders>
            <w:shd w:val="clear" w:color="auto" w:fill="auto"/>
            <w:vAlign w:val="center"/>
          </w:tcPr>
          <w:p w:rsidR="00826DB0" w:rsidRPr="00826DB0" w:rsidRDefault="00826DB0" w:rsidP="00826DB0">
            <w:pPr>
              <w:jc w:val="center"/>
              <w:rPr>
                <w:rFonts w:ascii="宋体" w:eastAsia="宋体" w:hAnsi="宋体"/>
                <w:sz w:val="18"/>
                <w:szCs w:val="18"/>
              </w:rPr>
            </w:pPr>
            <w:r w:rsidRPr="00826DB0">
              <w:rPr>
                <w:rFonts w:ascii="宋体" w:eastAsia="宋体" w:hAnsi="宋体" w:hint="eastAsia"/>
                <w:sz w:val="18"/>
                <w:szCs w:val="18"/>
              </w:rPr>
              <w:t>0.45%</w:t>
            </w:r>
          </w:p>
        </w:tc>
        <w:tc>
          <w:tcPr>
            <w:tcW w:w="1346" w:type="dxa"/>
            <w:tcBorders>
              <w:left w:val="single" w:sz="6" w:space="0" w:color="FF6600"/>
              <w:right w:val="single" w:sz="6" w:space="0" w:color="FF6600"/>
            </w:tcBorders>
            <w:shd w:val="clear" w:color="auto" w:fill="auto"/>
            <w:vAlign w:val="center"/>
          </w:tcPr>
          <w:p w:rsidR="00826DB0" w:rsidRPr="00826DB0" w:rsidRDefault="00826DB0" w:rsidP="00826DB0">
            <w:pPr>
              <w:jc w:val="center"/>
              <w:rPr>
                <w:rFonts w:ascii="宋体" w:eastAsia="宋体" w:hAnsi="宋体"/>
                <w:sz w:val="18"/>
                <w:szCs w:val="18"/>
              </w:rPr>
            </w:pPr>
            <w:r w:rsidRPr="00826DB0">
              <w:rPr>
                <w:rFonts w:ascii="宋体" w:eastAsia="宋体" w:hAnsi="宋体" w:hint="eastAsia"/>
                <w:sz w:val="18"/>
                <w:szCs w:val="18"/>
              </w:rPr>
              <w:t>——</w:t>
            </w:r>
          </w:p>
        </w:tc>
        <w:tc>
          <w:tcPr>
            <w:tcW w:w="1347" w:type="dxa"/>
            <w:tcBorders>
              <w:left w:val="single" w:sz="6" w:space="0" w:color="FF6600"/>
            </w:tcBorders>
            <w:shd w:val="clear" w:color="auto" w:fill="auto"/>
            <w:vAlign w:val="center"/>
          </w:tcPr>
          <w:p w:rsidR="00826DB0" w:rsidRPr="00826DB0" w:rsidRDefault="00826DB0" w:rsidP="00826DB0">
            <w:pPr>
              <w:jc w:val="center"/>
              <w:rPr>
                <w:rFonts w:ascii="宋体" w:eastAsia="宋体" w:hAnsi="宋体"/>
                <w:sz w:val="18"/>
                <w:szCs w:val="18"/>
              </w:rPr>
            </w:pPr>
            <w:r w:rsidRPr="00826DB0">
              <w:rPr>
                <w:rFonts w:ascii="宋体" w:eastAsia="宋体" w:hAnsi="宋体" w:hint="eastAsia"/>
                <w:sz w:val="18"/>
                <w:szCs w:val="18"/>
              </w:rPr>
              <w:t>——</w:t>
            </w:r>
          </w:p>
        </w:tc>
      </w:tr>
      <w:tr w:rsidR="00F56F61" w:rsidTr="004F3100">
        <w:trPr>
          <w:cantSplit/>
          <w:trHeight w:val="308"/>
        </w:trPr>
        <w:tc>
          <w:tcPr>
            <w:tcW w:w="11056" w:type="dxa"/>
            <w:gridSpan w:val="8"/>
            <w:shd w:val="clear" w:color="auto" w:fill="auto"/>
            <w:vAlign w:val="center"/>
          </w:tcPr>
          <w:p w:rsidR="00F56F61" w:rsidRPr="0007259C" w:rsidRDefault="00F56F61" w:rsidP="00F56F61">
            <w:pPr>
              <w:jc w:val="left"/>
              <w:rPr>
                <w:rFonts w:ascii="宋体" w:eastAsia="宋体" w:hAnsi="宋体"/>
                <w:b/>
              </w:rPr>
            </w:pPr>
            <w:r w:rsidRPr="00014D59">
              <w:rPr>
                <w:rFonts w:ascii="宋体" w:eastAsia="宋体" w:hAnsi="宋体" w:hint="eastAsia"/>
                <w:sz w:val="18"/>
                <w:szCs w:val="18"/>
              </w:rPr>
              <w:t>注：除</w:t>
            </w:r>
            <w:r w:rsidR="003B25FA">
              <w:rPr>
                <w:rFonts w:ascii="宋体" w:eastAsia="宋体" w:hAnsi="宋体" w:hint="eastAsia"/>
                <w:sz w:val="18"/>
                <w:szCs w:val="18"/>
              </w:rPr>
              <w:t>股票多头策略外，其他</w:t>
            </w:r>
            <w:r w:rsidRPr="00014D59">
              <w:rPr>
                <w:rFonts w:ascii="宋体" w:eastAsia="宋体" w:hAnsi="宋体" w:hint="eastAsia"/>
                <w:sz w:val="18"/>
                <w:szCs w:val="18"/>
              </w:rPr>
              <w:t>策略具有完整年度以上业绩的样本数量相对较少，平均结果仅供参考，且没有区分管理型和分级型等特征。</w:t>
            </w:r>
          </w:p>
        </w:tc>
      </w:tr>
    </w:tbl>
    <w:p w:rsidR="00F56F61" w:rsidRPr="003629A1" w:rsidRDefault="00F56F61" w:rsidP="00F56F61">
      <w:pPr>
        <w:pStyle w:val="FootnoteNoline"/>
        <w:ind w:left="0"/>
        <w:rPr>
          <w:color w:val="FF6600"/>
          <w:lang w:val="en-US"/>
        </w:rPr>
      </w:pPr>
      <w:r w:rsidRPr="003629A1">
        <w:rPr>
          <w:rFonts w:hint="eastAsia"/>
          <w:color w:val="FF6600"/>
          <w:lang w:val="en-US"/>
        </w:rPr>
        <w:t>来源：</w:t>
      </w:r>
      <w:proofErr w:type="gramStart"/>
      <w:r w:rsidRPr="003629A1">
        <w:rPr>
          <w:rFonts w:hint="eastAsia"/>
          <w:color w:val="FF6600"/>
          <w:lang w:val="en-US"/>
        </w:rPr>
        <w:t>凯</w:t>
      </w:r>
      <w:proofErr w:type="gramEnd"/>
      <w:r w:rsidRPr="003629A1">
        <w:rPr>
          <w:rFonts w:hint="eastAsia"/>
          <w:color w:val="FF6600"/>
          <w:lang w:val="en-US"/>
        </w:rPr>
        <w:t>石财富工场</w:t>
      </w:r>
    </w:p>
    <w:p w:rsidR="00EC74F0" w:rsidRPr="008A624E" w:rsidRDefault="00D27C7D" w:rsidP="00EC74F0">
      <w:pPr>
        <w:pStyle w:val="ac"/>
        <w:spacing w:after="163"/>
        <w:rPr>
          <w:szCs w:val="21"/>
        </w:rPr>
      </w:pPr>
      <w:r>
        <w:rPr>
          <w:rFonts w:ascii="宋体" w:eastAsia="宋体" w:hAnsi="宋体" w:cs="宋体" w:hint="eastAsia"/>
          <w:b/>
          <w:bCs/>
          <w:color w:val="0070C0"/>
          <w:szCs w:val="21"/>
        </w:rPr>
        <w:t>领跑基金多借助成长股之力</w:t>
      </w:r>
    </w:p>
    <w:p w:rsidR="00B56562" w:rsidRPr="00B56562" w:rsidRDefault="00F72D7D" w:rsidP="006709B3">
      <w:pPr>
        <w:pStyle w:val="ac"/>
        <w:numPr>
          <w:ilvl w:val="4"/>
          <w:numId w:val="4"/>
        </w:numPr>
        <w:spacing w:after="163"/>
        <w:rPr>
          <w:szCs w:val="21"/>
        </w:rPr>
      </w:pPr>
      <w:r>
        <w:rPr>
          <w:rFonts w:eastAsiaTheme="minorEastAsia" w:hint="eastAsia"/>
          <w:lang w:val="en-US"/>
        </w:rPr>
        <w:t>1</w:t>
      </w:r>
      <w:r>
        <w:rPr>
          <w:rFonts w:eastAsiaTheme="minorEastAsia" w:hint="eastAsia"/>
          <w:lang w:val="en-US"/>
        </w:rPr>
        <w:t>月份对冲基金前</w:t>
      </w:r>
      <w:r>
        <w:rPr>
          <w:rFonts w:eastAsiaTheme="minorEastAsia" w:hint="eastAsia"/>
          <w:lang w:val="en-US"/>
        </w:rPr>
        <w:t>20</w:t>
      </w:r>
      <w:r>
        <w:rPr>
          <w:rFonts w:eastAsiaTheme="minorEastAsia" w:hint="eastAsia"/>
          <w:lang w:val="en-US"/>
        </w:rPr>
        <w:t>中除</w:t>
      </w:r>
      <w:r w:rsidRPr="00F72D7D">
        <w:rPr>
          <w:rFonts w:eastAsiaTheme="minorEastAsia" w:hint="eastAsia"/>
          <w:lang w:val="en-US"/>
        </w:rPr>
        <w:t>有限合伙</w:t>
      </w:r>
      <w:r w:rsidRPr="00F72D7D">
        <w:rPr>
          <w:rFonts w:eastAsiaTheme="minorEastAsia" w:hint="eastAsia"/>
          <w:lang w:val="en-US"/>
        </w:rPr>
        <w:t>-</w:t>
      </w:r>
      <w:proofErr w:type="gramStart"/>
      <w:r w:rsidRPr="00F72D7D">
        <w:rPr>
          <w:rFonts w:eastAsiaTheme="minorEastAsia" w:hint="eastAsia"/>
          <w:lang w:val="en-US"/>
        </w:rPr>
        <w:t>尚道乾坤</w:t>
      </w:r>
      <w:r>
        <w:rPr>
          <w:rFonts w:eastAsiaTheme="minorEastAsia" w:hint="eastAsia"/>
          <w:lang w:val="en-US"/>
        </w:rPr>
        <w:t>属</w:t>
      </w:r>
      <w:r w:rsidRPr="00F72D7D">
        <w:rPr>
          <w:rFonts w:eastAsiaTheme="minorEastAsia" w:hint="eastAsia"/>
          <w:lang w:val="en-US"/>
        </w:rPr>
        <w:t>股票</w:t>
      </w:r>
      <w:proofErr w:type="gramEnd"/>
      <w:r w:rsidRPr="00F72D7D">
        <w:rPr>
          <w:rFonts w:eastAsiaTheme="minorEastAsia" w:hint="eastAsia"/>
          <w:lang w:val="en-US"/>
        </w:rPr>
        <w:t>对冲策略</w:t>
      </w:r>
      <w:r w:rsidRPr="00F72D7D">
        <w:rPr>
          <w:rFonts w:eastAsiaTheme="minorEastAsia" w:hint="eastAsia"/>
          <w:lang w:val="en-US"/>
        </w:rPr>
        <w:t>-</w:t>
      </w:r>
      <w:r w:rsidRPr="00F72D7D">
        <w:rPr>
          <w:rFonts w:eastAsiaTheme="minorEastAsia" w:hint="eastAsia"/>
          <w:lang w:val="en-US"/>
        </w:rPr>
        <w:t>多空对冲</w:t>
      </w:r>
      <w:r>
        <w:rPr>
          <w:rFonts w:eastAsiaTheme="minorEastAsia" w:hint="eastAsia"/>
          <w:lang w:val="en-US"/>
        </w:rPr>
        <w:t>之外，其余均为</w:t>
      </w:r>
      <w:r w:rsidR="000F646B">
        <w:rPr>
          <w:rFonts w:hint="eastAsia"/>
        </w:rPr>
        <w:t>传统</w:t>
      </w:r>
      <w:r>
        <w:rPr>
          <w:rFonts w:hint="eastAsia"/>
        </w:rPr>
        <w:t>的股票多头</w:t>
      </w:r>
      <w:r w:rsidR="000F646B">
        <w:rPr>
          <w:rFonts w:hint="eastAsia"/>
        </w:rPr>
        <w:t>策略</w:t>
      </w:r>
      <w:r>
        <w:rPr>
          <w:rFonts w:hint="eastAsia"/>
        </w:rPr>
        <w:t>品种。</w:t>
      </w:r>
      <w:r w:rsidR="00B56562">
        <w:rPr>
          <w:rFonts w:hint="eastAsia"/>
        </w:rPr>
        <w:t>具备较明显成长风格的对冲基金在</w:t>
      </w:r>
      <w:r w:rsidR="00B56562">
        <w:rPr>
          <w:rFonts w:eastAsiaTheme="minorEastAsia" w:hint="eastAsia"/>
        </w:rPr>
        <w:t>创业板大涨的</w:t>
      </w:r>
      <w:r w:rsidR="003F123A">
        <w:rPr>
          <w:rFonts w:eastAsiaTheme="minorEastAsia" w:hint="eastAsia"/>
        </w:rPr>
        <w:t>助推下</w:t>
      </w:r>
      <w:r w:rsidR="00B56562">
        <w:rPr>
          <w:rFonts w:eastAsiaTheme="minorEastAsia" w:hint="eastAsia"/>
        </w:rPr>
        <w:t>强势领跑</w:t>
      </w:r>
      <w:r w:rsidR="003B4302">
        <w:rPr>
          <w:rFonts w:eastAsiaTheme="minorEastAsia" w:hint="eastAsia"/>
        </w:rPr>
        <w:t>，有部分管理人旗下数只产品跻身同业前</w:t>
      </w:r>
      <w:r w:rsidR="003B4302">
        <w:rPr>
          <w:rFonts w:eastAsiaTheme="minorEastAsia" w:hint="eastAsia"/>
        </w:rPr>
        <w:t>20</w:t>
      </w:r>
      <w:r w:rsidR="003B4302">
        <w:rPr>
          <w:rFonts w:eastAsiaTheme="minorEastAsia" w:hint="eastAsia"/>
        </w:rPr>
        <w:t>，可谓表现抢眼。</w:t>
      </w:r>
    </w:p>
    <w:p w:rsidR="00B56562" w:rsidRPr="00875182" w:rsidRDefault="00B56562" w:rsidP="00B56562">
      <w:pPr>
        <w:pStyle w:val="ac"/>
        <w:numPr>
          <w:ilvl w:val="0"/>
          <w:numId w:val="5"/>
        </w:numPr>
        <w:spacing w:after="163"/>
        <w:rPr>
          <w:szCs w:val="21"/>
        </w:rPr>
      </w:pPr>
      <w:r w:rsidRPr="00B56562">
        <w:rPr>
          <w:rFonts w:hint="eastAsia"/>
          <w:szCs w:val="21"/>
        </w:rPr>
        <w:t>鼎力投资旗下的中信信托·鼎力价值成长</w:t>
      </w:r>
      <w:r w:rsidRPr="00B56562">
        <w:rPr>
          <w:rFonts w:hint="eastAsia"/>
          <w:szCs w:val="21"/>
        </w:rPr>
        <w:t>1</w:t>
      </w:r>
      <w:r w:rsidRPr="00B56562">
        <w:rPr>
          <w:rFonts w:hint="eastAsia"/>
          <w:szCs w:val="21"/>
        </w:rPr>
        <w:t>期以</w:t>
      </w:r>
      <w:r w:rsidRPr="00B56562">
        <w:rPr>
          <w:rFonts w:hint="eastAsia"/>
          <w:szCs w:val="21"/>
        </w:rPr>
        <w:t>25.48%</w:t>
      </w:r>
      <w:r w:rsidRPr="00B56562">
        <w:rPr>
          <w:rFonts w:hint="eastAsia"/>
          <w:szCs w:val="21"/>
        </w:rPr>
        <w:t>的月度涨幅居首，另一只产品联华信托•鼎力超级成长摘取同业第</w:t>
      </w:r>
      <w:r w:rsidRPr="00B56562">
        <w:rPr>
          <w:rFonts w:hint="eastAsia"/>
          <w:szCs w:val="21"/>
        </w:rPr>
        <w:t>6</w:t>
      </w:r>
      <w:r w:rsidRPr="00B56562">
        <w:rPr>
          <w:rFonts w:hint="eastAsia"/>
          <w:szCs w:val="21"/>
        </w:rPr>
        <w:t>。</w:t>
      </w:r>
      <w:r w:rsidR="003B4302">
        <w:rPr>
          <w:rFonts w:hint="eastAsia"/>
          <w:szCs w:val="21"/>
        </w:rPr>
        <w:t>基金经理</w:t>
      </w:r>
      <w:proofErr w:type="gramStart"/>
      <w:r w:rsidR="003B4302" w:rsidRPr="003B4302">
        <w:rPr>
          <w:rFonts w:ascii="宋体" w:eastAsia="宋体" w:hAnsi="宋体" w:cs="宋体" w:hint="eastAsia"/>
          <w:szCs w:val="21"/>
        </w:rPr>
        <w:t>龙苏云</w:t>
      </w:r>
      <w:r w:rsidR="003B4302">
        <w:rPr>
          <w:rFonts w:ascii="宋体" w:eastAsia="宋体" w:hAnsi="宋体" w:cs="宋体" w:hint="eastAsia"/>
          <w:szCs w:val="21"/>
        </w:rPr>
        <w:t>乃</w:t>
      </w:r>
      <w:r w:rsidR="003B4302" w:rsidRPr="003B4302">
        <w:rPr>
          <w:rFonts w:ascii="宋体" w:eastAsia="宋体" w:hAnsi="宋体" w:cs="宋体" w:hint="eastAsia"/>
          <w:szCs w:val="21"/>
        </w:rPr>
        <w:t>原</w:t>
      </w:r>
      <w:proofErr w:type="gramEnd"/>
      <w:r w:rsidR="003B4302" w:rsidRPr="003B4302">
        <w:rPr>
          <w:rFonts w:ascii="宋体" w:eastAsia="宋体" w:hAnsi="宋体" w:cs="宋体" w:hint="eastAsia"/>
          <w:szCs w:val="21"/>
        </w:rPr>
        <w:t>金鹰基金投资总监</w:t>
      </w:r>
      <w:r w:rsidR="003B4302">
        <w:rPr>
          <w:rFonts w:ascii="宋体" w:eastAsia="宋体" w:hAnsi="宋体" w:cs="宋体" w:hint="eastAsia"/>
          <w:szCs w:val="21"/>
        </w:rPr>
        <w:t>，</w:t>
      </w:r>
      <w:r w:rsidR="00166638">
        <w:rPr>
          <w:rFonts w:ascii="宋体" w:eastAsia="宋体" w:hAnsi="宋体" w:cs="宋体" w:hint="eastAsia"/>
          <w:szCs w:val="21"/>
        </w:rPr>
        <w:t>操</w:t>
      </w:r>
      <w:proofErr w:type="gramStart"/>
      <w:r w:rsidR="00166638">
        <w:rPr>
          <w:rFonts w:ascii="宋体" w:eastAsia="宋体" w:hAnsi="宋体" w:cs="宋体" w:hint="eastAsia"/>
          <w:szCs w:val="21"/>
        </w:rPr>
        <w:t>盘风格</w:t>
      </w:r>
      <w:proofErr w:type="gramEnd"/>
      <w:r w:rsidR="00166638">
        <w:rPr>
          <w:rFonts w:ascii="宋体" w:eastAsia="宋体" w:hAnsi="宋体" w:cs="宋体" w:hint="eastAsia"/>
          <w:szCs w:val="21"/>
        </w:rPr>
        <w:t>素以灵活著称，偏好流通盘较小的题材股，专注于挖掘</w:t>
      </w:r>
      <w:r w:rsidR="003B4302" w:rsidRPr="003B4302">
        <w:rPr>
          <w:rFonts w:ascii="宋体" w:eastAsia="宋体" w:hAnsi="宋体" w:cs="宋体" w:hint="eastAsia"/>
          <w:szCs w:val="21"/>
        </w:rPr>
        <w:t>中小盘</w:t>
      </w:r>
      <w:r w:rsidR="00BA67C3">
        <w:rPr>
          <w:rFonts w:ascii="宋体" w:eastAsia="宋体" w:hAnsi="宋体" w:cs="宋体" w:hint="eastAsia"/>
          <w:szCs w:val="21"/>
        </w:rPr>
        <w:t>成长股</w:t>
      </w:r>
      <w:r w:rsidR="003B4302" w:rsidRPr="003B4302">
        <w:rPr>
          <w:rFonts w:ascii="宋体" w:eastAsia="宋体" w:hAnsi="宋体" w:cs="宋体" w:hint="eastAsia"/>
          <w:szCs w:val="21"/>
        </w:rPr>
        <w:t>中</w:t>
      </w:r>
      <w:r w:rsidR="00166638">
        <w:rPr>
          <w:rFonts w:ascii="宋体" w:eastAsia="宋体" w:hAnsi="宋体" w:cs="宋体" w:hint="eastAsia"/>
          <w:szCs w:val="21"/>
        </w:rPr>
        <w:t>的投资机会。不过，</w:t>
      </w:r>
      <w:r w:rsidR="002A3452" w:rsidRPr="00B56562">
        <w:rPr>
          <w:rFonts w:ascii="宋体" w:eastAsia="宋体" w:hAnsi="宋体" w:cs="宋体" w:hint="eastAsia"/>
          <w:szCs w:val="21"/>
        </w:rPr>
        <w:t>鼎力</w:t>
      </w:r>
      <w:r w:rsidR="002A3452" w:rsidRPr="000F416E">
        <w:rPr>
          <w:rFonts w:ascii="宋体" w:eastAsia="宋体" w:hAnsi="宋体" w:cs="宋体" w:hint="eastAsia"/>
          <w:szCs w:val="21"/>
        </w:rPr>
        <w:t>产品</w:t>
      </w:r>
      <w:r w:rsidR="002A3452">
        <w:rPr>
          <w:rFonts w:ascii="宋体" w:eastAsia="宋体" w:hAnsi="宋体" w:cs="宋体" w:hint="eastAsia"/>
          <w:szCs w:val="21"/>
        </w:rPr>
        <w:t>的净值</w:t>
      </w:r>
      <w:r w:rsidR="002A3452" w:rsidRPr="000F416E">
        <w:rPr>
          <w:rFonts w:ascii="宋体" w:eastAsia="宋体" w:hAnsi="宋体" w:cs="宋体" w:hint="eastAsia"/>
          <w:szCs w:val="21"/>
        </w:rPr>
        <w:t>波动比较剧烈，最大回撤曾超过</w:t>
      </w:r>
      <w:r w:rsidR="002A3452" w:rsidRPr="000F416E">
        <w:rPr>
          <w:rFonts w:hint="eastAsia"/>
          <w:szCs w:val="21"/>
        </w:rPr>
        <w:t>30%</w:t>
      </w:r>
      <w:r w:rsidR="002A3452" w:rsidRPr="000F416E">
        <w:rPr>
          <w:rFonts w:ascii="宋体" w:eastAsia="宋体" w:hAnsi="宋体" w:cs="宋体" w:hint="eastAsia"/>
          <w:szCs w:val="21"/>
        </w:rPr>
        <w:t>。</w:t>
      </w:r>
    </w:p>
    <w:p w:rsidR="00875182" w:rsidRPr="00B56562" w:rsidRDefault="00875182" w:rsidP="00B56562">
      <w:pPr>
        <w:pStyle w:val="ac"/>
        <w:numPr>
          <w:ilvl w:val="0"/>
          <w:numId w:val="5"/>
        </w:numPr>
        <w:spacing w:after="163"/>
        <w:rPr>
          <w:szCs w:val="21"/>
        </w:rPr>
      </w:pPr>
      <w:proofErr w:type="gramStart"/>
      <w:r w:rsidRPr="00B23F92">
        <w:rPr>
          <w:rFonts w:hint="eastAsia"/>
          <w:szCs w:val="21"/>
        </w:rPr>
        <w:t>彤</w:t>
      </w:r>
      <w:proofErr w:type="gramEnd"/>
      <w:r w:rsidRPr="00B23F92">
        <w:rPr>
          <w:rFonts w:hint="eastAsia"/>
          <w:szCs w:val="21"/>
        </w:rPr>
        <w:t>源</w:t>
      </w:r>
      <w:r w:rsidR="00B23F92" w:rsidRPr="00B23F92">
        <w:rPr>
          <w:rFonts w:hint="eastAsia"/>
          <w:szCs w:val="21"/>
        </w:rPr>
        <w:t>投资此番有</w:t>
      </w:r>
      <w:r w:rsidR="00B23F92" w:rsidRPr="00B23F92">
        <w:rPr>
          <w:rFonts w:hint="eastAsia"/>
          <w:szCs w:val="21"/>
        </w:rPr>
        <w:t>3</w:t>
      </w:r>
      <w:r w:rsidR="00B23F92" w:rsidRPr="00B23F92">
        <w:rPr>
          <w:rFonts w:hint="eastAsia"/>
          <w:szCs w:val="21"/>
        </w:rPr>
        <w:t>只产品跻身同业前</w:t>
      </w:r>
      <w:r w:rsidR="00B23F92" w:rsidRPr="00B23F92">
        <w:rPr>
          <w:rFonts w:hint="eastAsia"/>
          <w:szCs w:val="21"/>
        </w:rPr>
        <w:t>20</w:t>
      </w:r>
      <w:r w:rsidR="00B23F92" w:rsidRPr="00B23F92">
        <w:rPr>
          <w:rFonts w:hint="eastAsia"/>
          <w:szCs w:val="21"/>
        </w:rPr>
        <w:t>，</w:t>
      </w:r>
      <w:r w:rsidR="00B23F92">
        <w:rPr>
          <w:rFonts w:hint="eastAsia"/>
          <w:szCs w:val="21"/>
        </w:rPr>
        <w:t>其中分级型的</w:t>
      </w:r>
      <w:r w:rsidR="00B23F92" w:rsidRPr="00B23F92">
        <w:rPr>
          <w:rFonts w:hint="eastAsia"/>
          <w:szCs w:val="21"/>
        </w:rPr>
        <w:t>中海信托－浦江之星</w:t>
      </w:r>
      <w:r w:rsidR="00B23F92" w:rsidRPr="00B23F92">
        <w:rPr>
          <w:rFonts w:hint="eastAsia"/>
          <w:szCs w:val="21"/>
        </w:rPr>
        <w:t>6</w:t>
      </w:r>
      <w:r w:rsidR="00B23F92" w:rsidRPr="00B23F92">
        <w:rPr>
          <w:rFonts w:hint="eastAsia"/>
          <w:szCs w:val="21"/>
        </w:rPr>
        <w:t>号斩获了</w:t>
      </w:r>
      <w:r w:rsidR="00B23F92" w:rsidRPr="00B23F92">
        <w:rPr>
          <w:rFonts w:hint="eastAsia"/>
          <w:szCs w:val="21"/>
        </w:rPr>
        <w:t>22.83%</w:t>
      </w:r>
      <w:r w:rsidR="00B23F92" w:rsidRPr="00B23F92">
        <w:rPr>
          <w:rFonts w:hint="eastAsia"/>
          <w:szCs w:val="21"/>
        </w:rPr>
        <w:t>的月度收益。</w:t>
      </w:r>
      <w:r w:rsidR="009C3E43">
        <w:rPr>
          <w:rFonts w:hint="eastAsia"/>
          <w:szCs w:val="21"/>
        </w:rPr>
        <w:t>作为对冲基金领域的老牌选手，</w:t>
      </w:r>
      <w:r w:rsidRPr="00B23F92">
        <w:rPr>
          <w:rFonts w:hint="eastAsia"/>
          <w:szCs w:val="21"/>
        </w:rPr>
        <w:t>创建于</w:t>
      </w:r>
      <w:r w:rsidRPr="000F646B">
        <w:rPr>
          <w:szCs w:val="21"/>
        </w:rPr>
        <w:t>06</w:t>
      </w:r>
      <w:r w:rsidRPr="00B23F92">
        <w:rPr>
          <w:rFonts w:hint="eastAsia"/>
          <w:szCs w:val="21"/>
        </w:rPr>
        <w:t>年</w:t>
      </w:r>
      <w:r w:rsidR="009C3E43">
        <w:rPr>
          <w:rFonts w:hint="eastAsia"/>
          <w:szCs w:val="21"/>
        </w:rPr>
        <w:t>的</w:t>
      </w:r>
      <w:proofErr w:type="gramStart"/>
      <w:r w:rsidR="009C3E43">
        <w:rPr>
          <w:rFonts w:hint="eastAsia"/>
          <w:szCs w:val="21"/>
        </w:rPr>
        <w:t>彤</w:t>
      </w:r>
      <w:proofErr w:type="gramEnd"/>
      <w:r w:rsidR="009C3E43">
        <w:rPr>
          <w:rFonts w:hint="eastAsia"/>
          <w:szCs w:val="21"/>
        </w:rPr>
        <w:t>源</w:t>
      </w:r>
      <w:r w:rsidR="00C2229B">
        <w:rPr>
          <w:rFonts w:hint="eastAsia"/>
          <w:szCs w:val="21"/>
        </w:rPr>
        <w:t>投资</w:t>
      </w:r>
      <w:r w:rsidR="009C3E43">
        <w:rPr>
          <w:rFonts w:hint="eastAsia"/>
          <w:szCs w:val="21"/>
        </w:rPr>
        <w:t>在</w:t>
      </w:r>
      <w:proofErr w:type="gramStart"/>
      <w:r w:rsidR="00C2229B">
        <w:rPr>
          <w:rFonts w:hint="eastAsia"/>
          <w:szCs w:val="21"/>
        </w:rPr>
        <w:t>凯石</w:t>
      </w:r>
      <w:r w:rsidR="005101C7">
        <w:rPr>
          <w:rFonts w:hint="eastAsia"/>
          <w:szCs w:val="21"/>
        </w:rPr>
        <w:t>最新</w:t>
      </w:r>
      <w:proofErr w:type="gramEnd"/>
      <w:r w:rsidR="005101C7">
        <w:rPr>
          <w:rFonts w:hint="eastAsia"/>
          <w:szCs w:val="21"/>
        </w:rPr>
        <w:t>一期</w:t>
      </w:r>
      <w:r w:rsidR="00C2229B">
        <w:rPr>
          <w:rFonts w:hint="eastAsia"/>
          <w:szCs w:val="21"/>
        </w:rPr>
        <w:t>对冲基金评级中近一年评为四星级</w:t>
      </w:r>
      <w:r w:rsidR="005101C7">
        <w:rPr>
          <w:rFonts w:hint="eastAsia"/>
          <w:szCs w:val="21"/>
        </w:rPr>
        <w:t>，</w:t>
      </w:r>
      <w:r w:rsidR="00C2229B">
        <w:rPr>
          <w:rFonts w:hint="eastAsia"/>
          <w:szCs w:val="21"/>
        </w:rPr>
        <w:t>近两年、近三年均获得五星级评价</w:t>
      </w:r>
      <w:r w:rsidR="009C3E43">
        <w:rPr>
          <w:rFonts w:hint="eastAsia"/>
          <w:szCs w:val="21"/>
        </w:rPr>
        <w:t>。</w:t>
      </w:r>
      <w:r w:rsidRPr="00B23F92">
        <w:rPr>
          <w:rFonts w:hint="eastAsia"/>
          <w:szCs w:val="21"/>
        </w:rPr>
        <w:t>核心人物为任云鹤，实业出身，最早任职于山东黄金集团，后担任申万有色金属行业高级分析师。</w:t>
      </w:r>
    </w:p>
    <w:p w:rsidR="000F646B" w:rsidRPr="007954D1" w:rsidRDefault="000F416E" w:rsidP="007954D1">
      <w:pPr>
        <w:pStyle w:val="ac"/>
        <w:numPr>
          <w:ilvl w:val="0"/>
          <w:numId w:val="5"/>
        </w:numPr>
        <w:spacing w:after="163"/>
        <w:rPr>
          <w:szCs w:val="21"/>
        </w:rPr>
      </w:pPr>
      <w:r w:rsidRPr="00532273">
        <w:rPr>
          <w:rFonts w:hint="eastAsia"/>
          <w:szCs w:val="21"/>
        </w:rPr>
        <w:t>尚雅投资</w:t>
      </w:r>
      <w:r w:rsidR="007954D1">
        <w:rPr>
          <w:rFonts w:hint="eastAsia"/>
          <w:szCs w:val="21"/>
        </w:rPr>
        <w:t>在</w:t>
      </w:r>
      <w:r w:rsidRPr="00532273">
        <w:rPr>
          <w:rFonts w:hint="eastAsia"/>
          <w:szCs w:val="21"/>
        </w:rPr>
        <w:t>1</w:t>
      </w:r>
      <w:r w:rsidRPr="00532273">
        <w:rPr>
          <w:rFonts w:hint="eastAsia"/>
          <w:szCs w:val="21"/>
        </w:rPr>
        <w:t>月</w:t>
      </w:r>
      <w:r w:rsidR="007954D1">
        <w:rPr>
          <w:rFonts w:hint="eastAsia"/>
          <w:szCs w:val="21"/>
        </w:rPr>
        <w:t>份</w:t>
      </w:r>
      <w:r w:rsidR="00754445">
        <w:rPr>
          <w:rFonts w:hint="eastAsia"/>
          <w:szCs w:val="21"/>
        </w:rPr>
        <w:t>也有两只产品进入榜单，核心人物</w:t>
      </w:r>
      <w:r w:rsidRPr="00532273">
        <w:rPr>
          <w:rFonts w:hint="eastAsia"/>
          <w:szCs w:val="21"/>
        </w:rPr>
        <w:t>石波</w:t>
      </w:r>
      <w:r w:rsidR="009E62EB">
        <w:rPr>
          <w:rFonts w:hint="eastAsia"/>
          <w:szCs w:val="21"/>
        </w:rPr>
        <w:t>为</w:t>
      </w:r>
      <w:r w:rsidR="005101C7">
        <w:rPr>
          <w:rFonts w:hint="eastAsia"/>
          <w:szCs w:val="21"/>
        </w:rPr>
        <w:t>“</w:t>
      </w:r>
      <w:r w:rsidR="009E62EB">
        <w:rPr>
          <w:rFonts w:hint="eastAsia"/>
          <w:szCs w:val="21"/>
        </w:rPr>
        <w:t>公募派</w:t>
      </w:r>
      <w:r w:rsidR="005101C7">
        <w:rPr>
          <w:rFonts w:hint="eastAsia"/>
          <w:szCs w:val="21"/>
        </w:rPr>
        <w:t>”</w:t>
      </w:r>
      <w:r w:rsidR="009E62EB">
        <w:rPr>
          <w:rFonts w:hint="eastAsia"/>
          <w:szCs w:val="21"/>
        </w:rPr>
        <w:t>代表之一，历史业绩较好，</w:t>
      </w:r>
      <w:r w:rsidR="00A924B7">
        <w:rPr>
          <w:rFonts w:hint="eastAsia"/>
          <w:szCs w:val="21"/>
        </w:rPr>
        <w:t>擅长发掘黑马成长股。尚雅系列产品专注于新兴产业，</w:t>
      </w:r>
      <w:r w:rsidRPr="00532273">
        <w:rPr>
          <w:rFonts w:hint="eastAsia"/>
          <w:szCs w:val="21"/>
        </w:rPr>
        <w:t>在</w:t>
      </w:r>
      <w:r w:rsidR="00754445">
        <w:rPr>
          <w:rFonts w:hint="eastAsia"/>
          <w:szCs w:val="21"/>
        </w:rPr>
        <w:t>去年的成长股盛宴中收益颇丰</w:t>
      </w:r>
      <w:r w:rsidRPr="00532273">
        <w:rPr>
          <w:rFonts w:hint="eastAsia"/>
          <w:szCs w:val="21"/>
        </w:rPr>
        <w:t>，并在</w:t>
      </w:r>
      <w:r w:rsidR="00754445">
        <w:rPr>
          <w:rFonts w:hint="eastAsia"/>
          <w:szCs w:val="21"/>
        </w:rPr>
        <w:t>今</w:t>
      </w:r>
      <w:r w:rsidRPr="00532273">
        <w:rPr>
          <w:rFonts w:hint="eastAsia"/>
          <w:szCs w:val="21"/>
        </w:rPr>
        <w:t>年</w:t>
      </w:r>
      <w:r w:rsidRPr="00532273">
        <w:rPr>
          <w:rFonts w:hint="eastAsia"/>
          <w:szCs w:val="21"/>
        </w:rPr>
        <w:t>1</w:t>
      </w:r>
      <w:r w:rsidRPr="00532273">
        <w:rPr>
          <w:rFonts w:hint="eastAsia"/>
          <w:szCs w:val="21"/>
        </w:rPr>
        <w:t>月</w:t>
      </w:r>
      <w:r w:rsidR="00754445">
        <w:rPr>
          <w:rFonts w:hint="eastAsia"/>
          <w:szCs w:val="21"/>
        </w:rPr>
        <w:t>份</w:t>
      </w:r>
      <w:r w:rsidRPr="00532273">
        <w:rPr>
          <w:rFonts w:hint="eastAsia"/>
          <w:szCs w:val="21"/>
        </w:rPr>
        <w:t>乘胜追击，两只产品收益均超</w:t>
      </w:r>
      <w:r w:rsidRPr="00532273">
        <w:rPr>
          <w:rFonts w:hint="eastAsia"/>
          <w:szCs w:val="21"/>
        </w:rPr>
        <w:t>15%</w:t>
      </w:r>
      <w:r w:rsidRPr="00532273">
        <w:rPr>
          <w:rFonts w:hint="eastAsia"/>
          <w:szCs w:val="21"/>
        </w:rPr>
        <w:t>。</w:t>
      </w:r>
      <w:r w:rsidR="000F646B" w:rsidRPr="007954D1">
        <w:rPr>
          <w:rFonts w:ascii="宋体" w:eastAsia="宋体" w:hAnsi="宋体" w:cs="宋体" w:hint="eastAsia"/>
          <w:szCs w:val="21"/>
        </w:rPr>
        <w:t>在</w:t>
      </w:r>
      <w:proofErr w:type="gramStart"/>
      <w:r w:rsidR="005101C7">
        <w:rPr>
          <w:rFonts w:hint="eastAsia"/>
          <w:szCs w:val="21"/>
        </w:rPr>
        <w:t>凯石最新</w:t>
      </w:r>
      <w:proofErr w:type="gramEnd"/>
      <w:r w:rsidR="005101C7">
        <w:rPr>
          <w:rFonts w:hint="eastAsia"/>
          <w:szCs w:val="21"/>
        </w:rPr>
        <w:t>一期对冲基金评级中</w:t>
      </w:r>
      <w:r w:rsidR="00A924B7">
        <w:rPr>
          <w:rFonts w:hint="eastAsia"/>
          <w:szCs w:val="21"/>
        </w:rPr>
        <w:t>，尚雅投资在</w:t>
      </w:r>
      <w:r w:rsidR="005101C7">
        <w:rPr>
          <w:rFonts w:hint="eastAsia"/>
          <w:szCs w:val="21"/>
        </w:rPr>
        <w:t>近一年被评为</w:t>
      </w:r>
      <w:r w:rsidR="00A924B7">
        <w:rPr>
          <w:rFonts w:hint="eastAsia"/>
          <w:szCs w:val="21"/>
        </w:rPr>
        <w:t>五星级。</w:t>
      </w:r>
    </w:p>
    <w:p w:rsidR="007954D1" w:rsidRPr="007954D1" w:rsidRDefault="00875182" w:rsidP="007954D1">
      <w:pPr>
        <w:pStyle w:val="ac"/>
        <w:numPr>
          <w:ilvl w:val="0"/>
          <w:numId w:val="5"/>
        </w:numPr>
        <w:spacing w:after="163"/>
        <w:rPr>
          <w:szCs w:val="21"/>
        </w:rPr>
      </w:pPr>
      <w:r>
        <w:rPr>
          <w:rFonts w:eastAsiaTheme="minorEastAsia" w:hint="eastAsia"/>
          <w:szCs w:val="21"/>
        </w:rPr>
        <w:t>去年持续业绩领先的</w:t>
      </w:r>
      <w:proofErr w:type="gramStart"/>
      <w:r>
        <w:rPr>
          <w:rFonts w:eastAsiaTheme="minorEastAsia" w:hint="eastAsia"/>
          <w:szCs w:val="21"/>
        </w:rPr>
        <w:t>“人气选手”泽熙投资</w:t>
      </w:r>
      <w:proofErr w:type="gramEnd"/>
      <w:r>
        <w:rPr>
          <w:rFonts w:eastAsiaTheme="minorEastAsia" w:hint="eastAsia"/>
          <w:szCs w:val="21"/>
        </w:rPr>
        <w:t>、</w:t>
      </w:r>
      <w:proofErr w:type="gramStart"/>
      <w:r>
        <w:rPr>
          <w:rFonts w:eastAsiaTheme="minorEastAsia" w:hint="eastAsia"/>
          <w:szCs w:val="21"/>
        </w:rPr>
        <w:t>创势翔</w:t>
      </w:r>
      <w:proofErr w:type="gramEnd"/>
      <w:r w:rsidR="009A5109">
        <w:rPr>
          <w:rFonts w:eastAsiaTheme="minorEastAsia" w:hint="eastAsia"/>
          <w:szCs w:val="21"/>
        </w:rPr>
        <w:t>此番</w:t>
      </w:r>
      <w:r>
        <w:rPr>
          <w:rFonts w:eastAsiaTheme="minorEastAsia" w:hint="eastAsia"/>
          <w:szCs w:val="21"/>
        </w:rPr>
        <w:t>依旧保持水准，</w:t>
      </w:r>
      <w:r w:rsidR="007954D1">
        <w:rPr>
          <w:rFonts w:eastAsiaTheme="minorEastAsia" w:hint="eastAsia"/>
          <w:szCs w:val="21"/>
        </w:rPr>
        <w:t>代表产品</w:t>
      </w:r>
      <w:r>
        <w:rPr>
          <w:rFonts w:eastAsiaTheme="minorEastAsia" w:hint="eastAsia"/>
          <w:szCs w:val="21"/>
        </w:rPr>
        <w:t>均赚得</w:t>
      </w:r>
      <w:r>
        <w:rPr>
          <w:rFonts w:eastAsiaTheme="minorEastAsia" w:hint="eastAsia"/>
          <w:szCs w:val="21"/>
        </w:rPr>
        <w:t>15%</w:t>
      </w:r>
      <w:r>
        <w:rPr>
          <w:rFonts w:eastAsiaTheme="minorEastAsia" w:hint="eastAsia"/>
          <w:szCs w:val="21"/>
        </w:rPr>
        <w:t>上下的月度回报。</w:t>
      </w:r>
      <w:r w:rsidR="007954D1">
        <w:rPr>
          <w:rFonts w:eastAsiaTheme="minorEastAsia" w:hint="eastAsia"/>
          <w:szCs w:val="21"/>
        </w:rPr>
        <w:t>此外，</w:t>
      </w:r>
      <w:proofErr w:type="gramStart"/>
      <w:r w:rsidR="00C65073">
        <w:rPr>
          <w:rFonts w:eastAsiaTheme="minorEastAsia" w:hint="eastAsia"/>
          <w:szCs w:val="21"/>
        </w:rPr>
        <w:t>精熙投资</w:t>
      </w:r>
      <w:proofErr w:type="gramEnd"/>
      <w:r w:rsidR="00C65073">
        <w:rPr>
          <w:rFonts w:eastAsiaTheme="minorEastAsia" w:hint="eastAsia"/>
          <w:szCs w:val="21"/>
        </w:rPr>
        <w:t>、</w:t>
      </w:r>
      <w:r w:rsidR="007954D1">
        <w:rPr>
          <w:rFonts w:eastAsiaTheme="minorEastAsia" w:hint="eastAsia"/>
          <w:szCs w:val="21"/>
        </w:rPr>
        <w:t>上海</w:t>
      </w:r>
      <w:proofErr w:type="gramStart"/>
      <w:r w:rsidR="007954D1">
        <w:rPr>
          <w:rFonts w:eastAsiaTheme="minorEastAsia" w:hint="eastAsia"/>
          <w:szCs w:val="21"/>
        </w:rPr>
        <w:t>凯</w:t>
      </w:r>
      <w:proofErr w:type="gramEnd"/>
      <w:r w:rsidR="007954D1">
        <w:rPr>
          <w:rFonts w:eastAsiaTheme="minorEastAsia" w:hint="eastAsia"/>
          <w:szCs w:val="21"/>
        </w:rPr>
        <w:t>石投资、</w:t>
      </w:r>
      <w:proofErr w:type="gramStart"/>
      <w:r w:rsidR="007954D1" w:rsidRPr="007954D1">
        <w:rPr>
          <w:rFonts w:eastAsiaTheme="minorEastAsia" w:hint="eastAsia"/>
          <w:szCs w:val="21"/>
        </w:rPr>
        <w:t>世</w:t>
      </w:r>
      <w:proofErr w:type="gramEnd"/>
      <w:r w:rsidR="007954D1" w:rsidRPr="007954D1">
        <w:rPr>
          <w:rFonts w:eastAsiaTheme="minorEastAsia" w:hint="eastAsia"/>
          <w:szCs w:val="21"/>
        </w:rPr>
        <w:t>通资产</w:t>
      </w:r>
      <w:r w:rsidR="007954D1">
        <w:rPr>
          <w:rFonts w:eastAsiaTheme="minorEastAsia" w:hint="eastAsia"/>
          <w:szCs w:val="21"/>
        </w:rPr>
        <w:t>、</w:t>
      </w:r>
      <w:r w:rsidR="007954D1" w:rsidRPr="007954D1">
        <w:rPr>
          <w:rFonts w:eastAsiaTheme="minorEastAsia" w:hint="eastAsia"/>
          <w:szCs w:val="21"/>
        </w:rPr>
        <w:t>重庆穿石投资</w:t>
      </w:r>
      <w:r w:rsidR="00627611">
        <w:rPr>
          <w:rFonts w:eastAsiaTheme="minorEastAsia" w:hint="eastAsia"/>
          <w:szCs w:val="21"/>
        </w:rPr>
        <w:t>等</w:t>
      </w:r>
      <w:r w:rsidR="007954D1">
        <w:rPr>
          <w:rFonts w:eastAsiaTheme="minorEastAsia" w:hint="eastAsia"/>
          <w:szCs w:val="21"/>
        </w:rPr>
        <w:t>对冲基金公司也出现在同业</w:t>
      </w:r>
      <w:r w:rsidR="007954D1">
        <w:rPr>
          <w:rFonts w:eastAsiaTheme="minorEastAsia" w:hint="eastAsia"/>
          <w:szCs w:val="21"/>
        </w:rPr>
        <w:t>TOP20</w:t>
      </w:r>
      <w:r w:rsidR="007954D1">
        <w:rPr>
          <w:rFonts w:eastAsiaTheme="minorEastAsia" w:hint="eastAsia"/>
          <w:szCs w:val="21"/>
        </w:rPr>
        <w:t>榜单中。</w:t>
      </w:r>
    </w:p>
    <w:tbl>
      <w:tblPr>
        <w:tblW w:w="11483" w:type="dxa"/>
        <w:tblInd w:w="-426"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1277"/>
        <w:gridCol w:w="992"/>
        <w:gridCol w:w="851"/>
        <w:gridCol w:w="850"/>
        <w:gridCol w:w="709"/>
        <w:gridCol w:w="709"/>
        <w:gridCol w:w="283"/>
        <w:gridCol w:w="1276"/>
        <w:gridCol w:w="992"/>
        <w:gridCol w:w="851"/>
        <w:gridCol w:w="850"/>
        <w:gridCol w:w="709"/>
        <w:gridCol w:w="850"/>
        <w:gridCol w:w="284"/>
      </w:tblGrid>
      <w:tr w:rsidR="00EA19D3" w:rsidTr="00EA19D3">
        <w:trPr>
          <w:cantSplit/>
          <w:trHeight w:val="335"/>
        </w:trPr>
        <w:tc>
          <w:tcPr>
            <w:tcW w:w="11483" w:type="dxa"/>
            <w:gridSpan w:val="14"/>
            <w:tcBorders>
              <w:bottom w:val="single" w:sz="6" w:space="0" w:color="FF6600"/>
            </w:tcBorders>
            <w:shd w:val="clear" w:color="auto" w:fill="auto"/>
            <w:vAlign w:val="center"/>
          </w:tcPr>
          <w:p w:rsidR="00EA19D3" w:rsidRPr="00EA19D3" w:rsidRDefault="00EA19D3" w:rsidP="00C30549">
            <w:pPr>
              <w:pStyle w:val="SubTitleLargeTable"/>
              <w:pBdr>
                <w:top w:val="none" w:sz="0" w:space="0" w:color="auto"/>
              </w:pBdr>
              <w:rPr>
                <w:rFonts w:ascii="宋体" w:eastAsiaTheme="minorEastAsia" w:hAnsi="宋体"/>
                <w:b w:val="0"/>
              </w:rPr>
            </w:pPr>
            <w:r w:rsidRPr="00656031">
              <w:rPr>
                <w:color w:val="FF6600"/>
              </w:rPr>
              <w:t>图表</w:t>
            </w:r>
            <w:r>
              <w:rPr>
                <w:rFonts w:eastAsiaTheme="minorEastAsia" w:hint="eastAsia"/>
                <w:color w:val="FF6600"/>
              </w:rPr>
              <w:t>6</w:t>
            </w:r>
            <w:r w:rsidRPr="00656031">
              <w:rPr>
                <w:rFonts w:hint="eastAsia"/>
                <w:color w:val="FF6600"/>
              </w:rPr>
              <w:t>：</w:t>
            </w:r>
            <w:r w:rsidR="00A245D0">
              <w:rPr>
                <w:rFonts w:eastAsiaTheme="minorEastAsia" w:hint="eastAsia"/>
                <w:color w:val="FF6600"/>
              </w:rPr>
              <w:t>1</w:t>
            </w:r>
            <w:r>
              <w:rPr>
                <w:rFonts w:eastAsiaTheme="minorEastAsia" w:hint="eastAsia"/>
                <w:color w:val="FF6600"/>
              </w:rPr>
              <w:t>月份对冲基金涨幅</w:t>
            </w:r>
            <w:r>
              <w:rPr>
                <w:rFonts w:eastAsiaTheme="minorEastAsia" w:hint="eastAsia"/>
                <w:color w:val="FF6600"/>
              </w:rPr>
              <w:t>TOP10</w:t>
            </w:r>
          </w:p>
        </w:tc>
      </w:tr>
      <w:tr w:rsidR="00EA19D3" w:rsidTr="009867A3">
        <w:trPr>
          <w:cantSplit/>
          <w:trHeight w:val="577"/>
        </w:trPr>
        <w:tc>
          <w:tcPr>
            <w:tcW w:w="1277" w:type="dxa"/>
            <w:tcBorders>
              <w:right w:val="single" w:sz="6" w:space="0" w:color="FF6600"/>
            </w:tcBorders>
            <w:shd w:val="clear" w:color="auto" w:fill="FDE9D9" w:themeFill="accent6" w:themeFillTint="33"/>
            <w:vAlign w:val="center"/>
          </w:tcPr>
          <w:p w:rsidR="00EA19D3" w:rsidRPr="00EA19D3" w:rsidRDefault="00EA19D3" w:rsidP="00495D45">
            <w:pPr>
              <w:snapToGrid w:val="0"/>
              <w:jc w:val="center"/>
              <w:rPr>
                <w:rFonts w:ascii="宋体" w:hAnsi="宋体"/>
                <w:b/>
                <w:bCs/>
                <w:color w:val="000000"/>
                <w:sz w:val="18"/>
                <w:szCs w:val="18"/>
              </w:rPr>
            </w:pPr>
            <w:r w:rsidRPr="00EA19D3">
              <w:rPr>
                <w:rFonts w:ascii="宋体" w:hAnsi="宋体" w:hint="eastAsia"/>
                <w:b/>
                <w:bCs/>
                <w:color w:val="000000"/>
                <w:sz w:val="18"/>
                <w:szCs w:val="18"/>
              </w:rPr>
              <w:t>产品</w:t>
            </w:r>
          </w:p>
          <w:p w:rsidR="00EA19D3" w:rsidRPr="00EA19D3" w:rsidRDefault="00EA19D3" w:rsidP="00495D45">
            <w:pPr>
              <w:snapToGrid w:val="0"/>
              <w:jc w:val="center"/>
              <w:rPr>
                <w:rFonts w:ascii="宋体" w:hAnsi="宋体" w:cs="宋体"/>
                <w:b/>
                <w:bCs/>
                <w:color w:val="000000"/>
                <w:sz w:val="18"/>
                <w:szCs w:val="18"/>
              </w:rPr>
            </w:pPr>
            <w:r w:rsidRPr="00EA19D3">
              <w:rPr>
                <w:rFonts w:ascii="宋体" w:hAnsi="宋体" w:hint="eastAsia"/>
                <w:b/>
                <w:bCs/>
                <w:color w:val="000000"/>
                <w:sz w:val="18"/>
                <w:szCs w:val="18"/>
              </w:rPr>
              <w:t>名称</w:t>
            </w:r>
          </w:p>
        </w:tc>
        <w:tc>
          <w:tcPr>
            <w:tcW w:w="992" w:type="dxa"/>
            <w:tcBorders>
              <w:left w:val="single" w:sz="6" w:space="0" w:color="FF6600"/>
              <w:right w:val="single" w:sz="6" w:space="0" w:color="FF6600"/>
            </w:tcBorders>
            <w:shd w:val="clear" w:color="auto" w:fill="auto"/>
            <w:vAlign w:val="center"/>
          </w:tcPr>
          <w:p w:rsidR="00EA19D3" w:rsidRPr="00EA19D3" w:rsidRDefault="00EA19D3" w:rsidP="00495D45">
            <w:pPr>
              <w:snapToGrid w:val="0"/>
              <w:jc w:val="center"/>
              <w:rPr>
                <w:rFonts w:ascii="宋体" w:hAnsi="宋体" w:cs="宋体"/>
                <w:b/>
                <w:bCs/>
                <w:color w:val="000000"/>
                <w:sz w:val="18"/>
                <w:szCs w:val="18"/>
              </w:rPr>
            </w:pPr>
            <w:r w:rsidRPr="00EA19D3">
              <w:rPr>
                <w:rFonts w:ascii="宋体" w:hAnsi="宋体" w:hint="eastAsia"/>
                <w:b/>
                <w:bCs/>
                <w:color w:val="000000"/>
                <w:sz w:val="18"/>
                <w:szCs w:val="18"/>
              </w:rPr>
              <w:t>管理人</w:t>
            </w:r>
          </w:p>
        </w:tc>
        <w:tc>
          <w:tcPr>
            <w:tcW w:w="851" w:type="dxa"/>
            <w:tcBorders>
              <w:left w:val="single" w:sz="6" w:space="0" w:color="FF6600"/>
              <w:right w:val="single" w:sz="6" w:space="0" w:color="FF6600"/>
            </w:tcBorders>
            <w:shd w:val="clear" w:color="auto" w:fill="auto"/>
            <w:vAlign w:val="center"/>
          </w:tcPr>
          <w:p w:rsidR="00EA19D3" w:rsidRPr="00EA19D3" w:rsidRDefault="00EA19D3" w:rsidP="00495D45">
            <w:pPr>
              <w:snapToGrid w:val="0"/>
              <w:jc w:val="center"/>
              <w:rPr>
                <w:rFonts w:ascii="宋体" w:hAnsi="宋体"/>
                <w:b/>
                <w:bCs/>
                <w:color w:val="000000"/>
                <w:sz w:val="18"/>
                <w:szCs w:val="18"/>
              </w:rPr>
            </w:pPr>
            <w:r w:rsidRPr="00EA19D3">
              <w:rPr>
                <w:rFonts w:ascii="宋体" w:hAnsi="宋体" w:hint="eastAsia"/>
                <w:b/>
                <w:bCs/>
                <w:color w:val="000000"/>
                <w:sz w:val="18"/>
                <w:szCs w:val="18"/>
              </w:rPr>
              <w:t>策略</w:t>
            </w:r>
          </w:p>
          <w:p w:rsidR="00EA19D3" w:rsidRPr="00EA19D3" w:rsidRDefault="00EA19D3" w:rsidP="00495D45">
            <w:pPr>
              <w:snapToGrid w:val="0"/>
              <w:jc w:val="center"/>
              <w:rPr>
                <w:rFonts w:ascii="宋体" w:hAnsi="宋体" w:cs="宋体"/>
                <w:b/>
                <w:bCs/>
                <w:color w:val="000000"/>
                <w:sz w:val="18"/>
                <w:szCs w:val="18"/>
              </w:rPr>
            </w:pPr>
            <w:r w:rsidRPr="00EA19D3">
              <w:rPr>
                <w:rFonts w:ascii="宋体" w:hAnsi="宋体" w:hint="eastAsia"/>
                <w:b/>
                <w:bCs/>
                <w:color w:val="000000"/>
                <w:sz w:val="18"/>
                <w:szCs w:val="18"/>
              </w:rPr>
              <w:t>类型</w:t>
            </w:r>
          </w:p>
        </w:tc>
        <w:tc>
          <w:tcPr>
            <w:tcW w:w="850" w:type="dxa"/>
            <w:tcBorders>
              <w:left w:val="single" w:sz="6" w:space="0" w:color="FF6600"/>
              <w:right w:val="single" w:sz="6" w:space="0" w:color="FF6600"/>
            </w:tcBorders>
            <w:shd w:val="clear" w:color="auto" w:fill="auto"/>
            <w:vAlign w:val="center"/>
          </w:tcPr>
          <w:p w:rsidR="00EA19D3" w:rsidRPr="00EA19D3" w:rsidRDefault="00EA19D3" w:rsidP="00495D45">
            <w:pPr>
              <w:snapToGrid w:val="0"/>
              <w:jc w:val="center"/>
              <w:rPr>
                <w:rFonts w:ascii="宋体" w:hAnsi="宋体"/>
                <w:b/>
                <w:bCs/>
                <w:color w:val="000000"/>
                <w:sz w:val="18"/>
                <w:szCs w:val="18"/>
              </w:rPr>
            </w:pPr>
            <w:r w:rsidRPr="00EA19D3">
              <w:rPr>
                <w:rFonts w:ascii="宋体" w:hAnsi="宋体" w:hint="eastAsia"/>
                <w:b/>
                <w:bCs/>
                <w:color w:val="000000"/>
                <w:sz w:val="18"/>
                <w:szCs w:val="18"/>
              </w:rPr>
              <w:t>结构</w:t>
            </w:r>
          </w:p>
          <w:p w:rsidR="00EA19D3" w:rsidRPr="00EA19D3" w:rsidRDefault="00EA19D3" w:rsidP="00495D45">
            <w:pPr>
              <w:snapToGrid w:val="0"/>
              <w:jc w:val="center"/>
              <w:rPr>
                <w:rFonts w:ascii="宋体" w:hAnsi="宋体" w:cs="宋体"/>
                <w:b/>
                <w:bCs/>
                <w:color w:val="000000"/>
                <w:sz w:val="18"/>
                <w:szCs w:val="18"/>
              </w:rPr>
            </w:pPr>
            <w:r w:rsidRPr="00EA19D3">
              <w:rPr>
                <w:rFonts w:ascii="宋体" w:hAnsi="宋体" w:hint="eastAsia"/>
                <w:b/>
                <w:bCs/>
                <w:color w:val="000000"/>
                <w:sz w:val="18"/>
                <w:szCs w:val="18"/>
              </w:rPr>
              <w:t>类型</w:t>
            </w:r>
          </w:p>
        </w:tc>
        <w:tc>
          <w:tcPr>
            <w:tcW w:w="709" w:type="dxa"/>
            <w:tcBorders>
              <w:left w:val="single" w:sz="6" w:space="0" w:color="FF6600"/>
              <w:right w:val="single" w:sz="6" w:space="0" w:color="FF6600"/>
            </w:tcBorders>
            <w:shd w:val="clear" w:color="auto" w:fill="auto"/>
            <w:vAlign w:val="center"/>
          </w:tcPr>
          <w:p w:rsidR="00EA19D3" w:rsidRPr="00EA19D3" w:rsidRDefault="00EA19D3" w:rsidP="00495D45">
            <w:pPr>
              <w:snapToGrid w:val="0"/>
              <w:jc w:val="center"/>
              <w:rPr>
                <w:rFonts w:ascii="宋体" w:hAnsi="宋体"/>
                <w:b/>
                <w:bCs/>
                <w:color w:val="000000"/>
                <w:sz w:val="18"/>
                <w:szCs w:val="18"/>
              </w:rPr>
            </w:pPr>
            <w:r w:rsidRPr="00EA19D3">
              <w:rPr>
                <w:rFonts w:ascii="宋体" w:hAnsi="宋体" w:hint="eastAsia"/>
                <w:b/>
                <w:bCs/>
                <w:color w:val="000000"/>
                <w:sz w:val="18"/>
                <w:szCs w:val="18"/>
              </w:rPr>
              <w:t>最新</w:t>
            </w:r>
          </w:p>
          <w:p w:rsidR="00EA19D3" w:rsidRPr="00EA19D3" w:rsidRDefault="00EA19D3" w:rsidP="00495D45">
            <w:pPr>
              <w:snapToGrid w:val="0"/>
              <w:jc w:val="center"/>
              <w:rPr>
                <w:rFonts w:ascii="宋体" w:hAnsi="宋体" w:cs="宋体"/>
                <w:b/>
                <w:bCs/>
                <w:color w:val="000000"/>
                <w:sz w:val="18"/>
                <w:szCs w:val="18"/>
              </w:rPr>
            </w:pPr>
            <w:r w:rsidRPr="00EA19D3">
              <w:rPr>
                <w:rFonts w:ascii="宋体" w:hAnsi="宋体" w:hint="eastAsia"/>
                <w:b/>
                <w:bCs/>
                <w:color w:val="000000"/>
                <w:sz w:val="18"/>
                <w:szCs w:val="18"/>
              </w:rPr>
              <w:t>净值</w:t>
            </w:r>
          </w:p>
        </w:tc>
        <w:tc>
          <w:tcPr>
            <w:tcW w:w="709" w:type="dxa"/>
            <w:tcBorders>
              <w:left w:val="single" w:sz="6" w:space="0" w:color="FF6600"/>
              <w:right w:val="single" w:sz="6" w:space="0" w:color="FF6600"/>
            </w:tcBorders>
            <w:shd w:val="clear" w:color="auto" w:fill="auto"/>
            <w:vAlign w:val="center"/>
          </w:tcPr>
          <w:p w:rsidR="00EA19D3" w:rsidRPr="00EA19D3" w:rsidRDefault="00730927" w:rsidP="00495D45">
            <w:pPr>
              <w:snapToGrid w:val="0"/>
              <w:jc w:val="center"/>
              <w:rPr>
                <w:rFonts w:ascii="宋体" w:hAnsi="宋体"/>
                <w:b/>
                <w:bCs/>
                <w:color w:val="000000"/>
                <w:sz w:val="18"/>
                <w:szCs w:val="18"/>
              </w:rPr>
            </w:pPr>
            <w:r>
              <w:rPr>
                <w:rFonts w:ascii="宋体" w:hAnsi="宋体" w:hint="eastAsia"/>
                <w:b/>
                <w:bCs/>
                <w:color w:val="000000"/>
                <w:sz w:val="18"/>
                <w:szCs w:val="18"/>
              </w:rPr>
              <w:t>1</w:t>
            </w:r>
            <w:r w:rsidR="00EA19D3" w:rsidRPr="00EA19D3">
              <w:rPr>
                <w:rFonts w:ascii="宋体" w:hAnsi="宋体" w:hint="eastAsia"/>
                <w:b/>
                <w:bCs/>
                <w:color w:val="000000"/>
                <w:sz w:val="18"/>
                <w:szCs w:val="18"/>
              </w:rPr>
              <w:t>月</w:t>
            </w:r>
          </w:p>
          <w:p w:rsidR="00EA19D3" w:rsidRPr="00EA19D3" w:rsidRDefault="00EA19D3" w:rsidP="00495D45">
            <w:pPr>
              <w:snapToGrid w:val="0"/>
              <w:jc w:val="center"/>
              <w:rPr>
                <w:rFonts w:ascii="宋体" w:hAnsi="宋体"/>
                <w:b/>
                <w:bCs/>
                <w:color w:val="000000"/>
                <w:sz w:val="18"/>
                <w:szCs w:val="18"/>
              </w:rPr>
            </w:pPr>
            <w:r w:rsidRPr="00EA19D3">
              <w:rPr>
                <w:rFonts w:ascii="宋体" w:hAnsi="宋体" w:hint="eastAsia"/>
                <w:b/>
                <w:bCs/>
                <w:color w:val="000000"/>
                <w:sz w:val="18"/>
                <w:szCs w:val="18"/>
              </w:rPr>
              <w:t>收益</w:t>
            </w:r>
          </w:p>
        </w:tc>
        <w:tc>
          <w:tcPr>
            <w:tcW w:w="283" w:type="dxa"/>
            <w:tcBorders>
              <w:left w:val="single" w:sz="6" w:space="0" w:color="FF6600"/>
              <w:right w:val="single" w:sz="6" w:space="0" w:color="FF6600"/>
            </w:tcBorders>
            <w:shd w:val="clear" w:color="auto" w:fill="auto"/>
            <w:vAlign w:val="center"/>
          </w:tcPr>
          <w:p w:rsidR="00EA19D3" w:rsidRPr="00EA19D3" w:rsidRDefault="00EA19D3" w:rsidP="00495D45">
            <w:pPr>
              <w:snapToGrid w:val="0"/>
              <w:jc w:val="center"/>
              <w:rPr>
                <w:rFonts w:ascii="宋体" w:hAnsi="宋体" w:cs="宋体"/>
                <w:b/>
                <w:bCs/>
                <w:color w:val="000000"/>
                <w:sz w:val="18"/>
                <w:szCs w:val="18"/>
              </w:rPr>
            </w:pPr>
            <w:r w:rsidRPr="00EA19D3">
              <w:rPr>
                <w:rFonts w:ascii="宋体" w:hAnsi="宋体" w:hint="eastAsia"/>
                <w:b/>
                <w:bCs/>
                <w:color w:val="000000"/>
                <w:sz w:val="18"/>
                <w:szCs w:val="18"/>
              </w:rPr>
              <w:t>排名</w:t>
            </w:r>
          </w:p>
        </w:tc>
        <w:tc>
          <w:tcPr>
            <w:tcW w:w="1276" w:type="dxa"/>
            <w:tcBorders>
              <w:left w:val="single" w:sz="6" w:space="0" w:color="FF6600"/>
              <w:right w:val="single" w:sz="6" w:space="0" w:color="FF6600"/>
            </w:tcBorders>
            <w:shd w:val="clear" w:color="auto" w:fill="FDE9D9" w:themeFill="accent6" w:themeFillTint="33"/>
            <w:vAlign w:val="center"/>
          </w:tcPr>
          <w:p w:rsidR="00EA19D3" w:rsidRPr="00EA19D3" w:rsidRDefault="00EA19D3" w:rsidP="00495D45">
            <w:pPr>
              <w:snapToGrid w:val="0"/>
              <w:jc w:val="center"/>
              <w:rPr>
                <w:rFonts w:ascii="宋体" w:hAnsi="宋体"/>
                <w:b/>
                <w:bCs/>
                <w:color w:val="000000"/>
                <w:sz w:val="18"/>
                <w:szCs w:val="18"/>
              </w:rPr>
            </w:pPr>
            <w:r w:rsidRPr="00EA19D3">
              <w:rPr>
                <w:rFonts w:ascii="宋体" w:hAnsi="宋体" w:hint="eastAsia"/>
                <w:b/>
                <w:bCs/>
                <w:color w:val="000000"/>
                <w:sz w:val="18"/>
                <w:szCs w:val="18"/>
              </w:rPr>
              <w:t>产品</w:t>
            </w:r>
          </w:p>
          <w:p w:rsidR="00EA19D3" w:rsidRPr="00EA19D3" w:rsidRDefault="00EA19D3" w:rsidP="00495D45">
            <w:pPr>
              <w:snapToGrid w:val="0"/>
              <w:jc w:val="center"/>
              <w:rPr>
                <w:rFonts w:ascii="宋体" w:hAnsi="宋体" w:cs="宋体"/>
                <w:b/>
                <w:bCs/>
                <w:color w:val="000000"/>
                <w:sz w:val="18"/>
                <w:szCs w:val="18"/>
              </w:rPr>
            </w:pPr>
            <w:r w:rsidRPr="00EA19D3">
              <w:rPr>
                <w:rFonts w:ascii="宋体" w:hAnsi="宋体" w:hint="eastAsia"/>
                <w:b/>
                <w:bCs/>
                <w:color w:val="000000"/>
                <w:sz w:val="18"/>
                <w:szCs w:val="18"/>
              </w:rPr>
              <w:t>名称</w:t>
            </w:r>
          </w:p>
        </w:tc>
        <w:tc>
          <w:tcPr>
            <w:tcW w:w="992" w:type="dxa"/>
            <w:tcBorders>
              <w:left w:val="single" w:sz="6" w:space="0" w:color="FF6600"/>
              <w:right w:val="single" w:sz="6" w:space="0" w:color="FF6600"/>
            </w:tcBorders>
            <w:shd w:val="clear" w:color="auto" w:fill="auto"/>
            <w:vAlign w:val="center"/>
          </w:tcPr>
          <w:p w:rsidR="00EA19D3" w:rsidRPr="00EA19D3" w:rsidRDefault="00EA19D3" w:rsidP="00495D45">
            <w:pPr>
              <w:snapToGrid w:val="0"/>
              <w:jc w:val="center"/>
              <w:rPr>
                <w:rFonts w:ascii="宋体" w:hAnsi="宋体" w:cs="宋体"/>
                <w:b/>
                <w:bCs/>
                <w:color w:val="000000"/>
                <w:sz w:val="18"/>
                <w:szCs w:val="18"/>
              </w:rPr>
            </w:pPr>
            <w:r w:rsidRPr="00EA19D3">
              <w:rPr>
                <w:rFonts w:ascii="宋体" w:hAnsi="宋体" w:hint="eastAsia"/>
                <w:b/>
                <w:bCs/>
                <w:color w:val="000000"/>
                <w:sz w:val="18"/>
                <w:szCs w:val="18"/>
              </w:rPr>
              <w:t>管理人</w:t>
            </w:r>
          </w:p>
        </w:tc>
        <w:tc>
          <w:tcPr>
            <w:tcW w:w="851" w:type="dxa"/>
            <w:tcBorders>
              <w:left w:val="single" w:sz="6" w:space="0" w:color="FF6600"/>
              <w:right w:val="single" w:sz="6" w:space="0" w:color="FF6600"/>
            </w:tcBorders>
            <w:shd w:val="clear" w:color="auto" w:fill="auto"/>
            <w:vAlign w:val="center"/>
          </w:tcPr>
          <w:p w:rsidR="00EA19D3" w:rsidRPr="00EA19D3" w:rsidRDefault="00EA19D3" w:rsidP="00495D45">
            <w:pPr>
              <w:snapToGrid w:val="0"/>
              <w:jc w:val="center"/>
              <w:rPr>
                <w:rFonts w:ascii="宋体" w:hAnsi="宋体"/>
                <w:b/>
                <w:bCs/>
                <w:color w:val="000000"/>
                <w:sz w:val="18"/>
                <w:szCs w:val="18"/>
              </w:rPr>
            </w:pPr>
            <w:r w:rsidRPr="00EA19D3">
              <w:rPr>
                <w:rFonts w:ascii="宋体" w:hAnsi="宋体" w:hint="eastAsia"/>
                <w:b/>
                <w:bCs/>
                <w:color w:val="000000"/>
                <w:sz w:val="18"/>
                <w:szCs w:val="18"/>
              </w:rPr>
              <w:t>策略</w:t>
            </w:r>
          </w:p>
          <w:p w:rsidR="00EA19D3" w:rsidRPr="00EA19D3" w:rsidRDefault="00EA19D3" w:rsidP="00495D45">
            <w:pPr>
              <w:snapToGrid w:val="0"/>
              <w:jc w:val="center"/>
              <w:rPr>
                <w:rFonts w:ascii="宋体" w:hAnsi="宋体" w:cs="宋体"/>
                <w:b/>
                <w:bCs/>
                <w:color w:val="000000"/>
                <w:sz w:val="18"/>
                <w:szCs w:val="18"/>
              </w:rPr>
            </w:pPr>
            <w:r w:rsidRPr="00EA19D3">
              <w:rPr>
                <w:rFonts w:ascii="宋体" w:hAnsi="宋体" w:hint="eastAsia"/>
                <w:b/>
                <w:bCs/>
                <w:color w:val="000000"/>
                <w:sz w:val="18"/>
                <w:szCs w:val="18"/>
              </w:rPr>
              <w:t>类型</w:t>
            </w:r>
          </w:p>
        </w:tc>
        <w:tc>
          <w:tcPr>
            <w:tcW w:w="850" w:type="dxa"/>
            <w:tcBorders>
              <w:left w:val="single" w:sz="6" w:space="0" w:color="FF6600"/>
              <w:right w:val="single" w:sz="6" w:space="0" w:color="FF6600"/>
            </w:tcBorders>
            <w:shd w:val="clear" w:color="auto" w:fill="auto"/>
            <w:vAlign w:val="center"/>
          </w:tcPr>
          <w:p w:rsidR="00EA19D3" w:rsidRPr="00EA19D3" w:rsidRDefault="00EA19D3" w:rsidP="00495D45">
            <w:pPr>
              <w:snapToGrid w:val="0"/>
              <w:jc w:val="center"/>
              <w:rPr>
                <w:rFonts w:ascii="宋体" w:hAnsi="宋体"/>
                <w:b/>
                <w:bCs/>
                <w:color w:val="000000"/>
                <w:sz w:val="18"/>
                <w:szCs w:val="18"/>
              </w:rPr>
            </w:pPr>
            <w:r w:rsidRPr="00EA19D3">
              <w:rPr>
                <w:rFonts w:ascii="宋体" w:hAnsi="宋体" w:hint="eastAsia"/>
                <w:b/>
                <w:bCs/>
                <w:color w:val="000000"/>
                <w:sz w:val="18"/>
                <w:szCs w:val="18"/>
              </w:rPr>
              <w:t>结构</w:t>
            </w:r>
          </w:p>
          <w:p w:rsidR="00EA19D3" w:rsidRPr="00EA19D3" w:rsidRDefault="00EA19D3" w:rsidP="00495D45">
            <w:pPr>
              <w:snapToGrid w:val="0"/>
              <w:jc w:val="center"/>
              <w:rPr>
                <w:rFonts w:ascii="宋体" w:hAnsi="宋体" w:cs="宋体"/>
                <w:b/>
                <w:bCs/>
                <w:color w:val="000000"/>
                <w:sz w:val="18"/>
                <w:szCs w:val="18"/>
              </w:rPr>
            </w:pPr>
            <w:r w:rsidRPr="00EA19D3">
              <w:rPr>
                <w:rFonts w:ascii="宋体" w:hAnsi="宋体" w:hint="eastAsia"/>
                <w:b/>
                <w:bCs/>
                <w:color w:val="000000"/>
                <w:sz w:val="18"/>
                <w:szCs w:val="18"/>
              </w:rPr>
              <w:t>类型</w:t>
            </w:r>
          </w:p>
        </w:tc>
        <w:tc>
          <w:tcPr>
            <w:tcW w:w="709" w:type="dxa"/>
            <w:tcBorders>
              <w:left w:val="single" w:sz="6" w:space="0" w:color="FF6600"/>
              <w:right w:val="single" w:sz="6" w:space="0" w:color="FF6600"/>
            </w:tcBorders>
            <w:shd w:val="clear" w:color="auto" w:fill="auto"/>
            <w:vAlign w:val="center"/>
          </w:tcPr>
          <w:p w:rsidR="00EA19D3" w:rsidRPr="00EA19D3" w:rsidRDefault="00EA19D3" w:rsidP="00495D45">
            <w:pPr>
              <w:snapToGrid w:val="0"/>
              <w:jc w:val="center"/>
              <w:rPr>
                <w:rFonts w:ascii="宋体" w:hAnsi="宋体"/>
                <w:b/>
                <w:bCs/>
                <w:color w:val="000000"/>
                <w:sz w:val="18"/>
                <w:szCs w:val="18"/>
              </w:rPr>
            </w:pPr>
            <w:r w:rsidRPr="00EA19D3">
              <w:rPr>
                <w:rFonts w:ascii="宋体" w:hAnsi="宋体" w:hint="eastAsia"/>
                <w:b/>
                <w:bCs/>
                <w:color w:val="000000"/>
                <w:sz w:val="18"/>
                <w:szCs w:val="18"/>
              </w:rPr>
              <w:t>最新</w:t>
            </w:r>
          </w:p>
          <w:p w:rsidR="00EA19D3" w:rsidRPr="00EA19D3" w:rsidRDefault="00EA19D3" w:rsidP="00495D45">
            <w:pPr>
              <w:snapToGrid w:val="0"/>
              <w:jc w:val="center"/>
              <w:rPr>
                <w:rFonts w:ascii="宋体" w:hAnsi="宋体" w:cs="宋体"/>
                <w:b/>
                <w:bCs/>
                <w:color w:val="000000"/>
                <w:sz w:val="18"/>
                <w:szCs w:val="18"/>
              </w:rPr>
            </w:pPr>
            <w:r w:rsidRPr="00EA19D3">
              <w:rPr>
                <w:rFonts w:ascii="宋体" w:hAnsi="宋体" w:hint="eastAsia"/>
                <w:b/>
                <w:bCs/>
                <w:color w:val="000000"/>
                <w:sz w:val="18"/>
                <w:szCs w:val="18"/>
              </w:rPr>
              <w:t>净值</w:t>
            </w:r>
          </w:p>
        </w:tc>
        <w:tc>
          <w:tcPr>
            <w:tcW w:w="850" w:type="dxa"/>
            <w:tcBorders>
              <w:left w:val="single" w:sz="6" w:space="0" w:color="FF6600"/>
              <w:right w:val="single" w:sz="6" w:space="0" w:color="FF6600"/>
            </w:tcBorders>
            <w:shd w:val="clear" w:color="auto" w:fill="auto"/>
            <w:vAlign w:val="center"/>
          </w:tcPr>
          <w:p w:rsidR="00EA19D3" w:rsidRPr="00EA19D3" w:rsidRDefault="00730927" w:rsidP="00495D45">
            <w:pPr>
              <w:snapToGrid w:val="0"/>
              <w:jc w:val="center"/>
              <w:rPr>
                <w:rFonts w:ascii="宋体" w:hAnsi="宋体"/>
                <w:b/>
                <w:bCs/>
                <w:color w:val="000000"/>
                <w:sz w:val="18"/>
                <w:szCs w:val="18"/>
              </w:rPr>
            </w:pPr>
            <w:r>
              <w:rPr>
                <w:rFonts w:ascii="宋体" w:hAnsi="宋体" w:hint="eastAsia"/>
                <w:b/>
                <w:bCs/>
                <w:color w:val="000000"/>
                <w:sz w:val="18"/>
                <w:szCs w:val="18"/>
              </w:rPr>
              <w:t>1</w:t>
            </w:r>
            <w:r w:rsidR="00EA19D3" w:rsidRPr="00EA19D3">
              <w:rPr>
                <w:rFonts w:ascii="宋体" w:hAnsi="宋体" w:hint="eastAsia"/>
                <w:b/>
                <w:bCs/>
                <w:color w:val="000000"/>
                <w:sz w:val="18"/>
                <w:szCs w:val="18"/>
              </w:rPr>
              <w:t>月</w:t>
            </w:r>
          </w:p>
          <w:p w:rsidR="00EA19D3" w:rsidRPr="00EA19D3" w:rsidRDefault="00EA19D3" w:rsidP="00495D45">
            <w:pPr>
              <w:snapToGrid w:val="0"/>
              <w:jc w:val="center"/>
              <w:rPr>
                <w:rFonts w:ascii="宋体" w:hAnsi="宋体"/>
                <w:b/>
                <w:bCs/>
                <w:color w:val="000000"/>
                <w:sz w:val="18"/>
                <w:szCs w:val="18"/>
              </w:rPr>
            </w:pPr>
            <w:r w:rsidRPr="00EA19D3">
              <w:rPr>
                <w:rFonts w:ascii="宋体" w:hAnsi="宋体" w:hint="eastAsia"/>
                <w:b/>
                <w:bCs/>
                <w:color w:val="000000"/>
                <w:sz w:val="18"/>
                <w:szCs w:val="18"/>
              </w:rPr>
              <w:t>收益</w:t>
            </w:r>
          </w:p>
        </w:tc>
        <w:tc>
          <w:tcPr>
            <w:tcW w:w="284" w:type="dxa"/>
            <w:tcBorders>
              <w:left w:val="single" w:sz="6" w:space="0" w:color="FF6600"/>
            </w:tcBorders>
            <w:shd w:val="clear" w:color="auto" w:fill="auto"/>
            <w:vAlign w:val="center"/>
          </w:tcPr>
          <w:p w:rsidR="00EA19D3" w:rsidRPr="00EA19D3" w:rsidRDefault="00EA19D3" w:rsidP="00495D45">
            <w:pPr>
              <w:snapToGrid w:val="0"/>
              <w:jc w:val="center"/>
              <w:rPr>
                <w:rFonts w:ascii="宋体" w:hAnsi="宋体" w:cs="宋体"/>
                <w:b/>
                <w:bCs/>
                <w:color w:val="000000"/>
                <w:sz w:val="18"/>
                <w:szCs w:val="18"/>
              </w:rPr>
            </w:pPr>
            <w:r w:rsidRPr="00EA19D3">
              <w:rPr>
                <w:rFonts w:ascii="宋体" w:hAnsi="宋体" w:hint="eastAsia"/>
                <w:b/>
                <w:bCs/>
                <w:color w:val="000000"/>
                <w:sz w:val="18"/>
                <w:szCs w:val="18"/>
              </w:rPr>
              <w:t>排名</w:t>
            </w:r>
          </w:p>
        </w:tc>
      </w:tr>
      <w:tr w:rsidR="00A21013" w:rsidTr="009867A3">
        <w:trPr>
          <w:cantSplit/>
          <w:trHeight w:val="454"/>
        </w:trPr>
        <w:tc>
          <w:tcPr>
            <w:tcW w:w="1277" w:type="dxa"/>
            <w:tcBorders>
              <w:right w:val="single" w:sz="6" w:space="0" w:color="FF6600"/>
            </w:tcBorders>
            <w:shd w:val="clear" w:color="auto" w:fill="FDE9D9" w:themeFill="accent6" w:themeFillTint="33"/>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中信信托•鼎力价值成长1期</w:t>
            </w:r>
          </w:p>
        </w:tc>
        <w:tc>
          <w:tcPr>
            <w:tcW w:w="992"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广东鼎力投资管理有限公司</w:t>
            </w:r>
          </w:p>
        </w:tc>
        <w:tc>
          <w:tcPr>
            <w:tcW w:w="851"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股票多头策略</w:t>
            </w:r>
          </w:p>
        </w:tc>
        <w:tc>
          <w:tcPr>
            <w:tcW w:w="850"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 xml:space="preserve">129.66 </w:t>
            </w:r>
          </w:p>
        </w:tc>
        <w:tc>
          <w:tcPr>
            <w:tcW w:w="709"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25.48%</w:t>
            </w:r>
          </w:p>
        </w:tc>
        <w:tc>
          <w:tcPr>
            <w:tcW w:w="283"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sz w:val="18"/>
                <w:szCs w:val="18"/>
              </w:rPr>
            </w:pPr>
            <w:r w:rsidRPr="00A21013">
              <w:rPr>
                <w:rFonts w:asciiTheme="minorEastAsia" w:hAnsiTheme="minorEastAsia" w:hint="eastAsia"/>
                <w:sz w:val="18"/>
                <w:szCs w:val="18"/>
              </w:rPr>
              <w:t>1</w:t>
            </w:r>
          </w:p>
        </w:tc>
        <w:tc>
          <w:tcPr>
            <w:tcW w:w="1276" w:type="dxa"/>
            <w:tcBorders>
              <w:left w:val="single" w:sz="6" w:space="0" w:color="FF6600"/>
              <w:right w:val="single" w:sz="6" w:space="0" w:color="FF6600"/>
            </w:tcBorders>
            <w:shd w:val="clear" w:color="auto" w:fill="FDE9D9" w:themeFill="accent6" w:themeFillTint="33"/>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中海-浦江之星149号-</w:t>
            </w:r>
            <w:proofErr w:type="gramStart"/>
            <w:r w:rsidRPr="00A21013">
              <w:rPr>
                <w:rFonts w:asciiTheme="minorEastAsia" w:hAnsiTheme="minorEastAsia" w:hint="eastAsia"/>
                <w:bCs/>
                <w:sz w:val="18"/>
                <w:szCs w:val="18"/>
              </w:rPr>
              <w:t>彤</w:t>
            </w:r>
            <w:proofErr w:type="gramEnd"/>
            <w:r w:rsidRPr="00A21013">
              <w:rPr>
                <w:rFonts w:asciiTheme="minorEastAsia" w:hAnsiTheme="minorEastAsia" w:hint="eastAsia"/>
                <w:bCs/>
                <w:sz w:val="18"/>
                <w:szCs w:val="18"/>
              </w:rPr>
              <w:t>源</w:t>
            </w:r>
          </w:p>
        </w:tc>
        <w:tc>
          <w:tcPr>
            <w:tcW w:w="992"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上海彤源投资发展有限公司</w:t>
            </w:r>
          </w:p>
        </w:tc>
        <w:tc>
          <w:tcPr>
            <w:tcW w:w="851"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股票多头策略</w:t>
            </w:r>
          </w:p>
        </w:tc>
        <w:tc>
          <w:tcPr>
            <w:tcW w:w="850"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 xml:space="preserve">1.1614 </w:t>
            </w:r>
          </w:p>
        </w:tc>
        <w:tc>
          <w:tcPr>
            <w:tcW w:w="850"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16.81%</w:t>
            </w:r>
          </w:p>
        </w:tc>
        <w:tc>
          <w:tcPr>
            <w:tcW w:w="284" w:type="dxa"/>
            <w:tcBorders>
              <w:left w:val="single" w:sz="6" w:space="0" w:color="FF6600"/>
            </w:tcBorders>
            <w:shd w:val="clear" w:color="auto" w:fill="auto"/>
            <w:vAlign w:val="center"/>
          </w:tcPr>
          <w:p w:rsidR="00A21013" w:rsidRPr="00EA19D3" w:rsidRDefault="00A21013" w:rsidP="00495D45">
            <w:pPr>
              <w:snapToGrid w:val="0"/>
              <w:jc w:val="center"/>
              <w:rPr>
                <w:rFonts w:ascii="宋体" w:eastAsia="宋体" w:hAnsi="宋体"/>
                <w:sz w:val="18"/>
                <w:szCs w:val="18"/>
              </w:rPr>
            </w:pPr>
            <w:r>
              <w:rPr>
                <w:rFonts w:ascii="宋体" w:eastAsia="宋体" w:hAnsi="宋体" w:hint="eastAsia"/>
                <w:sz w:val="18"/>
                <w:szCs w:val="18"/>
              </w:rPr>
              <w:t>11</w:t>
            </w:r>
          </w:p>
        </w:tc>
      </w:tr>
      <w:tr w:rsidR="00A21013" w:rsidTr="009867A3">
        <w:trPr>
          <w:cantSplit/>
          <w:trHeight w:val="454"/>
        </w:trPr>
        <w:tc>
          <w:tcPr>
            <w:tcW w:w="1277" w:type="dxa"/>
            <w:tcBorders>
              <w:right w:val="single" w:sz="6" w:space="0" w:color="FF6600"/>
            </w:tcBorders>
            <w:shd w:val="clear" w:color="auto" w:fill="FDE9D9" w:themeFill="accent6" w:themeFillTint="33"/>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中海信托－浦江之星6号</w:t>
            </w:r>
          </w:p>
        </w:tc>
        <w:tc>
          <w:tcPr>
            <w:tcW w:w="992"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上海彤源投资发展有限公司</w:t>
            </w:r>
          </w:p>
        </w:tc>
        <w:tc>
          <w:tcPr>
            <w:tcW w:w="851"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股票多头策略</w:t>
            </w:r>
          </w:p>
        </w:tc>
        <w:tc>
          <w:tcPr>
            <w:tcW w:w="850"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分级型</w:t>
            </w:r>
          </w:p>
        </w:tc>
        <w:tc>
          <w:tcPr>
            <w:tcW w:w="709"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 xml:space="preserve">1.3018 </w:t>
            </w:r>
          </w:p>
        </w:tc>
        <w:tc>
          <w:tcPr>
            <w:tcW w:w="709"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22.83%</w:t>
            </w:r>
          </w:p>
        </w:tc>
        <w:tc>
          <w:tcPr>
            <w:tcW w:w="283"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sz w:val="18"/>
                <w:szCs w:val="18"/>
              </w:rPr>
            </w:pPr>
            <w:r w:rsidRPr="00A21013">
              <w:rPr>
                <w:rFonts w:asciiTheme="minorEastAsia" w:hAnsiTheme="minorEastAsia" w:hint="eastAsia"/>
                <w:sz w:val="18"/>
                <w:szCs w:val="18"/>
              </w:rPr>
              <w:t>2</w:t>
            </w:r>
          </w:p>
        </w:tc>
        <w:tc>
          <w:tcPr>
            <w:tcW w:w="1276" w:type="dxa"/>
            <w:tcBorders>
              <w:left w:val="single" w:sz="6" w:space="0" w:color="FF6600"/>
              <w:right w:val="single" w:sz="6" w:space="0" w:color="FF6600"/>
            </w:tcBorders>
            <w:shd w:val="clear" w:color="auto" w:fill="FDE9D9" w:themeFill="accent6" w:themeFillTint="33"/>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中信信托•尚雅9期</w:t>
            </w:r>
          </w:p>
        </w:tc>
        <w:tc>
          <w:tcPr>
            <w:tcW w:w="992"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上海尚雅投资管理有限公司</w:t>
            </w:r>
          </w:p>
        </w:tc>
        <w:tc>
          <w:tcPr>
            <w:tcW w:w="851"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股票多头策略</w:t>
            </w:r>
          </w:p>
        </w:tc>
        <w:tc>
          <w:tcPr>
            <w:tcW w:w="850"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 xml:space="preserve">89.51 </w:t>
            </w:r>
          </w:p>
        </w:tc>
        <w:tc>
          <w:tcPr>
            <w:tcW w:w="850"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16.31%</w:t>
            </w:r>
          </w:p>
        </w:tc>
        <w:tc>
          <w:tcPr>
            <w:tcW w:w="284" w:type="dxa"/>
            <w:tcBorders>
              <w:left w:val="single" w:sz="6" w:space="0" w:color="FF6600"/>
            </w:tcBorders>
            <w:shd w:val="clear" w:color="auto" w:fill="auto"/>
            <w:vAlign w:val="center"/>
          </w:tcPr>
          <w:p w:rsidR="00A21013" w:rsidRPr="00EA19D3" w:rsidRDefault="00A21013" w:rsidP="00495D45">
            <w:pPr>
              <w:snapToGrid w:val="0"/>
              <w:jc w:val="center"/>
              <w:rPr>
                <w:rFonts w:ascii="宋体" w:eastAsia="宋体" w:hAnsi="宋体"/>
                <w:sz w:val="18"/>
                <w:szCs w:val="18"/>
              </w:rPr>
            </w:pPr>
            <w:r>
              <w:rPr>
                <w:rFonts w:ascii="宋体" w:eastAsia="宋体" w:hAnsi="宋体" w:hint="eastAsia"/>
                <w:sz w:val="18"/>
                <w:szCs w:val="18"/>
              </w:rPr>
              <w:t>12</w:t>
            </w:r>
          </w:p>
        </w:tc>
      </w:tr>
      <w:tr w:rsidR="00A21013" w:rsidTr="009867A3">
        <w:trPr>
          <w:cantSplit/>
          <w:trHeight w:val="454"/>
        </w:trPr>
        <w:tc>
          <w:tcPr>
            <w:tcW w:w="1277" w:type="dxa"/>
            <w:tcBorders>
              <w:right w:val="single" w:sz="6" w:space="0" w:color="FF6600"/>
            </w:tcBorders>
            <w:shd w:val="clear" w:color="auto" w:fill="FDE9D9" w:themeFill="accent6" w:themeFillTint="33"/>
            <w:vAlign w:val="center"/>
          </w:tcPr>
          <w:p w:rsidR="00A21013" w:rsidRPr="00A21013" w:rsidRDefault="00A21013" w:rsidP="00495D45">
            <w:pPr>
              <w:snapToGrid w:val="0"/>
              <w:jc w:val="center"/>
              <w:rPr>
                <w:rFonts w:asciiTheme="minorEastAsia" w:hAnsiTheme="minorEastAsia" w:cs="宋体"/>
                <w:bCs/>
                <w:sz w:val="18"/>
                <w:szCs w:val="18"/>
              </w:rPr>
            </w:pPr>
            <w:proofErr w:type="gramStart"/>
            <w:r w:rsidRPr="00A21013">
              <w:rPr>
                <w:rFonts w:asciiTheme="minorEastAsia" w:hAnsiTheme="minorEastAsia" w:hint="eastAsia"/>
                <w:bCs/>
                <w:sz w:val="18"/>
                <w:szCs w:val="18"/>
              </w:rPr>
              <w:t>中融-鑫柏源</w:t>
            </w:r>
            <w:proofErr w:type="gramEnd"/>
            <w:r w:rsidRPr="00A21013">
              <w:rPr>
                <w:rFonts w:asciiTheme="minorEastAsia" w:hAnsiTheme="minorEastAsia" w:hint="eastAsia"/>
                <w:bCs/>
                <w:sz w:val="18"/>
                <w:szCs w:val="18"/>
              </w:rPr>
              <w:t>1号</w:t>
            </w:r>
          </w:p>
        </w:tc>
        <w:tc>
          <w:tcPr>
            <w:tcW w:w="992"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上海鑫柏源投资管理有限公司</w:t>
            </w:r>
          </w:p>
        </w:tc>
        <w:tc>
          <w:tcPr>
            <w:tcW w:w="851"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股票多头策略</w:t>
            </w:r>
          </w:p>
        </w:tc>
        <w:tc>
          <w:tcPr>
            <w:tcW w:w="850"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 xml:space="preserve">1.0638 </w:t>
            </w:r>
          </w:p>
        </w:tc>
        <w:tc>
          <w:tcPr>
            <w:tcW w:w="709"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20.61%</w:t>
            </w:r>
          </w:p>
        </w:tc>
        <w:tc>
          <w:tcPr>
            <w:tcW w:w="283"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sz w:val="18"/>
                <w:szCs w:val="18"/>
              </w:rPr>
            </w:pPr>
            <w:r w:rsidRPr="00A21013">
              <w:rPr>
                <w:rFonts w:asciiTheme="minorEastAsia" w:hAnsiTheme="minorEastAsia" w:hint="eastAsia"/>
                <w:sz w:val="18"/>
                <w:szCs w:val="18"/>
              </w:rPr>
              <w:t>3</w:t>
            </w:r>
          </w:p>
        </w:tc>
        <w:tc>
          <w:tcPr>
            <w:tcW w:w="1276" w:type="dxa"/>
            <w:tcBorders>
              <w:left w:val="single" w:sz="6" w:space="0" w:color="FF6600"/>
              <w:right w:val="single" w:sz="6" w:space="0" w:color="FF6600"/>
            </w:tcBorders>
            <w:shd w:val="clear" w:color="auto" w:fill="FDE9D9" w:themeFill="accent6" w:themeFillTint="33"/>
            <w:vAlign w:val="center"/>
          </w:tcPr>
          <w:p w:rsidR="00A21013" w:rsidRPr="00A21013" w:rsidRDefault="00A21013" w:rsidP="00495D45">
            <w:pPr>
              <w:snapToGrid w:val="0"/>
              <w:jc w:val="center"/>
              <w:rPr>
                <w:rFonts w:asciiTheme="minorEastAsia" w:hAnsiTheme="minorEastAsia" w:cs="宋体"/>
                <w:bCs/>
                <w:sz w:val="18"/>
                <w:szCs w:val="18"/>
              </w:rPr>
            </w:pPr>
            <w:proofErr w:type="gramStart"/>
            <w:r w:rsidRPr="00A21013">
              <w:rPr>
                <w:rFonts w:asciiTheme="minorEastAsia" w:hAnsiTheme="minorEastAsia" w:hint="eastAsia"/>
                <w:bCs/>
                <w:sz w:val="18"/>
                <w:szCs w:val="18"/>
              </w:rPr>
              <w:t>中融-凯</w:t>
            </w:r>
            <w:proofErr w:type="gramEnd"/>
            <w:r w:rsidRPr="00A21013">
              <w:rPr>
                <w:rFonts w:asciiTheme="minorEastAsia" w:hAnsiTheme="minorEastAsia" w:hint="eastAsia"/>
                <w:bCs/>
                <w:sz w:val="18"/>
                <w:szCs w:val="18"/>
              </w:rPr>
              <w:t>信一号</w:t>
            </w:r>
          </w:p>
        </w:tc>
        <w:tc>
          <w:tcPr>
            <w:tcW w:w="992"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上海凯石投资管理有限公司</w:t>
            </w:r>
          </w:p>
        </w:tc>
        <w:tc>
          <w:tcPr>
            <w:tcW w:w="851"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股票多头策略</w:t>
            </w:r>
          </w:p>
        </w:tc>
        <w:tc>
          <w:tcPr>
            <w:tcW w:w="850"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 xml:space="preserve">1.1077 </w:t>
            </w:r>
          </w:p>
        </w:tc>
        <w:tc>
          <w:tcPr>
            <w:tcW w:w="850"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15.80%</w:t>
            </w:r>
          </w:p>
        </w:tc>
        <w:tc>
          <w:tcPr>
            <w:tcW w:w="284" w:type="dxa"/>
            <w:tcBorders>
              <w:left w:val="single" w:sz="6" w:space="0" w:color="FF6600"/>
            </w:tcBorders>
            <w:shd w:val="clear" w:color="auto" w:fill="auto"/>
            <w:vAlign w:val="center"/>
          </w:tcPr>
          <w:p w:rsidR="00A21013" w:rsidRPr="00EA19D3" w:rsidRDefault="00A21013" w:rsidP="00495D45">
            <w:pPr>
              <w:snapToGrid w:val="0"/>
              <w:jc w:val="center"/>
              <w:rPr>
                <w:rFonts w:ascii="宋体" w:eastAsia="宋体" w:hAnsi="宋体"/>
                <w:sz w:val="18"/>
                <w:szCs w:val="18"/>
              </w:rPr>
            </w:pPr>
            <w:r>
              <w:rPr>
                <w:rFonts w:ascii="宋体" w:eastAsia="宋体" w:hAnsi="宋体" w:hint="eastAsia"/>
                <w:sz w:val="18"/>
                <w:szCs w:val="18"/>
              </w:rPr>
              <w:t>13</w:t>
            </w:r>
          </w:p>
        </w:tc>
      </w:tr>
      <w:tr w:rsidR="00A21013" w:rsidTr="009867A3">
        <w:trPr>
          <w:cantSplit/>
          <w:trHeight w:val="454"/>
        </w:trPr>
        <w:tc>
          <w:tcPr>
            <w:tcW w:w="1277" w:type="dxa"/>
            <w:tcBorders>
              <w:right w:val="single" w:sz="6" w:space="0" w:color="FF6600"/>
            </w:tcBorders>
            <w:shd w:val="clear" w:color="auto" w:fill="FDE9D9" w:themeFill="accent6" w:themeFillTint="33"/>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有限合伙-陈志平波段1号</w:t>
            </w:r>
          </w:p>
        </w:tc>
        <w:tc>
          <w:tcPr>
            <w:tcW w:w="992"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color w:val="000000"/>
                <w:sz w:val="18"/>
                <w:szCs w:val="18"/>
              </w:rPr>
            </w:pPr>
            <w:r w:rsidRPr="00A21013">
              <w:rPr>
                <w:rFonts w:asciiTheme="minorEastAsia" w:hAnsiTheme="minorEastAsia" w:hint="eastAsia"/>
                <w:bCs/>
                <w:color w:val="000000"/>
                <w:sz w:val="18"/>
                <w:szCs w:val="18"/>
              </w:rPr>
              <w:t>北京铂熠鸿立资产管理有限公司</w:t>
            </w:r>
          </w:p>
        </w:tc>
        <w:tc>
          <w:tcPr>
            <w:tcW w:w="851"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股票多头策略</w:t>
            </w:r>
          </w:p>
        </w:tc>
        <w:tc>
          <w:tcPr>
            <w:tcW w:w="850"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 xml:space="preserve">1.1502 </w:t>
            </w:r>
          </w:p>
        </w:tc>
        <w:tc>
          <w:tcPr>
            <w:tcW w:w="709"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18.52%</w:t>
            </w:r>
          </w:p>
        </w:tc>
        <w:tc>
          <w:tcPr>
            <w:tcW w:w="283"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sz w:val="18"/>
                <w:szCs w:val="18"/>
              </w:rPr>
            </w:pPr>
            <w:r w:rsidRPr="00A21013">
              <w:rPr>
                <w:rFonts w:asciiTheme="minorEastAsia" w:hAnsiTheme="minorEastAsia" w:hint="eastAsia"/>
                <w:sz w:val="18"/>
                <w:szCs w:val="18"/>
              </w:rPr>
              <w:t>4</w:t>
            </w:r>
          </w:p>
        </w:tc>
        <w:tc>
          <w:tcPr>
            <w:tcW w:w="1276" w:type="dxa"/>
            <w:tcBorders>
              <w:left w:val="single" w:sz="6" w:space="0" w:color="FF6600"/>
              <w:right w:val="single" w:sz="6" w:space="0" w:color="FF6600"/>
            </w:tcBorders>
            <w:shd w:val="clear" w:color="auto" w:fill="FDE9D9" w:themeFill="accent6" w:themeFillTint="33"/>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中海信托－浦江之星28号</w:t>
            </w:r>
          </w:p>
        </w:tc>
        <w:tc>
          <w:tcPr>
            <w:tcW w:w="992"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上海彤源投资发展有限公司</w:t>
            </w:r>
          </w:p>
        </w:tc>
        <w:tc>
          <w:tcPr>
            <w:tcW w:w="851"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股票多头策略</w:t>
            </w:r>
          </w:p>
        </w:tc>
        <w:tc>
          <w:tcPr>
            <w:tcW w:w="850"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分级型</w:t>
            </w:r>
          </w:p>
        </w:tc>
        <w:tc>
          <w:tcPr>
            <w:tcW w:w="709"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 xml:space="preserve">1.6779 </w:t>
            </w:r>
          </w:p>
        </w:tc>
        <w:tc>
          <w:tcPr>
            <w:tcW w:w="850"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15.79%</w:t>
            </w:r>
          </w:p>
        </w:tc>
        <w:tc>
          <w:tcPr>
            <w:tcW w:w="284" w:type="dxa"/>
            <w:tcBorders>
              <w:left w:val="single" w:sz="6" w:space="0" w:color="FF6600"/>
            </w:tcBorders>
            <w:shd w:val="clear" w:color="auto" w:fill="auto"/>
            <w:vAlign w:val="center"/>
          </w:tcPr>
          <w:p w:rsidR="00A21013" w:rsidRPr="00EA19D3" w:rsidRDefault="00A21013" w:rsidP="00495D45">
            <w:pPr>
              <w:snapToGrid w:val="0"/>
              <w:jc w:val="center"/>
              <w:rPr>
                <w:rFonts w:ascii="宋体" w:eastAsia="宋体" w:hAnsi="宋体"/>
                <w:sz w:val="18"/>
                <w:szCs w:val="18"/>
              </w:rPr>
            </w:pPr>
            <w:r>
              <w:rPr>
                <w:rFonts w:ascii="宋体" w:eastAsia="宋体" w:hAnsi="宋体" w:hint="eastAsia"/>
                <w:sz w:val="18"/>
                <w:szCs w:val="18"/>
              </w:rPr>
              <w:t>14</w:t>
            </w:r>
          </w:p>
        </w:tc>
      </w:tr>
      <w:tr w:rsidR="00A21013" w:rsidTr="009867A3">
        <w:trPr>
          <w:cantSplit/>
          <w:trHeight w:val="454"/>
        </w:trPr>
        <w:tc>
          <w:tcPr>
            <w:tcW w:w="1277" w:type="dxa"/>
            <w:tcBorders>
              <w:right w:val="single" w:sz="6" w:space="0" w:color="FF6600"/>
            </w:tcBorders>
            <w:shd w:val="clear" w:color="auto" w:fill="FDE9D9" w:themeFill="accent6" w:themeFillTint="33"/>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外贸信托-</w:t>
            </w:r>
            <w:proofErr w:type="gramStart"/>
            <w:r w:rsidRPr="00A21013">
              <w:rPr>
                <w:rFonts w:asciiTheme="minorEastAsia" w:hAnsiTheme="minorEastAsia" w:hint="eastAsia"/>
                <w:bCs/>
                <w:sz w:val="18"/>
                <w:szCs w:val="18"/>
              </w:rPr>
              <w:t>世</w:t>
            </w:r>
            <w:proofErr w:type="gramEnd"/>
            <w:r w:rsidRPr="00A21013">
              <w:rPr>
                <w:rFonts w:asciiTheme="minorEastAsia" w:hAnsiTheme="minorEastAsia" w:hint="eastAsia"/>
                <w:bCs/>
                <w:sz w:val="18"/>
                <w:szCs w:val="18"/>
              </w:rPr>
              <w:t>通嫦娥奔月</w:t>
            </w:r>
          </w:p>
        </w:tc>
        <w:tc>
          <w:tcPr>
            <w:tcW w:w="992"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南京世通资产管理有限公司</w:t>
            </w:r>
          </w:p>
        </w:tc>
        <w:tc>
          <w:tcPr>
            <w:tcW w:w="851"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股票多头策略</w:t>
            </w:r>
          </w:p>
        </w:tc>
        <w:tc>
          <w:tcPr>
            <w:tcW w:w="850"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 xml:space="preserve">0.6124 </w:t>
            </w:r>
          </w:p>
        </w:tc>
        <w:tc>
          <w:tcPr>
            <w:tcW w:w="709"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18.48%</w:t>
            </w:r>
          </w:p>
        </w:tc>
        <w:tc>
          <w:tcPr>
            <w:tcW w:w="283"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sz w:val="18"/>
                <w:szCs w:val="18"/>
              </w:rPr>
            </w:pPr>
            <w:r w:rsidRPr="00A21013">
              <w:rPr>
                <w:rFonts w:asciiTheme="minorEastAsia" w:hAnsiTheme="minorEastAsia" w:hint="eastAsia"/>
                <w:sz w:val="18"/>
                <w:szCs w:val="18"/>
              </w:rPr>
              <w:t>5</w:t>
            </w:r>
          </w:p>
        </w:tc>
        <w:tc>
          <w:tcPr>
            <w:tcW w:w="1276" w:type="dxa"/>
            <w:tcBorders>
              <w:left w:val="single" w:sz="6" w:space="0" w:color="FF6600"/>
              <w:right w:val="single" w:sz="6" w:space="0" w:color="FF6600"/>
            </w:tcBorders>
            <w:shd w:val="clear" w:color="auto" w:fill="FDE9D9" w:themeFill="accent6" w:themeFillTint="33"/>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深国投•智诚3期</w:t>
            </w:r>
          </w:p>
        </w:tc>
        <w:tc>
          <w:tcPr>
            <w:tcW w:w="992"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深圳市智诚海威投资有限公司</w:t>
            </w:r>
          </w:p>
        </w:tc>
        <w:tc>
          <w:tcPr>
            <w:tcW w:w="851"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股票多头策略</w:t>
            </w:r>
          </w:p>
        </w:tc>
        <w:tc>
          <w:tcPr>
            <w:tcW w:w="850"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 xml:space="preserve">145.89 </w:t>
            </w:r>
          </w:p>
        </w:tc>
        <w:tc>
          <w:tcPr>
            <w:tcW w:w="850"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15.57%</w:t>
            </w:r>
          </w:p>
        </w:tc>
        <w:tc>
          <w:tcPr>
            <w:tcW w:w="284" w:type="dxa"/>
            <w:tcBorders>
              <w:left w:val="single" w:sz="6" w:space="0" w:color="FF6600"/>
            </w:tcBorders>
            <w:shd w:val="clear" w:color="auto" w:fill="auto"/>
            <w:vAlign w:val="center"/>
          </w:tcPr>
          <w:p w:rsidR="00A21013" w:rsidRPr="00EA19D3" w:rsidRDefault="00A21013" w:rsidP="00495D45">
            <w:pPr>
              <w:snapToGrid w:val="0"/>
              <w:jc w:val="center"/>
              <w:rPr>
                <w:rFonts w:ascii="宋体" w:eastAsia="宋体" w:hAnsi="宋体"/>
                <w:sz w:val="18"/>
                <w:szCs w:val="18"/>
              </w:rPr>
            </w:pPr>
            <w:r w:rsidRPr="00EA19D3">
              <w:rPr>
                <w:rFonts w:ascii="宋体" w:eastAsia="宋体" w:hAnsi="宋体" w:hint="eastAsia"/>
                <w:sz w:val="18"/>
                <w:szCs w:val="18"/>
              </w:rPr>
              <w:t>1</w:t>
            </w:r>
            <w:r>
              <w:rPr>
                <w:rFonts w:ascii="宋体" w:eastAsia="宋体" w:hAnsi="宋体" w:hint="eastAsia"/>
                <w:sz w:val="18"/>
                <w:szCs w:val="18"/>
              </w:rPr>
              <w:t>5</w:t>
            </w:r>
          </w:p>
        </w:tc>
      </w:tr>
      <w:tr w:rsidR="00A21013" w:rsidTr="009867A3">
        <w:trPr>
          <w:cantSplit/>
          <w:trHeight w:val="454"/>
        </w:trPr>
        <w:tc>
          <w:tcPr>
            <w:tcW w:w="1277" w:type="dxa"/>
            <w:tcBorders>
              <w:right w:val="single" w:sz="6" w:space="0" w:color="FF6600"/>
            </w:tcBorders>
            <w:shd w:val="clear" w:color="auto" w:fill="FDE9D9" w:themeFill="accent6" w:themeFillTint="33"/>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联华信托•鼎力超级成长</w:t>
            </w:r>
          </w:p>
        </w:tc>
        <w:tc>
          <w:tcPr>
            <w:tcW w:w="992"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广东鼎力投资管理有限公司</w:t>
            </w:r>
          </w:p>
        </w:tc>
        <w:tc>
          <w:tcPr>
            <w:tcW w:w="851"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股票多头策略</w:t>
            </w:r>
          </w:p>
        </w:tc>
        <w:tc>
          <w:tcPr>
            <w:tcW w:w="850"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 xml:space="preserve">1.1181 </w:t>
            </w:r>
          </w:p>
        </w:tc>
        <w:tc>
          <w:tcPr>
            <w:tcW w:w="709"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18.29%</w:t>
            </w:r>
          </w:p>
        </w:tc>
        <w:tc>
          <w:tcPr>
            <w:tcW w:w="283"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sz w:val="18"/>
                <w:szCs w:val="18"/>
              </w:rPr>
            </w:pPr>
            <w:r w:rsidRPr="00A21013">
              <w:rPr>
                <w:rFonts w:asciiTheme="minorEastAsia" w:hAnsiTheme="minorEastAsia" w:hint="eastAsia"/>
                <w:sz w:val="18"/>
                <w:szCs w:val="18"/>
              </w:rPr>
              <w:t>6</w:t>
            </w:r>
          </w:p>
        </w:tc>
        <w:tc>
          <w:tcPr>
            <w:tcW w:w="1276" w:type="dxa"/>
            <w:tcBorders>
              <w:left w:val="single" w:sz="6" w:space="0" w:color="FF6600"/>
              <w:right w:val="single" w:sz="6" w:space="0" w:color="FF6600"/>
            </w:tcBorders>
            <w:shd w:val="clear" w:color="auto" w:fill="FDE9D9" w:themeFill="accent6" w:themeFillTint="33"/>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有限合伙-物生宏利1号</w:t>
            </w:r>
          </w:p>
        </w:tc>
        <w:tc>
          <w:tcPr>
            <w:tcW w:w="992"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北京物生宏利资产管理中心（有限合伙）</w:t>
            </w:r>
          </w:p>
        </w:tc>
        <w:tc>
          <w:tcPr>
            <w:tcW w:w="851"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股票多头策略</w:t>
            </w:r>
          </w:p>
        </w:tc>
        <w:tc>
          <w:tcPr>
            <w:tcW w:w="850"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 xml:space="preserve">1.2400 </w:t>
            </w:r>
          </w:p>
        </w:tc>
        <w:tc>
          <w:tcPr>
            <w:tcW w:w="850"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15.54%</w:t>
            </w:r>
          </w:p>
        </w:tc>
        <w:tc>
          <w:tcPr>
            <w:tcW w:w="284" w:type="dxa"/>
            <w:tcBorders>
              <w:left w:val="single" w:sz="6" w:space="0" w:color="FF6600"/>
            </w:tcBorders>
            <w:shd w:val="clear" w:color="auto" w:fill="auto"/>
            <w:vAlign w:val="center"/>
          </w:tcPr>
          <w:p w:rsidR="00A21013" w:rsidRPr="00EA19D3" w:rsidRDefault="00A21013" w:rsidP="00495D45">
            <w:pPr>
              <w:snapToGrid w:val="0"/>
              <w:jc w:val="center"/>
              <w:rPr>
                <w:rFonts w:ascii="宋体" w:eastAsia="宋体" w:hAnsi="宋体"/>
                <w:sz w:val="18"/>
                <w:szCs w:val="18"/>
              </w:rPr>
            </w:pPr>
            <w:r>
              <w:rPr>
                <w:rFonts w:ascii="宋体" w:eastAsia="宋体" w:hAnsi="宋体" w:hint="eastAsia"/>
                <w:sz w:val="18"/>
                <w:szCs w:val="18"/>
              </w:rPr>
              <w:t>16</w:t>
            </w:r>
          </w:p>
        </w:tc>
      </w:tr>
      <w:tr w:rsidR="00A21013" w:rsidTr="009867A3">
        <w:trPr>
          <w:cantSplit/>
          <w:trHeight w:val="454"/>
        </w:trPr>
        <w:tc>
          <w:tcPr>
            <w:tcW w:w="1277" w:type="dxa"/>
            <w:tcBorders>
              <w:right w:val="single" w:sz="6" w:space="0" w:color="FF6600"/>
            </w:tcBorders>
            <w:shd w:val="clear" w:color="auto" w:fill="FDE9D9" w:themeFill="accent6" w:themeFillTint="33"/>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lastRenderedPageBreak/>
              <w:t>有限合伙-</w:t>
            </w:r>
            <w:proofErr w:type="gramStart"/>
            <w:r w:rsidRPr="00A21013">
              <w:rPr>
                <w:rFonts w:asciiTheme="minorEastAsia" w:hAnsiTheme="minorEastAsia" w:hint="eastAsia"/>
                <w:bCs/>
                <w:sz w:val="18"/>
                <w:szCs w:val="18"/>
              </w:rPr>
              <w:t>尚道乾坤</w:t>
            </w:r>
            <w:proofErr w:type="gramEnd"/>
          </w:p>
        </w:tc>
        <w:tc>
          <w:tcPr>
            <w:tcW w:w="992"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深圳尊道投资有限公司</w:t>
            </w:r>
          </w:p>
        </w:tc>
        <w:tc>
          <w:tcPr>
            <w:tcW w:w="851"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股票对冲策略-多空对冲</w:t>
            </w:r>
          </w:p>
        </w:tc>
        <w:tc>
          <w:tcPr>
            <w:tcW w:w="850"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 xml:space="preserve">1.2704 </w:t>
            </w:r>
          </w:p>
        </w:tc>
        <w:tc>
          <w:tcPr>
            <w:tcW w:w="709"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17.96%</w:t>
            </w:r>
          </w:p>
        </w:tc>
        <w:tc>
          <w:tcPr>
            <w:tcW w:w="283"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sz w:val="18"/>
                <w:szCs w:val="18"/>
              </w:rPr>
            </w:pPr>
            <w:r w:rsidRPr="00A21013">
              <w:rPr>
                <w:rFonts w:asciiTheme="minorEastAsia" w:hAnsiTheme="minorEastAsia" w:hint="eastAsia"/>
                <w:sz w:val="18"/>
                <w:szCs w:val="18"/>
              </w:rPr>
              <w:t>7</w:t>
            </w:r>
          </w:p>
        </w:tc>
        <w:tc>
          <w:tcPr>
            <w:tcW w:w="1276" w:type="dxa"/>
            <w:tcBorders>
              <w:left w:val="single" w:sz="6" w:space="0" w:color="FF6600"/>
              <w:right w:val="single" w:sz="6" w:space="0" w:color="FF6600"/>
            </w:tcBorders>
            <w:shd w:val="clear" w:color="auto" w:fill="FDE9D9" w:themeFill="accent6" w:themeFillTint="33"/>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重庆国投·穿石品质生活</w:t>
            </w:r>
          </w:p>
        </w:tc>
        <w:tc>
          <w:tcPr>
            <w:tcW w:w="992"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重庆穿石投资有限公司</w:t>
            </w:r>
          </w:p>
        </w:tc>
        <w:tc>
          <w:tcPr>
            <w:tcW w:w="851"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股票多头策略</w:t>
            </w:r>
          </w:p>
        </w:tc>
        <w:tc>
          <w:tcPr>
            <w:tcW w:w="850"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 xml:space="preserve">1.3612 </w:t>
            </w:r>
          </w:p>
        </w:tc>
        <w:tc>
          <w:tcPr>
            <w:tcW w:w="850"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15.37%</w:t>
            </w:r>
          </w:p>
        </w:tc>
        <w:tc>
          <w:tcPr>
            <w:tcW w:w="284" w:type="dxa"/>
            <w:tcBorders>
              <w:left w:val="single" w:sz="6" w:space="0" w:color="FF6600"/>
            </w:tcBorders>
            <w:shd w:val="clear" w:color="auto" w:fill="auto"/>
            <w:vAlign w:val="center"/>
          </w:tcPr>
          <w:p w:rsidR="00A21013" w:rsidRPr="00EA19D3" w:rsidRDefault="00A21013" w:rsidP="00495D45">
            <w:pPr>
              <w:snapToGrid w:val="0"/>
              <w:jc w:val="center"/>
              <w:rPr>
                <w:rFonts w:ascii="宋体" w:eastAsia="宋体" w:hAnsi="宋体"/>
                <w:sz w:val="18"/>
                <w:szCs w:val="18"/>
              </w:rPr>
            </w:pPr>
            <w:r>
              <w:rPr>
                <w:rFonts w:ascii="宋体" w:eastAsia="宋体" w:hAnsi="宋体" w:hint="eastAsia"/>
                <w:sz w:val="18"/>
                <w:szCs w:val="18"/>
              </w:rPr>
              <w:t>17</w:t>
            </w:r>
          </w:p>
        </w:tc>
      </w:tr>
      <w:tr w:rsidR="00A21013" w:rsidTr="009867A3">
        <w:trPr>
          <w:cantSplit/>
          <w:trHeight w:val="454"/>
        </w:trPr>
        <w:tc>
          <w:tcPr>
            <w:tcW w:w="1277" w:type="dxa"/>
            <w:tcBorders>
              <w:right w:val="single" w:sz="6" w:space="0" w:color="FF6600"/>
            </w:tcBorders>
            <w:shd w:val="clear" w:color="auto" w:fill="FDE9D9" w:themeFill="accent6" w:themeFillTint="33"/>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山东信托-</w:t>
            </w:r>
            <w:proofErr w:type="gramStart"/>
            <w:r w:rsidRPr="00A21013">
              <w:rPr>
                <w:rFonts w:asciiTheme="minorEastAsia" w:hAnsiTheme="minorEastAsia" w:hint="eastAsia"/>
                <w:bCs/>
                <w:sz w:val="18"/>
                <w:szCs w:val="18"/>
              </w:rPr>
              <w:t>泽熙2期</w:t>
            </w:r>
            <w:proofErr w:type="gramEnd"/>
          </w:p>
        </w:tc>
        <w:tc>
          <w:tcPr>
            <w:tcW w:w="992"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上海泽熙投资管理有限公司</w:t>
            </w:r>
          </w:p>
        </w:tc>
        <w:tc>
          <w:tcPr>
            <w:tcW w:w="851"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股票多头策略</w:t>
            </w:r>
          </w:p>
        </w:tc>
        <w:tc>
          <w:tcPr>
            <w:tcW w:w="850"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 xml:space="preserve">1.2879 </w:t>
            </w:r>
          </w:p>
        </w:tc>
        <w:tc>
          <w:tcPr>
            <w:tcW w:w="709"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17.26%</w:t>
            </w:r>
          </w:p>
        </w:tc>
        <w:tc>
          <w:tcPr>
            <w:tcW w:w="283"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sz w:val="18"/>
                <w:szCs w:val="18"/>
              </w:rPr>
            </w:pPr>
            <w:r w:rsidRPr="00A21013">
              <w:rPr>
                <w:rFonts w:asciiTheme="minorEastAsia" w:hAnsiTheme="minorEastAsia" w:hint="eastAsia"/>
                <w:sz w:val="18"/>
                <w:szCs w:val="18"/>
              </w:rPr>
              <w:t>8</w:t>
            </w:r>
          </w:p>
        </w:tc>
        <w:tc>
          <w:tcPr>
            <w:tcW w:w="1276" w:type="dxa"/>
            <w:tcBorders>
              <w:left w:val="single" w:sz="6" w:space="0" w:color="FF6600"/>
              <w:right w:val="single" w:sz="6" w:space="0" w:color="FF6600"/>
            </w:tcBorders>
            <w:shd w:val="clear" w:color="auto" w:fill="FDE9D9" w:themeFill="accent6" w:themeFillTint="33"/>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华润信托•智诚5期</w:t>
            </w:r>
          </w:p>
        </w:tc>
        <w:tc>
          <w:tcPr>
            <w:tcW w:w="992"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深圳市智诚海威投资有限公司</w:t>
            </w:r>
          </w:p>
        </w:tc>
        <w:tc>
          <w:tcPr>
            <w:tcW w:w="851"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股票多头策略</w:t>
            </w:r>
          </w:p>
        </w:tc>
        <w:tc>
          <w:tcPr>
            <w:tcW w:w="850"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 xml:space="preserve">115.74 </w:t>
            </w:r>
          </w:p>
        </w:tc>
        <w:tc>
          <w:tcPr>
            <w:tcW w:w="850"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15.03%</w:t>
            </w:r>
          </w:p>
        </w:tc>
        <w:tc>
          <w:tcPr>
            <w:tcW w:w="284" w:type="dxa"/>
            <w:tcBorders>
              <w:left w:val="single" w:sz="6" w:space="0" w:color="FF6600"/>
            </w:tcBorders>
            <w:shd w:val="clear" w:color="auto" w:fill="auto"/>
            <w:vAlign w:val="center"/>
          </w:tcPr>
          <w:p w:rsidR="00A21013" w:rsidRPr="00EA19D3" w:rsidRDefault="00A21013" w:rsidP="00495D45">
            <w:pPr>
              <w:snapToGrid w:val="0"/>
              <w:jc w:val="center"/>
              <w:rPr>
                <w:rFonts w:ascii="宋体" w:eastAsia="宋体" w:hAnsi="宋体"/>
                <w:sz w:val="18"/>
                <w:szCs w:val="18"/>
              </w:rPr>
            </w:pPr>
            <w:r>
              <w:rPr>
                <w:rFonts w:ascii="宋体" w:eastAsia="宋体" w:hAnsi="宋体" w:hint="eastAsia"/>
                <w:sz w:val="18"/>
                <w:szCs w:val="18"/>
              </w:rPr>
              <w:t>18</w:t>
            </w:r>
          </w:p>
        </w:tc>
      </w:tr>
      <w:tr w:rsidR="00A21013" w:rsidTr="009867A3">
        <w:trPr>
          <w:cantSplit/>
          <w:trHeight w:val="454"/>
        </w:trPr>
        <w:tc>
          <w:tcPr>
            <w:tcW w:w="1277" w:type="dxa"/>
            <w:tcBorders>
              <w:right w:val="single" w:sz="6" w:space="0" w:color="FF6600"/>
            </w:tcBorders>
            <w:shd w:val="clear" w:color="auto" w:fill="FDE9D9" w:themeFill="accent6" w:themeFillTint="33"/>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北京国投·尚雅13期</w:t>
            </w:r>
          </w:p>
        </w:tc>
        <w:tc>
          <w:tcPr>
            <w:tcW w:w="992"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上海尚雅投资管理有限公司</w:t>
            </w:r>
          </w:p>
        </w:tc>
        <w:tc>
          <w:tcPr>
            <w:tcW w:w="851"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股票多头策略</w:t>
            </w:r>
          </w:p>
        </w:tc>
        <w:tc>
          <w:tcPr>
            <w:tcW w:w="850"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 xml:space="preserve">1.1425 </w:t>
            </w:r>
          </w:p>
        </w:tc>
        <w:tc>
          <w:tcPr>
            <w:tcW w:w="709"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17.12%</w:t>
            </w:r>
          </w:p>
        </w:tc>
        <w:tc>
          <w:tcPr>
            <w:tcW w:w="283"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sz w:val="18"/>
                <w:szCs w:val="18"/>
              </w:rPr>
            </w:pPr>
            <w:r w:rsidRPr="00A21013">
              <w:rPr>
                <w:rFonts w:asciiTheme="minorEastAsia" w:hAnsiTheme="minorEastAsia" w:hint="eastAsia"/>
                <w:sz w:val="18"/>
                <w:szCs w:val="18"/>
              </w:rPr>
              <w:t>9</w:t>
            </w:r>
          </w:p>
        </w:tc>
        <w:tc>
          <w:tcPr>
            <w:tcW w:w="1276" w:type="dxa"/>
            <w:tcBorders>
              <w:left w:val="single" w:sz="6" w:space="0" w:color="FF6600"/>
              <w:right w:val="single" w:sz="6" w:space="0" w:color="FF6600"/>
            </w:tcBorders>
            <w:shd w:val="clear" w:color="auto" w:fill="FDE9D9" w:themeFill="accent6" w:themeFillTint="33"/>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粤财信托-</w:t>
            </w:r>
            <w:proofErr w:type="gramStart"/>
            <w:r w:rsidRPr="00A21013">
              <w:rPr>
                <w:rFonts w:asciiTheme="minorEastAsia" w:hAnsiTheme="minorEastAsia" w:hint="eastAsia"/>
                <w:bCs/>
                <w:sz w:val="18"/>
                <w:szCs w:val="18"/>
              </w:rPr>
              <w:t>创势翔</w:t>
            </w:r>
            <w:proofErr w:type="gramEnd"/>
            <w:r w:rsidRPr="00A21013">
              <w:rPr>
                <w:rFonts w:asciiTheme="minorEastAsia" w:hAnsiTheme="minorEastAsia" w:hint="eastAsia"/>
                <w:bCs/>
                <w:sz w:val="18"/>
                <w:szCs w:val="18"/>
              </w:rPr>
              <w:t>1号</w:t>
            </w:r>
          </w:p>
        </w:tc>
        <w:tc>
          <w:tcPr>
            <w:tcW w:w="992"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广州市</w:t>
            </w:r>
            <w:proofErr w:type="gramStart"/>
            <w:r w:rsidRPr="00A21013">
              <w:rPr>
                <w:rFonts w:asciiTheme="minorEastAsia" w:hAnsiTheme="minorEastAsia" w:hint="eastAsia"/>
                <w:bCs/>
                <w:sz w:val="18"/>
                <w:szCs w:val="18"/>
              </w:rPr>
              <w:t>创势翔投资</w:t>
            </w:r>
            <w:proofErr w:type="gramEnd"/>
            <w:r w:rsidRPr="00A21013">
              <w:rPr>
                <w:rFonts w:asciiTheme="minorEastAsia" w:hAnsiTheme="minorEastAsia" w:hint="eastAsia"/>
                <w:bCs/>
                <w:sz w:val="18"/>
                <w:szCs w:val="18"/>
              </w:rPr>
              <w:t>有限公司</w:t>
            </w:r>
          </w:p>
        </w:tc>
        <w:tc>
          <w:tcPr>
            <w:tcW w:w="851"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股票多头策略</w:t>
            </w:r>
          </w:p>
        </w:tc>
        <w:tc>
          <w:tcPr>
            <w:tcW w:w="850"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 xml:space="preserve">2.1073 </w:t>
            </w:r>
          </w:p>
        </w:tc>
        <w:tc>
          <w:tcPr>
            <w:tcW w:w="850"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14.98%</w:t>
            </w:r>
          </w:p>
        </w:tc>
        <w:tc>
          <w:tcPr>
            <w:tcW w:w="284" w:type="dxa"/>
            <w:tcBorders>
              <w:left w:val="single" w:sz="6" w:space="0" w:color="FF6600"/>
            </w:tcBorders>
            <w:shd w:val="clear" w:color="auto" w:fill="auto"/>
            <w:vAlign w:val="center"/>
          </w:tcPr>
          <w:p w:rsidR="00A21013" w:rsidRPr="00EA19D3" w:rsidRDefault="00A21013" w:rsidP="00495D45">
            <w:pPr>
              <w:snapToGrid w:val="0"/>
              <w:jc w:val="center"/>
              <w:rPr>
                <w:rFonts w:ascii="宋体" w:eastAsia="宋体" w:hAnsi="宋体"/>
                <w:sz w:val="18"/>
                <w:szCs w:val="18"/>
              </w:rPr>
            </w:pPr>
            <w:r>
              <w:rPr>
                <w:rFonts w:ascii="宋体" w:eastAsia="宋体" w:hAnsi="宋体" w:hint="eastAsia"/>
                <w:sz w:val="18"/>
                <w:szCs w:val="18"/>
              </w:rPr>
              <w:t>19</w:t>
            </w:r>
          </w:p>
        </w:tc>
      </w:tr>
      <w:tr w:rsidR="00A21013" w:rsidTr="009867A3">
        <w:trPr>
          <w:cantSplit/>
          <w:trHeight w:val="454"/>
        </w:trPr>
        <w:tc>
          <w:tcPr>
            <w:tcW w:w="1277" w:type="dxa"/>
            <w:tcBorders>
              <w:right w:val="single" w:sz="6" w:space="0" w:color="FF6600"/>
            </w:tcBorders>
            <w:shd w:val="clear" w:color="auto" w:fill="FDE9D9" w:themeFill="accent6" w:themeFillTint="33"/>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华鑫信托-</w:t>
            </w:r>
            <w:proofErr w:type="gramStart"/>
            <w:r w:rsidRPr="00A21013">
              <w:rPr>
                <w:rFonts w:asciiTheme="minorEastAsia" w:hAnsiTheme="minorEastAsia" w:hint="eastAsia"/>
                <w:bCs/>
                <w:sz w:val="18"/>
                <w:szCs w:val="18"/>
              </w:rPr>
              <w:t>精熙优胜</w:t>
            </w:r>
            <w:proofErr w:type="gramEnd"/>
            <w:r w:rsidRPr="00A21013">
              <w:rPr>
                <w:rFonts w:asciiTheme="minorEastAsia" w:hAnsiTheme="minorEastAsia" w:hint="eastAsia"/>
                <w:bCs/>
                <w:sz w:val="18"/>
                <w:szCs w:val="18"/>
              </w:rPr>
              <w:t>回报1期</w:t>
            </w:r>
          </w:p>
        </w:tc>
        <w:tc>
          <w:tcPr>
            <w:tcW w:w="992"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上海精熙投资发展中心</w:t>
            </w:r>
          </w:p>
        </w:tc>
        <w:tc>
          <w:tcPr>
            <w:tcW w:w="851"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股票多头策略</w:t>
            </w:r>
          </w:p>
        </w:tc>
        <w:tc>
          <w:tcPr>
            <w:tcW w:w="850"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 xml:space="preserve">1.2519 </w:t>
            </w:r>
          </w:p>
        </w:tc>
        <w:tc>
          <w:tcPr>
            <w:tcW w:w="709"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17.01%</w:t>
            </w:r>
          </w:p>
        </w:tc>
        <w:tc>
          <w:tcPr>
            <w:tcW w:w="283"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sz w:val="18"/>
                <w:szCs w:val="18"/>
              </w:rPr>
            </w:pPr>
            <w:r w:rsidRPr="00A21013">
              <w:rPr>
                <w:rFonts w:asciiTheme="minorEastAsia" w:hAnsiTheme="minorEastAsia" w:hint="eastAsia"/>
                <w:sz w:val="18"/>
                <w:szCs w:val="18"/>
              </w:rPr>
              <w:t>10</w:t>
            </w:r>
          </w:p>
        </w:tc>
        <w:tc>
          <w:tcPr>
            <w:tcW w:w="1276" w:type="dxa"/>
            <w:tcBorders>
              <w:left w:val="single" w:sz="6" w:space="0" w:color="FF6600"/>
              <w:right w:val="single" w:sz="6" w:space="0" w:color="FF6600"/>
            </w:tcBorders>
            <w:shd w:val="clear" w:color="auto" w:fill="FDE9D9" w:themeFill="accent6" w:themeFillTint="33"/>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山东信托-</w:t>
            </w:r>
            <w:proofErr w:type="gramStart"/>
            <w:r w:rsidRPr="00A21013">
              <w:rPr>
                <w:rFonts w:asciiTheme="minorEastAsia" w:hAnsiTheme="minorEastAsia" w:hint="eastAsia"/>
                <w:bCs/>
                <w:sz w:val="18"/>
                <w:szCs w:val="18"/>
              </w:rPr>
              <w:t>泽熙3期</w:t>
            </w:r>
            <w:proofErr w:type="gramEnd"/>
          </w:p>
        </w:tc>
        <w:tc>
          <w:tcPr>
            <w:tcW w:w="992"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上海泽熙投资管理有限公司</w:t>
            </w:r>
          </w:p>
        </w:tc>
        <w:tc>
          <w:tcPr>
            <w:tcW w:w="851"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股票多头策略</w:t>
            </w:r>
          </w:p>
        </w:tc>
        <w:tc>
          <w:tcPr>
            <w:tcW w:w="850"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bCs/>
                <w:sz w:val="18"/>
                <w:szCs w:val="18"/>
              </w:rPr>
            </w:pPr>
            <w:r w:rsidRPr="00A21013">
              <w:rPr>
                <w:rFonts w:asciiTheme="minorEastAsia" w:hAnsiTheme="minorEastAsia" w:hint="eastAsia"/>
                <w:bCs/>
                <w:sz w:val="18"/>
                <w:szCs w:val="18"/>
              </w:rPr>
              <w:t>管理型</w:t>
            </w:r>
          </w:p>
        </w:tc>
        <w:tc>
          <w:tcPr>
            <w:tcW w:w="709"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 xml:space="preserve">1.4398 </w:t>
            </w:r>
          </w:p>
        </w:tc>
        <w:tc>
          <w:tcPr>
            <w:tcW w:w="850" w:type="dxa"/>
            <w:tcBorders>
              <w:left w:val="single" w:sz="6" w:space="0" w:color="FF6600"/>
              <w:right w:val="single" w:sz="6" w:space="0" w:color="FF6600"/>
            </w:tcBorders>
            <w:shd w:val="clear" w:color="auto" w:fill="auto"/>
            <w:vAlign w:val="center"/>
          </w:tcPr>
          <w:p w:rsidR="00A21013" w:rsidRPr="00A21013" w:rsidRDefault="00A21013" w:rsidP="00495D45">
            <w:pPr>
              <w:snapToGrid w:val="0"/>
              <w:jc w:val="center"/>
              <w:rPr>
                <w:rFonts w:asciiTheme="minorEastAsia" w:hAnsiTheme="minorEastAsia" w:cs="宋体"/>
                <w:sz w:val="18"/>
                <w:szCs w:val="18"/>
              </w:rPr>
            </w:pPr>
            <w:r w:rsidRPr="00A21013">
              <w:rPr>
                <w:rFonts w:asciiTheme="minorEastAsia" w:hAnsiTheme="minorEastAsia" w:hint="eastAsia"/>
                <w:sz w:val="18"/>
                <w:szCs w:val="18"/>
              </w:rPr>
              <w:t>14.91%</w:t>
            </w:r>
          </w:p>
        </w:tc>
        <w:tc>
          <w:tcPr>
            <w:tcW w:w="284" w:type="dxa"/>
            <w:tcBorders>
              <w:left w:val="single" w:sz="6" w:space="0" w:color="FF6600"/>
            </w:tcBorders>
            <w:shd w:val="clear" w:color="auto" w:fill="auto"/>
            <w:vAlign w:val="center"/>
          </w:tcPr>
          <w:p w:rsidR="00A21013" w:rsidRPr="00EA19D3" w:rsidRDefault="00A21013" w:rsidP="00495D45">
            <w:pPr>
              <w:snapToGrid w:val="0"/>
              <w:jc w:val="center"/>
              <w:rPr>
                <w:rFonts w:ascii="宋体" w:eastAsia="宋体" w:hAnsi="宋体"/>
                <w:sz w:val="18"/>
                <w:szCs w:val="18"/>
              </w:rPr>
            </w:pPr>
            <w:r>
              <w:rPr>
                <w:rFonts w:ascii="宋体" w:eastAsia="宋体" w:hAnsi="宋体" w:hint="eastAsia"/>
                <w:sz w:val="18"/>
                <w:szCs w:val="18"/>
              </w:rPr>
              <w:t>20</w:t>
            </w:r>
          </w:p>
        </w:tc>
      </w:tr>
    </w:tbl>
    <w:p w:rsidR="00EA19D3" w:rsidRPr="003629A1" w:rsidRDefault="00EA19D3" w:rsidP="00EA19D3">
      <w:pPr>
        <w:pStyle w:val="FootnoteNoline"/>
        <w:ind w:left="0"/>
        <w:rPr>
          <w:color w:val="FF6600"/>
          <w:lang w:val="en-US"/>
        </w:rPr>
      </w:pPr>
      <w:r w:rsidRPr="003629A1">
        <w:rPr>
          <w:rFonts w:hint="eastAsia"/>
          <w:color w:val="FF6600"/>
          <w:lang w:val="en-US"/>
        </w:rPr>
        <w:t>来源：</w:t>
      </w:r>
      <w:proofErr w:type="gramStart"/>
      <w:r w:rsidRPr="003629A1">
        <w:rPr>
          <w:rFonts w:hint="eastAsia"/>
          <w:color w:val="FF6600"/>
          <w:lang w:val="en-US"/>
        </w:rPr>
        <w:t>凯</w:t>
      </w:r>
      <w:proofErr w:type="gramEnd"/>
      <w:r w:rsidRPr="003629A1">
        <w:rPr>
          <w:rFonts w:hint="eastAsia"/>
          <w:color w:val="FF6600"/>
          <w:lang w:val="en-US"/>
        </w:rPr>
        <w:t>石财富工场</w:t>
      </w:r>
    </w:p>
    <w:p w:rsidR="0007052A" w:rsidRPr="00D92CE8" w:rsidRDefault="0007052A" w:rsidP="00D92CE8">
      <w:pPr>
        <w:widowControl/>
        <w:spacing w:after="120"/>
        <w:ind w:left="3430"/>
        <w:rPr>
          <w:rFonts w:ascii="Arial" w:eastAsia="楷体_GB2312" w:hAnsi="Arial"/>
          <w:b/>
          <w:bCs/>
          <w:color w:val="0070C0"/>
          <w:kern w:val="0"/>
          <w:sz w:val="24"/>
          <w:szCs w:val="20"/>
          <w:lang w:val="en-GB"/>
        </w:rPr>
      </w:pPr>
      <w:r w:rsidRPr="00D92CE8">
        <w:rPr>
          <w:rFonts w:ascii="Arial" w:eastAsia="楷体_GB2312" w:hAnsi="Arial" w:hint="eastAsia"/>
          <w:b/>
          <w:bCs/>
          <w:color w:val="0070C0"/>
          <w:kern w:val="0"/>
          <w:sz w:val="24"/>
          <w:szCs w:val="20"/>
          <w:lang w:val="en-GB"/>
        </w:rPr>
        <w:t>四、对冲基金短期策略</w:t>
      </w:r>
    </w:p>
    <w:p w:rsidR="0007052A" w:rsidRPr="00C101E9" w:rsidRDefault="00C16CC6" w:rsidP="0007052A">
      <w:pPr>
        <w:widowControl/>
        <w:spacing w:after="120"/>
        <w:ind w:left="3430"/>
        <w:rPr>
          <w:rFonts w:ascii="宋体" w:eastAsia="宋体" w:hAnsi="宋体" w:cs="宋体"/>
          <w:b/>
          <w:bCs/>
          <w:color w:val="0070C0"/>
          <w:kern w:val="0"/>
          <w:szCs w:val="21"/>
          <w:lang w:val="en-GB"/>
        </w:rPr>
      </w:pPr>
      <w:r>
        <w:rPr>
          <w:rFonts w:ascii="宋体" w:eastAsia="宋体" w:hAnsi="宋体" w:cs="宋体" w:hint="eastAsia"/>
          <w:b/>
          <w:bCs/>
          <w:color w:val="0070C0"/>
          <w:kern w:val="0"/>
          <w:szCs w:val="21"/>
          <w:lang w:val="en-GB"/>
        </w:rPr>
        <w:t>关注</w:t>
      </w:r>
      <w:r w:rsidR="00AE1F5D">
        <w:rPr>
          <w:rFonts w:ascii="宋体" w:eastAsia="宋体" w:hAnsi="宋体" w:cs="宋体" w:hint="eastAsia"/>
          <w:b/>
          <w:bCs/>
          <w:color w:val="0070C0"/>
          <w:kern w:val="0"/>
          <w:szCs w:val="21"/>
          <w:lang w:val="en-GB"/>
        </w:rPr>
        <w:t>“两会”</w:t>
      </w:r>
      <w:r w:rsidR="000D3FAC">
        <w:rPr>
          <w:rFonts w:ascii="宋体" w:eastAsia="宋体" w:hAnsi="宋体" w:cs="宋体" w:hint="eastAsia"/>
          <w:b/>
          <w:bCs/>
          <w:color w:val="0070C0"/>
          <w:kern w:val="0"/>
          <w:szCs w:val="21"/>
          <w:lang w:val="en-GB"/>
        </w:rPr>
        <w:t>后续落实</w:t>
      </w:r>
      <w:r w:rsidR="00AE1F5D">
        <w:rPr>
          <w:rFonts w:ascii="宋体" w:eastAsia="宋体" w:hAnsi="宋体" w:cs="宋体" w:hint="eastAsia"/>
          <w:b/>
          <w:bCs/>
          <w:color w:val="0070C0"/>
          <w:kern w:val="0"/>
          <w:szCs w:val="21"/>
          <w:lang w:val="en-GB"/>
        </w:rPr>
        <w:t>，</w:t>
      </w:r>
      <w:r w:rsidR="000D3FAC">
        <w:rPr>
          <w:rFonts w:ascii="宋体" w:eastAsia="宋体" w:hAnsi="宋体" w:cs="宋体" w:hint="eastAsia"/>
          <w:b/>
          <w:bCs/>
          <w:color w:val="0070C0"/>
          <w:kern w:val="0"/>
          <w:szCs w:val="21"/>
          <w:lang w:val="en-GB"/>
        </w:rPr>
        <w:t>阶段</w:t>
      </w:r>
      <w:r>
        <w:rPr>
          <w:rFonts w:ascii="宋体" w:eastAsia="宋体" w:hAnsi="宋体" w:cs="宋体" w:hint="eastAsia"/>
          <w:b/>
          <w:bCs/>
          <w:color w:val="0070C0"/>
          <w:kern w:val="0"/>
          <w:szCs w:val="21"/>
          <w:lang w:val="en-GB"/>
        </w:rPr>
        <w:t>增配蓝筹风格</w:t>
      </w:r>
    </w:p>
    <w:p w:rsidR="00B72CE8" w:rsidRPr="00B72CE8" w:rsidRDefault="00B72CE8" w:rsidP="00517B34">
      <w:pPr>
        <w:pStyle w:val="ac"/>
        <w:numPr>
          <w:ilvl w:val="4"/>
          <w:numId w:val="1"/>
        </w:numPr>
        <w:spacing w:after="163"/>
        <w:rPr>
          <w:rFonts w:eastAsiaTheme="minorEastAsia"/>
          <w:color w:val="auto"/>
        </w:rPr>
      </w:pPr>
      <w:r>
        <w:rPr>
          <w:rFonts w:eastAsiaTheme="minorEastAsia" w:hint="eastAsia"/>
          <w:lang w:val="en-US"/>
        </w:rPr>
        <w:t>目前，宏观经济指标显示经济景气度仍在持续</w:t>
      </w:r>
      <w:r w:rsidRPr="003E096A">
        <w:rPr>
          <w:rFonts w:eastAsiaTheme="minorEastAsia" w:hint="eastAsia"/>
          <w:lang w:val="en-US"/>
        </w:rPr>
        <w:t>走低，</w:t>
      </w:r>
      <w:r>
        <w:rPr>
          <w:rFonts w:hint="eastAsia"/>
          <w:szCs w:val="21"/>
        </w:rPr>
        <w:t>2</w:t>
      </w:r>
      <w:r>
        <w:rPr>
          <w:rFonts w:ascii="宋体" w:eastAsia="宋体" w:hAnsi="宋体" w:cs="宋体" w:hint="eastAsia"/>
          <w:szCs w:val="21"/>
        </w:rPr>
        <w:t>月汇丰中国制造业</w:t>
      </w:r>
      <w:r>
        <w:rPr>
          <w:rFonts w:hint="eastAsia"/>
          <w:szCs w:val="21"/>
        </w:rPr>
        <w:t>PMI</w:t>
      </w:r>
      <w:r>
        <w:rPr>
          <w:rFonts w:ascii="宋体" w:eastAsia="宋体" w:hAnsi="宋体" w:cs="宋体" w:hint="eastAsia"/>
          <w:szCs w:val="21"/>
        </w:rPr>
        <w:t>终值为</w:t>
      </w:r>
      <w:r>
        <w:rPr>
          <w:rFonts w:hint="eastAsia"/>
          <w:szCs w:val="21"/>
        </w:rPr>
        <w:t>48.5</w:t>
      </w:r>
      <w:r>
        <w:rPr>
          <w:rFonts w:ascii="宋体" w:eastAsia="宋体" w:hAnsi="宋体" w:cs="宋体" w:hint="eastAsia"/>
          <w:szCs w:val="21"/>
        </w:rPr>
        <w:t>，较</w:t>
      </w:r>
      <w:r w:rsidRPr="00B72CE8">
        <w:rPr>
          <w:rFonts w:hint="eastAsia"/>
          <w:szCs w:val="21"/>
        </w:rPr>
        <w:t>1</w:t>
      </w:r>
      <w:r w:rsidRPr="00B72CE8">
        <w:rPr>
          <w:rFonts w:hint="eastAsia"/>
          <w:szCs w:val="21"/>
        </w:rPr>
        <w:t>月</w:t>
      </w:r>
      <w:r>
        <w:rPr>
          <w:rFonts w:hint="eastAsia"/>
          <w:szCs w:val="21"/>
        </w:rPr>
        <w:t>进一步下行，</w:t>
      </w:r>
      <w:r>
        <w:rPr>
          <w:rFonts w:ascii="宋体" w:eastAsia="宋体" w:hAnsi="宋体" w:cs="宋体" w:hint="eastAsia"/>
          <w:szCs w:val="21"/>
        </w:rPr>
        <w:t>创下最近</w:t>
      </w:r>
      <w:r>
        <w:rPr>
          <w:rFonts w:hint="eastAsia"/>
          <w:szCs w:val="21"/>
        </w:rPr>
        <w:t>7</w:t>
      </w:r>
      <w:r>
        <w:rPr>
          <w:rFonts w:ascii="宋体" w:eastAsia="宋体" w:hAnsi="宋体" w:cs="宋体" w:hint="eastAsia"/>
          <w:szCs w:val="21"/>
        </w:rPr>
        <w:t>个月的最低点；</w:t>
      </w:r>
      <w:r w:rsidRPr="003E096A">
        <w:rPr>
          <w:rFonts w:eastAsiaTheme="minorEastAsia" w:hint="eastAsia"/>
          <w:lang w:val="en-US"/>
        </w:rPr>
        <w:t>全球新兴资本市场受</w:t>
      </w:r>
      <w:r w:rsidRPr="003E096A">
        <w:rPr>
          <w:rFonts w:eastAsiaTheme="minorEastAsia" w:hint="eastAsia"/>
          <w:lang w:val="en-US"/>
        </w:rPr>
        <w:t>QE</w:t>
      </w:r>
      <w:r>
        <w:rPr>
          <w:rFonts w:eastAsiaTheme="minorEastAsia" w:hint="eastAsia"/>
          <w:lang w:val="en-US"/>
        </w:rPr>
        <w:t>退出影响，全球市场流动性逐渐紧张，主要指数都出现了大幅下挫；叠加</w:t>
      </w:r>
      <w:r w:rsidRPr="003E096A">
        <w:rPr>
          <w:rFonts w:eastAsiaTheme="minorEastAsia" w:hint="eastAsia"/>
          <w:lang w:val="en-US"/>
        </w:rPr>
        <w:t>IPO</w:t>
      </w:r>
      <w:r w:rsidRPr="003E096A">
        <w:rPr>
          <w:rFonts w:eastAsiaTheme="minorEastAsia" w:hint="eastAsia"/>
          <w:lang w:val="en-US"/>
        </w:rPr>
        <w:t>重启</w:t>
      </w:r>
      <w:r>
        <w:rPr>
          <w:rFonts w:eastAsiaTheme="minorEastAsia" w:hint="eastAsia"/>
          <w:lang w:val="en-US"/>
        </w:rPr>
        <w:t>、</w:t>
      </w:r>
      <w:r w:rsidRPr="00526896">
        <w:rPr>
          <w:rFonts w:ascii="宋体" w:eastAsia="宋体" w:hAnsi="宋体" w:cs="宋体" w:hint="eastAsia"/>
          <w:lang w:val="en-US"/>
        </w:rPr>
        <w:t>杭州多个楼盘降价抛售、兴业银行暂停房地产贷款相关业务、人民币快速大幅贬值、央行回笼资金等多重</w:t>
      </w:r>
      <w:r>
        <w:rPr>
          <w:rFonts w:ascii="宋体" w:eastAsia="宋体" w:hAnsi="宋体" w:cs="宋体" w:hint="eastAsia"/>
          <w:lang w:val="en-US"/>
        </w:rPr>
        <w:t>负面因素，</w:t>
      </w:r>
      <w:r w:rsidRPr="003E096A">
        <w:rPr>
          <w:rFonts w:eastAsiaTheme="minorEastAsia" w:hint="eastAsia"/>
          <w:lang w:val="en-US"/>
        </w:rPr>
        <w:t>A</w:t>
      </w:r>
      <w:r w:rsidRPr="003E096A">
        <w:rPr>
          <w:rFonts w:eastAsiaTheme="minorEastAsia" w:hint="eastAsia"/>
          <w:lang w:val="en-US"/>
        </w:rPr>
        <w:t>股</w:t>
      </w:r>
      <w:r>
        <w:rPr>
          <w:rFonts w:eastAsiaTheme="minorEastAsia" w:hint="eastAsia"/>
          <w:lang w:val="en-US"/>
        </w:rPr>
        <w:t>只有频频下跌</w:t>
      </w:r>
      <w:r w:rsidRPr="003E096A">
        <w:rPr>
          <w:rFonts w:eastAsiaTheme="minorEastAsia" w:hint="eastAsia"/>
          <w:lang w:val="en-US"/>
        </w:rPr>
        <w:t>来消化利空</w:t>
      </w:r>
      <w:r w:rsidR="009A72F8">
        <w:rPr>
          <w:rFonts w:eastAsiaTheme="minorEastAsia" w:hint="eastAsia"/>
          <w:lang w:val="en-US"/>
        </w:rPr>
        <w:t>，</w:t>
      </w:r>
      <w:r w:rsidR="009A72F8">
        <w:rPr>
          <w:rFonts w:ascii="宋体" w:eastAsia="宋体" w:hAnsi="宋体" w:cs="宋体" w:hint="eastAsia"/>
          <w:color w:val="252525"/>
          <w:szCs w:val="21"/>
        </w:rPr>
        <w:t>以创业板为代表的成长股</w:t>
      </w:r>
      <w:r w:rsidR="00C92123">
        <w:rPr>
          <w:rFonts w:ascii="宋体" w:eastAsia="宋体" w:hAnsi="宋体" w:cs="宋体" w:hint="eastAsia"/>
          <w:color w:val="252525"/>
          <w:szCs w:val="21"/>
        </w:rPr>
        <w:t>停止</w:t>
      </w:r>
      <w:r w:rsidR="009A72F8">
        <w:rPr>
          <w:rFonts w:ascii="宋体" w:eastAsia="宋体" w:hAnsi="宋体" w:cs="宋体" w:hint="eastAsia"/>
          <w:color w:val="252525"/>
          <w:szCs w:val="21"/>
        </w:rPr>
        <w:t>高歌猛进，出现阶段性</w:t>
      </w:r>
      <w:r w:rsidR="00C92123">
        <w:rPr>
          <w:rFonts w:ascii="宋体" w:eastAsia="宋体" w:hAnsi="宋体" w:cs="宋体" w:hint="eastAsia"/>
          <w:color w:val="252525"/>
          <w:szCs w:val="21"/>
        </w:rPr>
        <w:t>较大幅度</w:t>
      </w:r>
      <w:r w:rsidR="009A72F8">
        <w:rPr>
          <w:rFonts w:ascii="宋体" w:eastAsia="宋体" w:hAnsi="宋体" w:cs="宋体" w:hint="eastAsia"/>
          <w:color w:val="252525"/>
          <w:szCs w:val="21"/>
        </w:rPr>
        <w:t>回调</w:t>
      </w:r>
      <w:r w:rsidRPr="003E096A">
        <w:rPr>
          <w:rFonts w:eastAsiaTheme="minorEastAsia" w:hint="eastAsia"/>
          <w:lang w:val="en-US"/>
        </w:rPr>
        <w:t>。</w:t>
      </w:r>
      <w:r>
        <w:rPr>
          <w:rFonts w:eastAsiaTheme="minorEastAsia" w:hint="eastAsia"/>
          <w:lang w:val="en-US"/>
        </w:rPr>
        <w:t>不过，</w:t>
      </w:r>
      <w:r w:rsidRPr="003E096A">
        <w:rPr>
          <w:rFonts w:eastAsiaTheme="minorEastAsia" w:hint="eastAsia"/>
          <w:lang w:val="en-US"/>
        </w:rPr>
        <w:t>年报利好、即将召开的两会</w:t>
      </w:r>
      <w:r w:rsidR="009A72F8">
        <w:rPr>
          <w:rFonts w:eastAsiaTheme="minorEastAsia" w:hint="eastAsia"/>
          <w:lang w:val="en-US"/>
        </w:rPr>
        <w:t>等因素</w:t>
      </w:r>
      <w:r>
        <w:rPr>
          <w:rFonts w:eastAsiaTheme="minorEastAsia" w:hint="eastAsia"/>
          <w:lang w:val="en-US"/>
        </w:rPr>
        <w:t>触发市场对于未来短期</w:t>
      </w:r>
      <w:r w:rsidRPr="003E096A">
        <w:rPr>
          <w:rFonts w:eastAsiaTheme="minorEastAsia" w:hint="eastAsia"/>
          <w:lang w:val="en-US"/>
        </w:rPr>
        <w:t>上涨</w:t>
      </w:r>
      <w:r>
        <w:rPr>
          <w:rFonts w:eastAsiaTheme="minorEastAsia" w:hint="eastAsia"/>
          <w:lang w:val="en-US"/>
        </w:rPr>
        <w:t>的预期</w:t>
      </w:r>
      <w:r w:rsidRPr="003E096A">
        <w:rPr>
          <w:rFonts w:eastAsiaTheme="minorEastAsia" w:hint="eastAsia"/>
          <w:lang w:val="en-US"/>
        </w:rPr>
        <w:t>。</w:t>
      </w:r>
    </w:p>
    <w:p w:rsidR="00C16CC6" w:rsidRPr="000D3FAC" w:rsidRDefault="00C92123" w:rsidP="00517B34">
      <w:pPr>
        <w:pStyle w:val="ac"/>
        <w:numPr>
          <w:ilvl w:val="4"/>
          <w:numId w:val="1"/>
        </w:numPr>
        <w:spacing w:after="163"/>
        <w:rPr>
          <w:rFonts w:eastAsiaTheme="minorEastAsia"/>
          <w:color w:val="auto"/>
        </w:rPr>
      </w:pPr>
      <w:r>
        <w:rPr>
          <w:rFonts w:ascii="宋体" w:eastAsia="宋体" w:hAnsi="宋体" w:cs="宋体" w:hint="eastAsia"/>
          <w:color w:val="252525"/>
          <w:szCs w:val="21"/>
        </w:rPr>
        <w:t>成长股杀</w:t>
      </w:r>
      <w:proofErr w:type="gramStart"/>
      <w:r>
        <w:rPr>
          <w:rFonts w:ascii="宋体" w:eastAsia="宋体" w:hAnsi="宋体" w:cs="宋体" w:hint="eastAsia"/>
          <w:color w:val="252525"/>
          <w:szCs w:val="21"/>
        </w:rPr>
        <w:t>跌风险</w:t>
      </w:r>
      <w:proofErr w:type="gramEnd"/>
      <w:r>
        <w:rPr>
          <w:rFonts w:ascii="宋体" w:eastAsia="宋体" w:hAnsi="宋体" w:cs="宋体" w:hint="eastAsia"/>
          <w:color w:val="252525"/>
          <w:szCs w:val="21"/>
        </w:rPr>
        <w:t>增加，蓝筹股则有望迎来投资窗口。目前</w:t>
      </w:r>
      <w:r w:rsidR="00C16CC6">
        <w:rPr>
          <w:rFonts w:ascii="宋体" w:eastAsia="宋体" w:hAnsi="宋体" w:cs="宋体" w:hint="eastAsia"/>
          <w:color w:val="252525"/>
          <w:szCs w:val="21"/>
        </w:rPr>
        <w:t>依托两会背景</w:t>
      </w:r>
      <w:r w:rsidR="000D3FAC">
        <w:rPr>
          <w:rFonts w:ascii="宋体" w:eastAsia="宋体" w:hAnsi="宋体" w:cs="宋体" w:hint="eastAsia"/>
          <w:color w:val="252525"/>
          <w:szCs w:val="21"/>
        </w:rPr>
        <w:t>，</w:t>
      </w:r>
      <w:r w:rsidR="00C16CC6">
        <w:rPr>
          <w:rFonts w:ascii="宋体" w:eastAsia="宋体" w:hAnsi="宋体" w:cs="宋体" w:hint="eastAsia"/>
          <w:color w:val="252525"/>
          <w:szCs w:val="21"/>
        </w:rPr>
        <w:t>市场关注点部分集中于深化改革方面，以中石化为代表的国企改革更是推动蓝筹股相对走强</w:t>
      </w:r>
      <w:r w:rsidR="00D6532C">
        <w:rPr>
          <w:rFonts w:ascii="宋体" w:eastAsia="宋体" w:hAnsi="宋体" w:cs="宋体" w:hint="eastAsia"/>
          <w:color w:val="252525"/>
          <w:szCs w:val="21"/>
        </w:rPr>
        <w:t>。此外，</w:t>
      </w:r>
      <w:r w:rsidR="00C16CC6">
        <w:rPr>
          <w:rFonts w:hint="eastAsia"/>
          <w:color w:val="252525"/>
          <w:szCs w:val="21"/>
        </w:rPr>
        <w:t>A</w:t>
      </w:r>
      <w:proofErr w:type="gramStart"/>
      <w:r w:rsidR="00C16CC6">
        <w:rPr>
          <w:rFonts w:ascii="宋体" w:eastAsia="宋体" w:hAnsi="宋体" w:cs="宋体" w:hint="eastAsia"/>
          <w:color w:val="252525"/>
          <w:szCs w:val="21"/>
        </w:rPr>
        <w:t>股推进</w:t>
      </w:r>
      <w:proofErr w:type="gramEnd"/>
      <w:r w:rsidR="00C16CC6">
        <w:rPr>
          <w:rFonts w:ascii="Times New Roman" w:hAnsi="Times New Roman"/>
          <w:color w:val="252525"/>
          <w:szCs w:val="21"/>
        </w:rPr>
        <w:t>“</w:t>
      </w:r>
      <w:r w:rsidR="00C16CC6">
        <w:rPr>
          <w:rFonts w:hint="eastAsia"/>
          <w:color w:val="252525"/>
          <w:szCs w:val="21"/>
        </w:rPr>
        <w:t>T+0</w:t>
      </w:r>
      <w:r w:rsidR="00C16CC6">
        <w:rPr>
          <w:rFonts w:hint="eastAsia"/>
          <w:color w:val="252525"/>
          <w:szCs w:val="21"/>
        </w:rPr>
        <w:t>”</w:t>
      </w:r>
      <w:r w:rsidR="00C16CC6">
        <w:rPr>
          <w:rFonts w:ascii="宋体" w:eastAsia="宋体" w:hAnsi="宋体" w:cs="宋体" w:hint="eastAsia"/>
          <w:color w:val="252525"/>
          <w:szCs w:val="21"/>
        </w:rPr>
        <w:t>试点</w:t>
      </w:r>
      <w:r w:rsidR="00D6532C">
        <w:rPr>
          <w:rFonts w:ascii="宋体" w:eastAsia="宋体" w:hAnsi="宋体" w:cs="宋体" w:hint="eastAsia"/>
          <w:color w:val="252525"/>
          <w:szCs w:val="21"/>
        </w:rPr>
        <w:t>的</w:t>
      </w:r>
      <w:r w:rsidR="00C16CC6">
        <w:rPr>
          <w:rFonts w:ascii="宋体" w:eastAsia="宋体" w:hAnsi="宋体" w:cs="宋体" w:hint="eastAsia"/>
          <w:color w:val="252525"/>
          <w:szCs w:val="21"/>
        </w:rPr>
        <w:t>预期有望短期进一步对大盘蓝</w:t>
      </w:r>
      <w:proofErr w:type="gramStart"/>
      <w:r w:rsidR="00C16CC6">
        <w:rPr>
          <w:rFonts w:ascii="宋体" w:eastAsia="宋体" w:hAnsi="宋体" w:cs="宋体" w:hint="eastAsia"/>
          <w:color w:val="252525"/>
          <w:szCs w:val="21"/>
        </w:rPr>
        <w:t>筹构成</w:t>
      </w:r>
      <w:proofErr w:type="gramEnd"/>
      <w:r w:rsidR="00C16CC6">
        <w:rPr>
          <w:rFonts w:ascii="宋体" w:eastAsia="宋体" w:hAnsi="宋体" w:cs="宋体" w:hint="eastAsia"/>
          <w:color w:val="252525"/>
          <w:szCs w:val="21"/>
        </w:rPr>
        <w:t>支撑</w:t>
      </w:r>
      <w:r w:rsidR="00D6532C">
        <w:rPr>
          <w:rFonts w:ascii="宋体" w:eastAsia="宋体" w:hAnsi="宋体" w:cs="宋体" w:hint="eastAsia"/>
          <w:color w:val="252525"/>
          <w:szCs w:val="21"/>
        </w:rPr>
        <w:t>。因此，</w:t>
      </w:r>
      <w:r w:rsidR="00C16CC6">
        <w:rPr>
          <w:rFonts w:ascii="宋体" w:eastAsia="宋体" w:hAnsi="宋体" w:cs="宋体" w:hint="eastAsia"/>
          <w:szCs w:val="21"/>
        </w:rPr>
        <w:t>建议</w:t>
      </w:r>
      <w:r w:rsidR="00C16CC6" w:rsidRPr="000343EA">
        <w:rPr>
          <w:rFonts w:ascii="宋体" w:eastAsia="宋体" w:hAnsi="宋体" w:cs="宋体" w:hint="eastAsia"/>
          <w:szCs w:val="21"/>
        </w:rPr>
        <w:t>阶段适当增配</w:t>
      </w:r>
      <w:r w:rsidR="00C16CC6">
        <w:rPr>
          <w:rFonts w:ascii="宋体" w:eastAsia="宋体" w:hAnsi="宋体" w:cs="宋体" w:hint="eastAsia"/>
          <w:szCs w:val="21"/>
        </w:rPr>
        <w:t>涉及国企改革主要领域的</w:t>
      </w:r>
      <w:r w:rsidR="00C16CC6" w:rsidRPr="000343EA">
        <w:rPr>
          <w:rFonts w:ascii="宋体" w:eastAsia="宋体" w:hAnsi="宋体" w:cs="宋体" w:hint="eastAsia"/>
          <w:szCs w:val="21"/>
        </w:rPr>
        <w:t>蓝</w:t>
      </w:r>
      <w:proofErr w:type="gramStart"/>
      <w:r w:rsidR="00C16CC6" w:rsidRPr="000343EA">
        <w:rPr>
          <w:rFonts w:ascii="宋体" w:eastAsia="宋体" w:hAnsi="宋体" w:cs="宋体" w:hint="eastAsia"/>
          <w:szCs w:val="21"/>
        </w:rPr>
        <w:t>筹风格</w:t>
      </w:r>
      <w:proofErr w:type="gramEnd"/>
      <w:r w:rsidR="00C16CC6" w:rsidRPr="000343EA">
        <w:rPr>
          <w:rFonts w:ascii="宋体" w:eastAsia="宋体" w:hAnsi="宋体" w:cs="宋体" w:hint="eastAsia"/>
          <w:szCs w:val="21"/>
        </w:rPr>
        <w:t>基金</w:t>
      </w:r>
      <w:r w:rsidR="00C16CC6" w:rsidRPr="0093171D">
        <w:rPr>
          <w:rFonts w:ascii="宋体" w:eastAsia="宋体" w:hAnsi="宋体" w:cs="宋体" w:hint="eastAsia"/>
          <w:szCs w:val="21"/>
        </w:rPr>
        <w:t>。</w:t>
      </w:r>
      <w:r>
        <w:rPr>
          <w:rFonts w:ascii="宋体" w:eastAsia="宋体" w:hAnsi="宋体" w:cs="宋体" w:hint="eastAsia"/>
          <w:szCs w:val="21"/>
        </w:rPr>
        <w:t>但值得注意的是</w:t>
      </w:r>
      <w:r w:rsidR="00C16CC6">
        <w:rPr>
          <w:rFonts w:ascii="宋体" w:eastAsia="宋体" w:hAnsi="宋体" w:cs="宋体" w:hint="eastAsia"/>
          <w:szCs w:val="21"/>
        </w:rPr>
        <w:t>，</w:t>
      </w:r>
      <w:r w:rsidR="00C16CC6" w:rsidRPr="00653284">
        <w:rPr>
          <w:rFonts w:ascii="宋体" w:eastAsia="宋体" w:hAnsi="宋体" w:cs="宋体" w:hint="eastAsia"/>
          <w:szCs w:val="21"/>
        </w:rPr>
        <w:t>如果</w:t>
      </w:r>
      <w:r>
        <w:rPr>
          <w:rFonts w:ascii="宋体" w:eastAsia="宋体" w:hAnsi="宋体" w:cs="宋体" w:hint="eastAsia"/>
          <w:szCs w:val="21"/>
        </w:rPr>
        <w:t>“两会”</w:t>
      </w:r>
      <w:r w:rsidR="00C16CC6">
        <w:rPr>
          <w:rFonts w:ascii="宋体" w:eastAsia="宋体" w:hAnsi="宋体" w:cs="宋体" w:hint="eastAsia"/>
          <w:szCs w:val="21"/>
        </w:rPr>
        <w:t>后续</w:t>
      </w:r>
      <w:r w:rsidR="00C16CC6" w:rsidRPr="00653284">
        <w:rPr>
          <w:rFonts w:ascii="宋体" w:eastAsia="宋体" w:hAnsi="宋体" w:cs="宋体" w:hint="eastAsia"/>
          <w:szCs w:val="21"/>
        </w:rPr>
        <w:t>没有实质性内容出台，</w:t>
      </w:r>
      <w:r w:rsidR="00C16CC6">
        <w:rPr>
          <w:rFonts w:ascii="宋体" w:eastAsia="宋体" w:hAnsi="宋体" w:cs="宋体" w:hint="eastAsia"/>
          <w:szCs w:val="21"/>
        </w:rPr>
        <w:t>改革</w:t>
      </w:r>
      <w:r w:rsidR="00980996">
        <w:rPr>
          <w:rFonts w:ascii="宋体" w:eastAsia="宋体" w:hAnsi="宋体" w:cs="宋体" w:hint="eastAsia"/>
          <w:szCs w:val="21"/>
        </w:rPr>
        <w:t>主题的投资热度将逐步冷却</w:t>
      </w:r>
      <w:r w:rsidR="00C16CC6" w:rsidRPr="00653284">
        <w:rPr>
          <w:rFonts w:ascii="宋体" w:eastAsia="宋体" w:hAnsi="宋体" w:cs="宋体" w:hint="eastAsia"/>
          <w:szCs w:val="21"/>
        </w:rPr>
        <w:t>，市场风格</w:t>
      </w:r>
      <w:r w:rsidR="00C16CC6">
        <w:rPr>
          <w:rFonts w:ascii="宋体" w:eastAsia="宋体" w:hAnsi="宋体" w:cs="宋体" w:hint="eastAsia"/>
          <w:szCs w:val="21"/>
        </w:rPr>
        <w:t>将</w:t>
      </w:r>
      <w:r w:rsidR="00C16CC6" w:rsidRPr="00653284">
        <w:rPr>
          <w:rFonts w:ascii="宋体" w:eastAsia="宋体" w:hAnsi="宋体" w:cs="宋体" w:hint="eastAsia"/>
          <w:szCs w:val="21"/>
        </w:rPr>
        <w:t>继续追逐</w:t>
      </w:r>
      <w:r w:rsidR="00C16CC6">
        <w:rPr>
          <w:rFonts w:ascii="宋体" w:eastAsia="宋体" w:hAnsi="宋体" w:cs="宋体" w:hint="eastAsia"/>
          <w:szCs w:val="21"/>
        </w:rPr>
        <w:t>成长股的投资机会</w:t>
      </w:r>
      <w:r w:rsidR="00C16CC6" w:rsidRPr="00653284">
        <w:rPr>
          <w:rFonts w:ascii="宋体" w:eastAsia="宋体" w:hAnsi="宋体" w:cs="宋体" w:hint="eastAsia"/>
          <w:szCs w:val="21"/>
        </w:rPr>
        <w:t>。</w:t>
      </w:r>
    </w:p>
    <w:p w:rsidR="000D3FAC" w:rsidRPr="00CE75AA" w:rsidRDefault="00CE75AA" w:rsidP="00517B34">
      <w:pPr>
        <w:pStyle w:val="ac"/>
        <w:numPr>
          <w:ilvl w:val="4"/>
          <w:numId w:val="1"/>
        </w:numPr>
        <w:spacing w:after="163"/>
        <w:rPr>
          <w:rFonts w:eastAsiaTheme="minorEastAsia"/>
          <w:color w:val="auto"/>
        </w:rPr>
      </w:pPr>
      <w:r>
        <w:rPr>
          <w:rFonts w:ascii="宋体" w:eastAsia="宋体" w:hAnsi="宋体" w:cs="宋体" w:hint="eastAsia"/>
          <w:szCs w:val="21"/>
        </w:rPr>
        <w:t>具体来看，</w:t>
      </w:r>
      <w:r w:rsidR="0041489E">
        <w:rPr>
          <w:rFonts w:ascii="宋体" w:eastAsia="宋体" w:hAnsi="宋体" w:cs="宋体" w:hint="eastAsia"/>
          <w:szCs w:val="21"/>
        </w:rPr>
        <w:t>短期重点关注</w:t>
      </w:r>
      <w:r w:rsidR="000D3FAC">
        <w:rPr>
          <w:rFonts w:ascii="宋体" w:eastAsia="宋体" w:hAnsi="宋体" w:cs="宋体" w:hint="eastAsia"/>
          <w:szCs w:val="21"/>
        </w:rPr>
        <w:t>两会将明确</w:t>
      </w:r>
      <w:r w:rsidR="0041489E">
        <w:rPr>
          <w:rFonts w:ascii="宋体" w:eastAsia="宋体" w:hAnsi="宋体" w:cs="宋体" w:hint="eastAsia"/>
          <w:szCs w:val="21"/>
        </w:rPr>
        <w:t>的改革</w:t>
      </w:r>
      <w:r w:rsidR="001F4BB3">
        <w:rPr>
          <w:rFonts w:ascii="宋体" w:eastAsia="宋体" w:hAnsi="宋体" w:cs="宋体" w:hint="eastAsia"/>
          <w:szCs w:val="21"/>
        </w:rPr>
        <w:t>具体方向和日程表。今年两会最受瞩目的主题就是国企改革，</w:t>
      </w:r>
      <w:r w:rsidR="001F4BB3">
        <w:rPr>
          <w:rFonts w:ascii="宋体" w:eastAsia="宋体" w:hAnsi="宋体" w:cs="宋体" w:hint="eastAsia"/>
        </w:rPr>
        <w:t>短期内</w:t>
      </w:r>
      <w:r w:rsidR="000D3FAC" w:rsidRPr="005F04F3">
        <w:rPr>
          <w:rFonts w:ascii="宋体" w:eastAsia="宋体" w:hAnsi="宋体" w:cs="宋体" w:hint="eastAsia"/>
        </w:rPr>
        <w:t>与之相关的石油化工、电信、电力、汽车、化工</w:t>
      </w:r>
      <w:r w:rsidR="000D3FAC">
        <w:rPr>
          <w:rFonts w:ascii="宋体" w:eastAsia="宋体" w:hAnsi="宋体" w:cs="宋体" w:hint="eastAsia"/>
        </w:rPr>
        <w:t>、</w:t>
      </w:r>
      <w:r w:rsidR="000D3FAC" w:rsidRPr="005F04F3">
        <w:rPr>
          <w:rFonts w:ascii="宋体" w:eastAsia="宋体" w:hAnsi="宋体" w:cs="宋体" w:hint="eastAsia"/>
        </w:rPr>
        <w:t>医药生物等多个板块及个股的投资机会将会涌现。</w:t>
      </w:r>
      <w:r w:rsidR="00D6532C">
        <w:rPr>
          <w:rFonts w:ascii="宋体" w:eastAsia="宋体" w:hAnsi="宋体" w:cs="宋体" w:hint="eastAsia"/>
        </w:rPr>
        <w:t>反映到对冲基金组合搭建上，</w:t>
      </w:r>
      <w:proofErr w:type="gramStart"/>
      <w:r w:rsidR="00D6532C">
        <w:rPr>
          <w:rFonts w:ascii="宋体" w:eastAsia="宋体" w:hAnsi="宋体" w:cs="宋体" w:hint="eastAsia"/>
        </w:rPr>
        <w:t>凯石工场建议</w:t>
      </w:r>
      <w:proofErr w:type="gramEnd"/>
      <w:r w:rsidR="00D6532C">
        <w:rPr>
          <w:rFonts w:ascii="宋体" w:eastAsia="宋体" w:hAnsi="宋体" w:cs="宋体" w:hint="eastAsia"/>
        </w:rPr>
        <w:t>投资者整体保持稳健</w:t>
      </w:r>
      <w:r w:rsidR="0041489E">
        <w:rPr>
          <w:rFonts w:ascii="宋体" w:eastAsia="宋体" w:hAnsi="宋体" w:cs="宋体" w:hint="eastAsia"/>
        </w:rPr>
        <w:t>，</w:t>
      </w:r>
      <w:r w:rsidR="00932305">
        <w:rPr>
          <w:rFonts w:ascii="宋体" w:eastAsia="宋体" w:hAnsi="宋体" w:cs="宋体" w:hint="eastAsia"/>
        </w:rPr>
        <w:t>将组合风险水平锁定在中~中高风险；</w:t>
      </w:r>
      <w:r>
        <w:rPr>
          <w:rFonts w:ascii="宋体" w:eastAsia="宋体" w:hAnsi="宋体" w:cs="宋体" w:hint="eastAsia"/>
        </w:rPr>
        <w:t>以</w:t>
      </w:r>
      <w:r w:rsidR="0041489E">
        <w:rPr>
          <w:rFonts w:ascii="宋体" w:eastAsia="宋体" w:hAnsi="宋体" w:cs="宋体" w:hint="eastAsia"/>
        </w:rPr>
        <w:t>擅于</w:t>
      </w:r>
      <w:r w:rsidR="000D3FAC" w:rsidRPr="005F04F3">
        <w:rPr>
          <w:rFonts w:ascii="宋体" w:eastAsia="宋体" w:hAnsi="宋体" w:cs="宋体" w:hint="eastAsia"/>
        </w:rPr>
        <w:t>把握主题型性</w:t>
      </w:r>
      <w:r w:rsidR="000D3FAC" w:rsidRPr="005F04F3">
        <w:t>/</w:t>
      </w:r>
      <w:r w:rsidR="0041489E">
        <w:rPr>
          <w:rFonts w:ascii="宋体" w:eastAsia="宋体" w:hAnsi="宋体" w:cs="宋体" w:hint="eastAsia"/>
        </w:rPr>
        <w:t>结构性</w:t>
      </w:r>
      <w:r w:rsidR="000D3FAC" w:rsidRPr="005F04F3">
        <w:rPr>
          <w:rFonts w:ascii="宋体" w:eastAsia="宋体" w:hAnsi="宋体" w:cs="宋体" w:hint="eastAsia"/>
        </w:rPr>
        <w:t>投资机会</w:t>
      </w:r>
      <w:r w:rsidR="0041489E">
        <w:rPr>
          <w:rFonts w:ascii="宋体" w:eastAsia="宋体" w:hAnsi="宋体" w:cs="宋体" w:hint="eastAsia"/>
        </w:rPr>
        <w:t>的灵活型对冲基金</w:t>
      </w:r>
      <w:r w:rsidR="001F4BB3">
        <w:rPr>
          <w:rFonts w:ascii="宋体" w:eastAsia="宋体" w:hAnsi="宋体" w:cs="宋体" w:hint="eastAsia"/>
        </w:rPr>
        <w:t>为核心，同时阶段性地</w:t>
      </w:r>
      <w:r>
        <w:rPr>
          <w:rFonts w:ascii="宋体" w:eastAsia="宋体" w:hAnsi="宋体" w:cs="宋体" w:hint="eastAsia"/>
        </w:rPr>
        <w:t>增配风格偏蓝筹的基金品种，</w:t>
      </w:r>
      <w:r>
        <w:rPr>
          <w:rFonts w:eastAsiaTheme="minorEastAsia" w:hint="eastAsia"/>
          <w:color w:val="auto"/>
          <w:lang w:val="en-US"/>
        </w:rPr>
        <w:t>从而有效</w:t>
      </w:r>
      <w:r w:rsidR="001F4BB3">
        <w:rPr>
          <w:rFonts w:eastAsiaTheme="minorEastAsia" w:hint="eastAsia"/>
          <w:color w:val="auto"/>
          <w:lang w:val="en-US"/>
        </w:rPr>
        <w:t>把握蓝</w:t>
      </w:r>
      <w:proofErr w:type="gramStart"/>
      <w:r w:rsidR="001F4BB3">
        <w:rPr>
          <w:rFonts w:eastAsiaTheme="minorEastAsia" w:hint="eastAsia"/>
          <w:color w:val="auto"/>
          <w:lang w:val="en-US"/>
        </w:rPr>
        <w:t>筹投资</w:t>
      </w:r>
      <w:proofErr w:type="gramEnd"/>
      <w:r w:rsidR="001F4BB3">
        <w:rPr>
          <w:rFonts w:eastAsiaTheme="minorEastAsia" w:hint="eastAsia"/>
          <w:color w:val="auto"/>
          <w:lang w:val="en-US"/>
        </w:rPr>
        <w:t>机会，</w:t>
      </w:r>
      <w:r>
        <w:rPr>
          <w:rFonts w:eastAsiaTheme="minorEastAsia" w:hint="eastAsia"/>
          <w:color w:val="auto"/>
          <w:lang w:val="en-US"/>
        </w:rPr>
        <w:t>提高组合向上波动的弹性</w:t>
      </w:r>
      <w:r w:rsidR="000D3FAC" w:rsidRPr="005F04F3">
        <w:rPr>
          <w:rFonts w:ascii="宋体" w:eastAsia="宋体" w:hAnsi="宋体" w:cs="宋体" w:hint="eastAsia"/>
        </w:rPr>
        <w:t>。</w:t>
      </w:r>
    </w:p>
    <w:p w:rsidR="00CE75AA" w:rsidRPr="00AC3920" w:rsidRDefault="00AC3920" w:rsidP="00AC3920">
      <w:pPr>
        <w:pStyle w:val="ac"/>
        <w:numPr>
          <w:ilvl w:val="0"/>
          <w:numId w:val="5"/>
        </w:numPr>
        <w:spacing w:after="163"/>
        <w:rPr>
          <w:rFonts w:eastAsiaTheme="minorEastAsia"/>
          <w:szCs w:val="21"/>
        </w:rPr>
      </w:pPr>
      <w:proofErr w:type="gramStart"/>
      <w:r>
        <w:rPr>
          <w:rFonts w:eastAsiaTheme="minorEastAsia" w:hint="eastAsia"/>
          <w:szCs w:val="21"/>
        </w:rPr>
        <w:t>凯石工场</w:t>
      </w:r>
      <w:proofErr w:type="gramEnd"/>
      <w:r w:rsidR="00C736DA" w:rsidRPr="00AC3920">
        <w:rPr>
          <w:rFonts w:eastAsiaTheme="minorEastAsia" w:hint="eastAsia"/>
          <w:szCs w:val="21"/>
        </w:rPr>
        <w:t>基于</w:t>
      </w:r>
      <w:r w:rsidR="00051D6E">
        <w:rPr>
          <w:rFonts w:eastAsiaTheme="minorEastAsia" w:hint="eastAsia"/>
          <w:szCs w:val="21"/>
        </w:rPr>
        <w:t>对冲</w:t>
      </w:r>
      <w:r w:rsidR="00D46801">
        <w:rPr>
          <w:rFonts w:eastAsiaTheme="minorEastAsia" w:hint="eastAsia"/>
          <w:szCs w:val="21"/>
        </w:rPr>
        <w:t>基金管理人及产品的风险收益量化指标和定性评价分析，筛选出以下绩优</w:t>
      </w:r>
      <w:r w:rsidR="00051D6E">
        <w:rPr>
          <w:rFonts w:eastAsiaTheme="minorEastAsia" w:hint="eastAsia"/>
          <w:szCs w:val="21"/>
        </w:rPr>
        <w:t>品种</w:t>
      </w:r>
      <w:r w:rsidR="00D46801">
        <w:rPr>
          <w:rFonts w:eastAsiaTheme="minorEastAsia" w:hint="eastAsia"/>
          <w:szCs w:val="21"/>
        </w:rPr>
        <w:t>予以推荐</w:t>
      </w:r>
      <w:r w:rsidR="00051D6E">
        <w:rPr>
          <w:rFonts w:eastAsiaTheme="minorEastAsia" w:hint="eastAsia"/>
          <w:szCs w:val="21"/>
        </w:rPr>
        <w:t>：擅长捕捉结构性机会的</w:t>
      </w:r>
      <w:r w:rsidR="00DB2F6A" w:rsidRPr="00AC3920">
        <w:rPr>
          <w:rFonts w:eastAsiaTheme="minorEastAsia" w:hint="eastAsia"/>
          <w:szCs w:val="21"/>
        </w:rPr>
        <w:t>鼎锋</w:t>
      </w:r>
      <w:r w:rsidR="00051D6E">
        <w:rPr>
          <w:rFonts w:eastAsiaTheme="minorEastAsia" w:hint="eastAsia"/>
          <w:szCs w:val="21"/>
        </w:rPr>
        <w:t>、</w:t>
      </w:r>
      <w:r w:rsidR="00DB2F6A" w:rsidRPr="00AC3920">
        <w:rPr>
          <w:rFonts w:eastAsiaTheme="minorEastAsia" w:hint="eastAsia"/>
          <w:szCs w:val="21"/>
        </w:rPr>
        <w:t>尚雅、淡水泉、</w:t>
      </w:r>
      <w:proofErr w:type="gramStart"/>
      <w:r w:rsidR="00DB2F6A" w:rsidRPr="00AC3920">
        <w:rPr>
          <w:rFonts w:eastAsiaTheme="minorEastAsia" w:hint="eastAsia"/>
          <w:szCs w:val="21"/>
        </w:rPr>
        <w:t>鼎诺</w:t>
      </w:r>
      <w:r w:rsidR="00D46801">
        <w:rPr>
          <w:rFonts w:eastAsiaTheme="minorEastAsia" w:hint="eastAsia"/>
          <w:szCs w:val="21"/>
        </w:rPr>
        <w:t>的</w:t>
      </w:r>
      <w:proofErr w:type="gramEnd"/>
      <w:r w:rsidR="00D46801">
        <w:rPr>
          <w:rFonts w:eastAsiaTheme="minorEastAsia" w:hint="eastAsia"/>
          <w:szCs w:val="21"/>
        </w:rPr>
        <w:t>代表产品</w:t>
      </w:r>
      <w:r w:rsidR="00DB2F6A">
        <w:rPr>
          <w:rFonts w:eastAsiaTheme="minorEastAsia" w:hint="eastAsia"/>
          <w:szCs w:val="21"/>
        </w:rPr>
        <w:t>；具备大盘蓝</w:t>
      </w:r>
      <w:proofErr w:type="gramStart"/>
      <w:r w:rsidR="00DB2F6A">
        <w:rPr>
          <w:rFonts w:eastAsiaTheme="minorEastAsia" w:hint="eastAsia"/>
          <w:szCs w:val="21"/>
        </w:rPr>
        <w:t>筹风格且</w:t>
      </w:r>
      <w:proofErr w:type="gramEnd"/>
      <w:r w:rsidR="00DB2F6A">
        <w:rPr>
          <w:rFonts w:eastAsiaTheme="minorEastAsia" w:hint="eastAsia"/>
          <w:szCs w:val="21"/>
        </w:rPr>
        <w:t>过往业绩良好的重阳、明</w:t>
      </w:r>
      <w:proofErr w:type="gramStart"/>
      <w:r w:rsidR="00DB2F6A">
        <w:rPr>
          <w:rFonts w:eastAsiaTheme="minorEastAsia" w:hint="eastAsia"/>
          <w:szCs w:val="21"/>
        </w:rPr>
        <w:t>曜</w:t>
      </w:r>
      <w:proofErr w:type="gramEnd"/>
      <w:r w:rsidR="00D46801">
        <w:rPr>
          <w:rFonts w:eastAsiaTheme="minorEastAsia" w:hint="eastAsia"/>
          <w:szCs w:val="21"/>
        </w:rPr>
        <w:t>旗下产品</w:t>
      </w:r>
      <w:r w:rsidR="00C736DA" w:rsidRPr="00AC3920">
        <w:rPr>
          <w:rFonts w:eastAsiaTheme="minorEastAsia" w:hint="eastAsia"/>
          <w:szCs w:val="21"/>
        </w:rPr>
        <w:t>。</w:t>
      </w:r>
      <w:r w:rsidR="00DB2F6A">
        <w:rPr>
          <w:rFonts w:eastAsiaTheme="minorEastAsia" w:hint="eastAsia"/>
          <w:szCs w:val="21"/>
        </w:rPr>
        <w:t>风险偏好水平偏高的投资者</w:t>
      </w:r>
      <w:r w:rsidR="00C736DA" w:rsidRPr="00AC3920">
        <w:rPr>
          <w:rFonts w:eastAsiaTheme="minorEastAsia" w:hint="eastAsia"/>
          <w:szCs w:val="21"/>
        </w:rPr>
        <w:t>，</w:t>
      </w:r>
      <w:r w:rsidR="00DB2F6A">
        <w:rPr>
          <w:rFonts w:eastAsiaTheme="minorEastAsia" w:hint="eastAsia"/>
          <w:szCs w:val="21"/>
        </w:rPr>
        <w:t>建议可增配泽熙、</w:t>
      </w:r>
      <w:proofErr w:type="gramStart"/>
      <w:r w:rsidR="00DB2F6A">
        <w:rPr>
          <w:rFonts w:eastAsiaTheme="minorEastAsia" w:hint="eastAsia"/>
          <w:szCs w:val="21"/>
        </w:rPr>
        <w:t>彤</w:t>
      </w:r>
      <w:proofErr w:type="gramEnd"/>
      <w:r w:rsidR="00DB2F6A">
        <w:rPr>
          <w:rFonts w:eastAsiaTheme="minorEastAsia" w:hint="eastAsia"/>
          <w:szCs w:val="21"/>
        </w:rPr>
        <w:t>源</w:t>
      </w:r>
      <w:r w:rsidR="00D46801">
        <w:rPr>
          <w:rFonts w:eastAsiaTheme="minorEastAsia" w:hint="eastAsia"/>
          <w:szCs w:val="21"/>
        </w:rPr>
        <w:t>，以及定向增发策略中</w:t>
      </w:r>
      <w:r w:rsidR="00D46801" w:rsidRPr="00D46801">
        <w:rPr>
          <w:rFonts w:eastAsiaTheme="minorEastAsia" w:hint="eastAsia"/>
          <w:szCs w:val="21"/>
        </w:rPr>
        <w:t>数</w:t>
      </w:r>
      <w:proofErr w:type="gramStart"/>
      <w:r w:rsidR="00D46801" w:rsidRPr="00D46801">
        <w:rPr>
          <w:rFonts w:eastAsiaTheme="minorEastAsia" w:hint="eastAsia"/>
          <w:szCs w:val="21"/>
        </w:rPr>
        <w:t>君投资</w:t>
      </w:r>
      <w:proofErr w:type="gramEnd"/>
      <w:r w:rsidR="00D46801">
        <w:rPr>
          <w:rFonts w:eastAsiaTheme="minorEastAsia" w:hint="eastAsia"/>
          <w:szCs w:val="21"/>
        </w:rPr>
        <w:t>管理的产品</w:t>
      </w:r>
      <w:r w:rsidR="00DB2F6A">
        <w:rPr>
          <w:rFonts w:eastAsiaTheme="minorEastAsia" w:hint="eastAsia"/>
          <w:szCs w:val="21"/>
        </w:rPr>
        <w:t>；偏稳健保守型投资者可在投资组合中搭配</w:t>
      </w:r>
      <w:r w:rsidR="00C736DA" w:rsidRPr="00AC3920">
        <w:rPr>
          <w:rFonts w:eastAsiaTheme="minorEastAsia" w:hint="eastAsia"/>
          <w:szCs w:val="21"/>
        </w:rPr>
        <w:t>市场中性策略的</w:t>
      </w:r>
      <w:r w:rsidR="00DB2F6A" w:rsidRPr="00DB2F6A">
        <w:rPr>
          <w:rFonts w:eastAsiaTheme="minorEastAsia" w:hint="eastAsia"/>
          <w:szCs w:val="21"/>
        </w:rPr>
        <w:t>有限合伙</w:t>
      </w:r>
      <w:r w:rsidR="00DB2F6A" w:rsidRPr="00DB2F6A">
        <w:rPr>
          <w:rFonts w:eastAsiaTheme="minorEastAsia" w:hint="eastAsia"/>
          <w:szCs w:val="21"/>
        </w:rPr>
        <w:t>-</w:t>
      </w:r>
      <w:r w:rsidR="00DB2F6A" w:rsidRPr="00DB2F6A">
        <w:rPr>
          <w:rFonts w:eastAsiaTheme="minorEastAsia" w:hint="eastAsia"/>
          <w:szCs w:val="21"/>
        </w:rPr>
        <w:t>尊道阶梯</w:t>
      </w:r>
      <w:r w:rsidR="00DB2F6A" w:rsidRPr="00DB2F6A">
        <w:rPr>
          <w:rFonts w:eastAsiaTheme="minorEastAsia" w:hint="eastAsia"/>
          <w:szCs w:val="21"/>
        </w:rPr>
        <w:t>Alpha</w:t>
      </w:r>
      <w:r w:rsidR="00DB2F6A" w:rsidRPr="00DB2F6A">
        <w:rPr>
          <w:rFonts w:eastAsiaTheme="minorEastAsia" w:hint="eastAsia"/>
          <w:szCs w:val="21"/>
        </w:rPr>
        <w:t>策略基金</w:t>
      </w:r>
      <w:r w:rsidR="00C736DA" w:rsidRPr="00AC3920">
        <w:rPr>
          <w:rFonts w:eastAsiaTheme="minorEastAsia" w:hint="eastAsia"/>
          <w:szCs w:val="21"/>
        </w:rPr>
        <w:t>、相对价值</w:t>
      </w:r>
      <w:r w:rsidR="00D46801">
        <w:rPr>
          <w:rFonts w:eastAsiaTheme="minorEastAsia" w:hint="eastAsia"/>
          <w:szCs w:val="21"/>
        </w:rPr>
        <w:t>套利</w:t>
      </w:r>
      <w:r w:rsidR="00C736DA" w:rsidRPr="00AC3920">
        <w:rPr>
          <w:rFonts w:eastAsiaTheme="minorEastAsia" w:hint="eastAsia"/>
          <w:szCs w:val="21"/>
        </w:rPr>
        <w:t>策略的</w:t>
      </w:r>
      <w:r w:rsidR="00D46801" w:rsidRPr="00D46801">
        <w:rPr>
          <w:rFonts w:eastAsiaTheme="minorEastAsia" w:hint="eastAsia"/>
          <w:szCs w:val="21"/>
        </w:rPr>
        <w:t>外贸信托</w:t>
      </w:r>
      <w:r w:rsidR="00D46801" w:rsidRPr="00D46801">
        <w:rPr>
          <w:rFonts w:eastAsiaTheme="minorEastAsia" w:hint="eastAsia"/>
          <w:szCs w:val="21"/>
        </w:rPr>
        <w:t>-</w:t>
      </w:r>
      <w:r w:rsidR="00D46801" w:rsidRPr="00D46801">
        <w:rPr>
          <w:rFonts w:eastAsiaTheme="minorEastAsia" w:hint="eastAsia"/>
          <w:szCs w:val="21"/>
        </w:rPr>
        <w:t>金锝量化套利</w:t>
      </w:r>
      <w:r w:rsidR="00C736DA" w:rsidRPr="00AC3920">
        <w:rPr>
          <w:rFonts w:eastAsiaTheme="minorEastAsia" w:hint="eastAsia"/>
          <w:szCs w:val="21"/>
        </w:rPr>
        <w:t>。</w:t>
      </w:r>
    </w:p>
    <w:p w:rsidR="004C58C5" w:rsidRPr="004C58C5" w:rsidRDefault="004C58C5" w:rsidP="004C58C5">
      <w:pPr>
        <w:widowControl/>
        <w:spacing w:after="120"/>
        <w:ind w:left="3430"/>
        <w:rPr>
          <w:rFonts w:ascii="Arial" w:hAnsi="Arial"/>
          <w:b/>
          <w:bCs/>
          <w:color w:val="0070C0"/>
          <w:kern w:val="0"/>
          <w:sz w:val="24"/>
          <w:szCs w:val="20"/>
          <w:lang w:val="en-GB"/>
        </w:rPr>
      </w:pPr>
      <w:r>
        <w:rPr>
          <w:rFonts w:ascii="Arial" w:eastAsia="楷体_GB2312" w:hAnsi="Arial" w:hint="eastAsia"/>
          <w:b/>
          <w:bCs/>
          <w:color w:val="0070C0"/>
          <w:kern w:val="0"/>
          <w:sz w:val="24"/>
          <w:szCs w:val="20"/>
          <w:lang w:val="en-GB"/>
        </w:rPr>
        <w:t>五</w:t>
      </w:r>
      <w:r w:rsidRPr="004C58C5">
        <w:rPr>
          <w:rFonts w:ascii="Arial" w:eastAsia="楷体_GB2312" w:hAnsi="Arial" w:hint="eastAsia"/>
          <w:b/>
          <w:bCs/>
          <w:color w:val="0070C0"/>
          <w:kern w:val="0"/>
          <w:sz w:val="24"/>
          <w:szCs w:val="20"/>
          <w:lang w:val="en-GB"/>
        </w:rPr>
        <w:t>、</w:t>
      </w:r>
      <w:proofErr w:type="gramStart"/>
      <w:r>
        <w:rPr>
          <w:rFonts w:ascii="Arial" w:eastAsia="楷体_GB2312" w:hAnsi="Arial" w:hint="eastAsia"/>
          <w:b/>
          <w:bCs/>
          <w:color w:val="0070C0"/>
          <w:kern w:val="0"/>
          <w:sz w:val="24"/>
          <w:szCs w:val="20"/>
          <w:lang w:val="en-GB"/>
        </w:rPr>
        <w:t>凯</w:t>
      </w:r>
      <w:proofErr w:type="gramEnd"/>
      <w:r>
        <w:rPr>
          <w:rFonts w:ascii="Arial" w:eastAsia="楷体_GB2312" w:hAnsi="Arial" w:hint="eastAsia"/>
          <w:b/>
          <w:bCs/>
          <w:color w:val="0070C0"/>
          <w:kern w:val="0"/>
          <w:sz w:val="24"/>
          <w:szCs w:val="20"/>
          <w:lang w:val="en-GB"/>
        </w:rPr>
        <w:t>石明星基金</w:t>
      </w:r>
      <w:r w:rsidR="00220F90">
        <w:rPr>
          <w:rFonts w:ascii="Arial" w:eastAsia="楷体_GB2312" w:hAnsi="Arial" w:hint="eastAsia"/>
          <w:b/>
          <w:bCs/>
          <w:color w:val="0070C0"/>
          <w:kern w:val="0"/>
          <w:sz w:val="24"/>
          <w:szCs w:val="20"/>
          <w:lang w:val="en-GB"/>
        </w:rPr>
        <w:t>推荐</w:t>
      </w:r>
    </w:p>
    <w:p w:rsidR="00E917FC" w:rsidRPr="00593F90" w:rsidRDefault="00C65073" w:rsidP="004C58C5">
      <w:pPr>
        <w:pStyle w:val="ac"/>
        <w:numPr>
          <w:ilvl w:val="4"/>
          <w:numId w:val="4"/>
        </w:numPr>
        <w:rPr>
          <w:rFonts w:eastAsiaTheme="minorEastAsia"/>
          <w:lang w:val="en-US"/>
        </w:rPr>
      </w:pPr>
      <w:r>
        <w:rPr>
          <w:rFonts w:ascii="宋体" w:eastAsia="宋体" w:hAnsi="宋体" w:cs="宋体" w:hint="eastAsia"/>
          <w:szCs w:val="21"/>
        </w:rPr>
        <w:t>尚雅</w:t>
      </w:r>
      <w:r w:rsidR="00E917FC">
        <w:rPr>
          <w:rFonts w:ascii="宋体" w:eastAsia="宋体" w:hAnsi="宋体" w:cs="宋体" w:hint="eastAsia"/>
          <w:szCs w:val="21"/>
        </w:rPr>
        <w:t>：</w:t>
      </w:r>
      <w:r w:rsidRPr="00C65073">
        <w:rPr>
          <w:rFonts w:ascii="宋体" w:eastAsia="宋体" w:hAnsi="宋体" w:cs="宋体" w:hint="eastAsia"/>
          <w:szCs w:val="21"/>
        </w:rPr>
        <w:t>倡导价值投资、品质投资、长期投资、科学投资的理念，积极关注经济发展需要及政策支持下的战略新兴行业，通过配置相关产业背景的研究人员，对其中细分领域进行独立深入的分析，把握新兴产业当中的板块轮动行情。在经历了前些年几次较大的净值波动之后，尚雅投资加强了对于风险的控制，在公司内部推行“全员风控”，在研究部、金融工程部、交易部、销售部、客户部分别设立</w:t>
      </w:r>
      <w:proofErr w:type="gramStart"/>
      <w:r w:rsidRPr="00C65073">
        <w:rPr>
          <w:rFonts w:ascii="宋体" w:eastAsia="宋体" w:hAnsi="宋体" w:cs="宋体" w:hint="eastAsia"/>
          <w:szCs w:val="21"/>
        </w:rPr>
        <w:t>了风控岗位</w:t>
      </w:r>
      <w:proofErr w:type="gramEnd"/>
      <w:r w:rsidRPr="00C65073">
        <w:rPr>
          <w:rFonts w:ascii="宋体" w:eastAsia="宋体" w:hAnsi="宋体" w:cs="宋体" w:hint="eastAsia"/>
          <w:szCs w:val="21"/>
        </w:rPr>
        <w:t>，每个部门</w:t>
      </w:r>
      <w:proofErr w:type="gramStart"/>
      <w:r w:rsidRPr="00C65073">
        <w:rPr>
          <w:rFonts w:ascii="宋体" w:eastAsia="宋体" w:hAnsi="宋体" w:cs="宋体" w:hint="eastAsia"/>
          <w:szCs w:val="21"/>
        </w:rPr>
        <w:t>的风控员</w:t>
      </w:r>
      <w:proofErr w:type="gramEnd"/>
      <w:r w:rsidRPr="00C65073">
        <w:rPr>
          <w:rFonts w:ascii="宋体" w:eastAsia="宋体" w:hAnsi="宋体" w:cs="宋体" w:hint="eastAsia"/>
          <w:szCs w:val="21"/>
        </w:rPr>
        <w:t>一旦在自己的范畴内</w:t>
      </w:r>
      <w:r w:rsidRPr="00C65073">
        <w:rPr>
          <w:rFonts w:ascii="宋体" w:eastAsia="宋体" w:hAnsi="宋体" w:cs="宋体" w:hint="eastAsia"/>
          <w:szCs w:val="21"/>
        </w:rPr>
        <w:lastRenderedPageBreak/>
        <w:t>发现风险，都要第一时间</w:t>
      </w:r>
      <w:proofErr w:type="gramStart"/>
      <w:r w:rsidRPr="00C65073">
        <w:rPr>
          <w:rFonts w:ascii="宋体" w:eastAsia="宋体" w:hAnsi="宋体" w:cs="宋体" w:hint="eastAsia"/>
          <w:szCs w:val="21"/>
        </w:rPr>
        <w:t>提交风控报告</w:t>
      </w:r>
      <w:proofErr w:type="gramEnd"/>
      <w:r w:rsidRPr="00C65073">
        <w:rPr>
          <w:rFonts w:ascii="宋体" w:eastAsia="宋体" w:hAnsi="宋体" w:cs="宋体" w:hint="eastAsia"/>
          <w:szCs w:val="21"/>
        </w:rPr>
        <w:t>。在净值管理上，也设置了</w:t>
      </w:r>
      <w:proofErr w:type="gramStart"/>
      <w:r w:rsidRPr="00C65073">
        <w:rPr>
          <w:rFonts w:ascii="宋体" w:eastAsia="宋体" w:hAnsi="宋体" w:cs="宋体" w:hint="eastAsia"/>
          <w:szCs w:val="21"/>
        </w:rPr>
        <w:t>强制的风控线</w:t>
      </w:r>
      <w:proofErr w:type="gramEnd"/>
      <w:r w:rsidRPr="00C65073">
        <w:rPr>
          <w:rFonts w:ascii="宋体" w:eastAsia="宋体" w:hAnsi="宋体" w:cs="宋体" w:hint="eastAsia"/>
          <w:szCs w:val="21"/>
        </w:rPr>
        <w:t>。</w:t>
      </w:r>
    </w:p>
    <w:p w:rsidR="002D0DA8" w:rsidRPr="00A22580" w:rsidRDefault="00C65073" w:rsidP="00A22580">
      <w:pPr>
        <w:pStyle w:val="ac"/>
        <w:numPr>
          <w:ilvl w:val="4"/>
          <w:numId w:val="4"/>
        </w:numPr>
        <w:rPr>
          <w:rFonts w:eastAsiaTheme="minorEastAsia"/>
          <w:lang w:val="en-US"/>
        </w:rPr>
      </w:pPr>
      <w:r>
        <w:rPr>
          <w:rFonts w:ascii="宋体" w:eastAsia="宋体" w:hAnsi="宋体" w:cs="宋体" w:hint="eastAsia"/>
          <w:szCs w:val="21"/>
          <w:lang w:val="en-US"/>
        </w:rPr>
        <w:t>精熙</w:t>
      </w:r>
      <w:r w:rsidR="00E917FC">
        <w:rPr>
          <w:rFonts w:ascii="宋体" w:eastAsia="宋体" w:hAnsi="宋体" w:cs="宋体" w:hint="eastAsia"/>
          <w:szCs w:val="21"/>
        </w:rPr>
        <w:t>：</w:t>
      </w:r>
      <w:r w:rsidRPr="00C65073">
        <w:rPr>
          <w:rFonts w:ascii="宋体" w:eastAsia="宋体" w:hAnsi="宋体" w:cs="宋体" w:hint="eastAsia"/>
          <w:szCs w:val="21"/>
        </w:rPr>
        <w:t>秉承“收益源于研究、增长创造价值、策略优化回报”的投资理念。操作风格灵活，不论是资产配置还是个股选择都强调具体问题具体分析，根据具体市场情况并结合自身的特点优势进行操作决策，比较注重选股与选时的结合。具体股票资产的配置方面，</w:t>
      </w:r>
      <w:proofErr w:type="gramStart"/>
      <w:r w:rsidRPr="00C65073">
        <w:rPr>
          <w:rFonts w:ascii="宋体" w:eastAsia="宋体" w:hAnsi="宋体" w:cs="宋体" w:hint="eastAsia"/>
          <w:szCs w:val="21"/>
        </w:rPr>
        <w:t>精熙坚持</w:t>
      </w:r>
      <w:proofErr w:type="gramEnd"/>
      <w:r w:rsidRPr="00C65073">
        <w:rPr>
          <w:rFonts w:ascii="宋体" w:eastAsia="宋体" w:hAnsi="宋体" w:cs="宋体" w:hint="eastAsia"/>
          <w:szCs w:val="21"/>
        </w:rPr>
        <w:t>从宏观面、政策面、资金面和基本面等四个角度进行综合分析，灵活择机配置股票资产，投资组合持股比较分散。公司团队规模适中且比较稳定，核心投</w:t>
      </w:r>
      <w:proofErr w:type="gramStart"/>
      <w:r w:rsidRPr="00C65073">
        <w:rPr>
          <w:rFonts w:ascii="宋体" w:eastAsia="宋体" w:hAnsi="宋体" w:cs="宋体" w:hint="eastAsia"/>
          <w:szCs w:val="21"/>
        </w:rPr>
        <w:t>研</w:t>
      </w:r>
      <w:proofErr w:type="gramEnd"/>
      <w:r w:rsidRPr="00C65073">
        <w:rPr>
          <w:rFonts w:ascii="宋体" w:eastAsia="宋体" w:hAnsi="宋体" w:cs="宋体" w:hint="eastAsia"/>
          <w:szCs w:val="21"/>
        </w:rPr>
        <w:t>团队成员均为多年的合作伙伴，相互之间配合比较默契。公司主张不同投资经理之间投资风格的差异化，因而并不在产品之间采用完全复制策略，不过在总体大方向上仍具有一致性，</w:t>
      </w:r>
      <w:proofErr w:type="gramStart"/>
      <w:r w:rsidRPr="00C65073">
        <w:rPr>
          <w:rFonts w:ascii="宋体" w:eastAsia="宋体" w:hAnsi="宋体" w:cs="宋体" w:hint="eastAsia"/>
          <w:szCs w:val="21"/>
        </w:rPr>
        <w:t>仅不同</w:t>
      </w:r>
      <w:proofErr w:type="gramEnd"/>
      <w:r w:rsidRPr="00C65073">
        <w:rPr>
          <w:rFonts w:ascii="宋体" w:eastAsia="宋体" w:hAnsi="宋体" w:cs="宋体" w:hint="eastAsia"/>
          <w:szCs w:val="21"/>
        </w:rPr>
        <w:t>投资经理有一定的权限，在个股选择上或有不同。</w:t>
      </w:r>
    </w:p>
    <w:p w:rsidR="00B10000" w:rsidRPr="0007052A" w:rsidRDefault="007C62C3">
      <w:pPr>
        <w:widowControl/>
        <w:jc w:val="left"/>
        <w:rPr>
          <w:rFonts w:ascii="Arial" w:hAnsi="Arial" w:cs="Times New Roman"/>
          <w:b/>
          <w:kern w:val="0"/>
          <w:szCs w:val="20"/>
          <w:lang w:val="en-GB"/>
        </w:rPr>
      </w:pPr>
      <w:r>
        <w:rPr>
          <w:b/>
          <w:bCs/>
          <w:color w:val="0070C0"/>
          <w:sz w:val="24"/>
        </w:rPr>
        <w:br w:type="page"/>
      </w:r>
    </w:p>
    <w:p w:rsidR="00B10000" w:rsidRPr="00DB3C58" w:rsidRDefault="00B10000" w:rsidP="00B10000">
      <w:pPr>
        <w:pStyle w:val="ab"/>
        <w:spacing w:after="312"/>
        <w:rPr>
          <w:rFonts w:ascii="宋体" w:eastAsia="宋体" w:hAnsi="宋体"/>
          <w:b/>
          <w:sz w:val="21"/>
          <w:szCs w:val="21"/>
        </w:rPr>
      </w:pPr>
      <w:r w:rsidRPr="00DB3C58">
        <w:rPr>
          <w:rFonts w:ascii="Arial" w:eastAsia="楷体_GB2312" w:hAnsi="Arial" w:hint="eastAsia"/>
          <w:b/>
          <w:kern w:val="0"/>
          <w:sz w:val="21"/>
          <w:szCs w:val="20"/>
          <w:lang w:val="en-GB"/>
        </w:rPr>
        <w:lastRenderedPageBreak/>
        <w:t>特别声明：</w:t>
      </w:r>
    </w:p>
    <w:p w:rsidR="00B10000" w:rsidRPr="00DB3C58" w:rsidRDefault="00B10000" w:rsidP="00541A1F">
      <w:pPr>
        <w:pStyle w:val="ab"/>
        <w:spacing w:beforeLines="50" w:after="312"/>
        <w:rPr>
          <w:rFonts w:ascii="Arial" w:eastAsia="楷体_GB2312" w:hAnsi="Arial"/>
          <w:kern w:val="0"/>
          <w:sz w:val="21"/>
          <w:szCs w:val="20"/>
          <w:lang w:val="en-GB"/>
        </w:rPr>
      </w:pPr>
      <w:r w:rsidRPr="00DB3C58">
        <w:rPr>
          <w:rFonts w:ascii="Arial" w:eastAsia="楷体_GB2312" w:hAnsi="Arial" w:hint="eastAsia"/>
          <w:kern w:val="0"/>
          <w:sz w:val="21"/>
          <w:szCs w:val="20"/>
          <w:lang w:val="en-GB"/>
        </w:rPr>
        <w:t>本报告中的所有内容版权均属上海凯石财富投资管理有限公司（以下简称“本公司”），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凯石财富投资有限公司研究中心，且不得对本文进行任何有悖原意的引用和删改。</w:t>
      </w:r>
    </w:p>
    <w:p w:rsidR="00B10000" w:rsidRPr="00DB3C58" w:rsidRDefault="00B10000" w:rsidP="00541A1F">
      <w:pPr>
        <w:pStyle w:val="ab"/>
        <w:spacing w:beforeLines="50" w:after="312"/>
        <w:rPr>
          <w:rFonts w:ascii="Arial" w:eastAsia="楷体_GB2312" w:hAnsi="Arial"/>
          <w:kern w:val="0"/>
          <w:sz w:val="21"/>
          <w:szCs w:val="20"/>
          <w:lang w:val="en-GB"/>
        </w:rPr>
      </w:pPr>
      <w:r w:rsidRPr="00DB3C58">
        <w:rPr>
          <w:rFonts w:ascii="Arial" w:eastAsia="楷体_GB2312" w:hAnsi="Arial" w:hint="eastAsia"/>
          <w:kern w:val="0"/>
          <w:sz w:val="21"/>
          <w:szCs w:val="20"/>
          <w:lang w:val="en-GB"/>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B10000" w:rsidRPr="00DB3C58" w:rsidRDefault="00B10000" w:rsidP="00541A1F">
      <w:pPr>
        <w:pStyle w:val="ab"/>
        <w:spacing w:beforeLines="50" w:after="312"/>
        <w:rPr>
          <w:rFonts w:ascii="Arial" w:eastAsia="楷体_GB2312" w:hAnsi="Arial"/>
          <w:kern w:val="0"/>
          <w:sz w:val="21"/>
          <w:szCs w:val="20"/>
          <w:lang w:val="en-GB"/>
        </w:rPr>
      </w:pPr>
      <w:r w:rsidRPr="00DB3C58">
        <w:rPr>
          <w:rFonts w:ascii="Arial" w:eastAsia="楷体_GB2312" w:hAnsi="Arial" w:hint="eastAsia"/>
          <w:kern w:val="0"/>
          <w:sz w:val="21"/>
          <w:szCs w:val="20"/>
          <w:lang w:val="en-GB"/>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B10000" w:rsidRPr="00B10000" w:rsidRDefault="00B10000">
      <w:pPr>
        <w:rPr>
          <w:lang w:val="en-GB"/>
        </w:rPr>
      </w:pPr>
    </w:p>
    <w:sectPr w:rsidR="00B10000" w:rsidRPr="00B10000" w:rsidSect="00656031">
      <w:headerReference w:type="default" r:id="rId12"/>
      <w:footerReference w:type="default" r:id="rId13"/>
      <w:headerReference w:type="first" r:id="rId14"/>
      <w:footerReference w:type="first" r:id="rId15"/>
      <w:pgSz w:w="11906" w:h="16838"/>
      <w:pgMar w:top="1440" w:right="624" w:bottom="1440" w:left="624" w:header="850" w:footer="283"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66A" w:rsidRDefault="00F3366A" w:rsidP="00B10000">
      <w:r>
        <w:separator/>
      </w:r>
    </w:p>
  </w:endnote>
  <w:endnote w:type="continuationSeparator" w:id="0">
    <w:p w:rsidR="00F3366A" w:rsidRDefault="00F3366A" w:rsidP="00B100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Times New Roman"/>
    <w:charset w:val="0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华文新魏">
    <w:panose1 w:val="02010800040101010101"/>
    <w:charset w:val="86"/>
    <w:family w:val="auto"/>
    <w:pitch w:val="variable"/>
    <w:sig w:usb0="00000001" w:usb1="080F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San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F6A" w:rsidRDefault="0025520E">
    <w:pPr>
      <w:pStyle w:val="a5"/>
      <w:jc w:val="center"/>
    </w:pPr>
    <w:r>
      <w:pict>
        <v:rect id="_x0000_i1027" style="width:571.2pt;height:2pt" o:hralign="center" o:hrstd="t" o:hrnoshade="t" o:hr="t" fillcolor="#e7a631" stroked="f"/>
      </w:pict>
    </w:r>
    <w:sdt>
      <w:sdtPr>
        <w:id w:val="31118581"/>
        <w:docPartObj>
          <w:docPartGallery w:val="Page Numbers (Bottom of Page)"/>
          <w:docPartUnique/>
        </w:docPartObj>
      </w:sdtPr>
      <w:sdtContent>
        <w:sdt>
          <w:sdtPr>
            <w:id w:val="31118580"/>
            <w:docPartObj>
              <w:docPartGallery w:val="Page Numbers (Top of Page)"/>
              <w:docPartUnique/>
            </w:docPartObj>
          </w:sdtPr>
          <w:sdtContent>
            <w:r w:rsidR="00DB2F6A">
              <w:rPr>
                <w:lang w:val="zh-CN"/>
              </w:rPr>
              <w:t xml:space="preserve"> </w:t>
            </w:r>
            <w:r>
              <w:rPr>
                <w:b/>
                <w:sz w:val="24"/>
                <w:szCs w:val="24"/>
              </w:rPr>
              <w:fldChar w:fldCharType="begin"/>
            </w:r>
            <w:r w:rsidR="00DB2F6A">
              <w:rPr>
                <w:b/>
              </w:rPr>
              <w:instrText>PAGE</w:instrText>
            </w:r>
            <w:r>
              <w:rPr>
                <w:b/>
                <w:sz w:val="24"/>
                <w:szCs w:val="24"/>
              </w:rPr>
              <w:fldChar w:fldCharType="separate"/>
            </w:r>
            <w:r w:rsidR="00541A1F">
              <w:rPr>
                <w:b/>
                <w:noProof/>
              </w:rPr>
              <w:t>2</w:t>
            </w:r>
            <w:r>
              <w:rPr>
                <w:b/>
                <w:sz w:val="24"/>
                <w:szCs w:val="24"/>
              </w:rPr>
              <w:fldChar w:fldCharType="end"/>
            </w:r>
            <w:r w:rsidR="00DB2F6A">
              <w:rPr>
                <w:lang w:val="zh-CN"/>
              </w:rPr>
              <w:t xml:space="preserve"> / </w:t>
            </w:r>
            <w:r>
              <w:rPr>
                <w:b/>
                <w:sz w:val="24"/>
                <w:szCs w:val="24"/>
              </w:rPr>
              <w:fldChar w:fldCharType="begin"/>
            </w:r>
            <w:r w:rsidR="00DB2F6A">
              <w:rPr>
                <w:b/>
              </w:rPr>
              <w:instrText>NUMPAGES</w:instrText>
            </w:r>
            <w:r>
              <w:rPr>
                <w:b/>
                <w:sz w:val="24"/>
                <w:szCs w:val="24"/>
              </w:rPr>
              <w:fldChar w:fldCharType="separate"/>
            </w:r>
            <w:r w:rsidR="00541A1F">
              <w:rPr>
                <w:b/>
                <w:noProof/>
              </w:rPr>
              <w:t>8</w:t>
            </w:r>
            <w:r>
              <w:rPr>
                <w:b/>
                <w:sz w:val="24"/>
                <w:szCs w:val="24"/>
              </w:rPr>
              <w:fldChar w:fldCharType="end"/>
            </w:r>
          </w:sdtContent>
        </w:sdt>
      </w:sdtContent>
    </w:sdt>
  </w:p>
  <w:p w:rsidR="00DB2F6A" w:rsidRDefault="00DB2F6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18579"/>
      <w:docPartObj>
        <w:docPartGallery w:val="Page Numbers (Bottom of Page)"/>
        <w:docPartUnique/>
      </w:docPartObj>
    </w:sdtPr>
    <w:sdtContent>
      <w:sdt>
        <w:sdtPr>
          <w:id w:val="171357217"/>
          <w:docPartObj>
            <w:docPartGallery w:val="Page Numbers (Top of Page)"/>
            <w:docPartUnique/>
          </w:docPartObj>
        </w:sdtPr>
        <w:sdtContent>
          <w:p w:rsidR="00DB2F6A" w:rsidRDefault="0025520E">
            <w:pPr>
              <w:pStyle w:val="a5"/>
              <w:jc w:val="center"/>
            </w:pPr>
            <w:r>
              <w:pict>
                <v:rect id="_x0000_i1029" style="width:571.2pt;height:2pt" o:hralign="center" o:hrstd="t" o:hrnoshade="t" o:hr="t" fillcolor="#e7a631" stroked="f"/>
              </w:pict>
            </w:r>
            <w:r w:rsidR="00DB2F6A">
              <w:rPr>
                <w:lang w:val="zh-CN"/>
              </w:rPr>
              <w:t xml:space="preserve"> </w:t>
            </w:r>
            <w:r>
              <w:rPr>
                <w:b/>
                <w:sz w:val="24"/>
                <w:szCs w:val="24"/>
              </w:rPr>
              <w:fldChar w:fldCharType="begin"/>
            </w:r>
            <w:r w:rsidR="00DB2F6A">
              <w:rPr>
                <w:b/>
              </w:rPr>
              <w:instrText>PAGE</w:instrText>
            </w:r>
            <w:r>
              <w:rPr>
                <w:b/>
                <w:sz w:val="24"/>
                <w:szCs w:val="24"/>
              </w:rPr>
              <w:fldChar w:fldCharType="separate"/>
            </w:r>
            <w:r w:rsidR="00541A1F">
              <w:rPr>
                <w:b/>
                <w:noProof/>
              </w:rPr>
              <w:t>1</w:t>
            </w:r>
            <w:r>
              <w:rPr>
                <w:b/>
                <w:sz w:val="24"/>
                <w:szCs w:val="24"/>
              </w:rPr>
              <w:fldChar w:fldCharType="end"/>
            </w:r>
            <w:r w:rsidR="00DB2F6A">
              <w:rPr>
                <w:lang w:val="zh-CN"/>
              </w:rPr>
              <w:t xml:space="preserve"> / </w:t>
            </w:r>
            <w:r>
              <w:rPr>
                <w:b/>
                <w:sz w:val="24"/>
                <w:szCs w:val="24"/>
              </w:rPr>
              <w:fldChar w:fldCharType="begin"/>
            </w:r>
            <w:r w:rsidR="00DB2F6A">
              <w:rPr>
                <w:b/>
              </w:rPr>
              <w:instrText>NUMPAGES</w:instrText>
            </w:r>
            <w:r>
              <w:rPr>
                <w:b/>
                <w:sz w:val="24"/>
                <w:szCs w:val="24"/>
              </w:rPr>
              <w:fldChar w:fldCharType="separate"/>
            </w:r>
            <w:r w:rsidR="00541A1F">
              <w:rPr>
                <w:b/>
                <w:noProof/>
              </w:rPr>
              <w:t>8</w:t>
            </w:r>
            <w:r>
              <w:rPr>
                <w:b/>
                <w:sz w:val="24"/>
                <w:szCs w:val="24"/>
              </w:rPr>
              <w:fldChar w:fldCharType="end"/>
            </w:r>
          </w:p>
        </w:sdtContent>
      </w:sdt>
    </w:sdtContent>
  </w:sdt>
  <w:p w:rsidR="00DB2F6A" w:rsidRDefault="00DB2F6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66A" w:rsidRDefault="00F3366A" w:rsidP="00B10000">
      <w:r>
        <w:separator/>
      </w:r>
    </w:p>
  </w:footnote>
  <w:footnote w:type="continuationSeparator" w:id="0">
    <w:p w:rsidR="00F3366A" w:rsidRDefault="00F3366A" w:rsidP="00B10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F6A" w:rsidRDefault="0025520E" w:rsidP="00B10000">
    <w:pPr>
      <w:pStyle w:val="a4"/>
      <w:pBdr>
        <w:bottom w:val="none" w:sz="0" w:space="0" w:color="auto"/>
      </w:pBdr>
    </w:pPr>
    <w:r>
      <w:rPr>
        <w:noProof/>
      </w:rPr>
      <w:pict>
        <v:group id="_x0000_s1034" style="position:absolute;left:0;text-align:left;margin-left:5.2pt;margin-top:-32.25pt;width:531.2pt;height:37.5pt;z-index:251658240" coordorigin="728,206" coordsize="10624,750">
          <v:shapetype id="_x0000_t202" coordsize="21600,21600" o:spt="202" path="m,l,21600r21600,l21600,xe">
            <v:stroke joinstyle="miter"/>
            <v:path gradientshapeok="t" o:connecttype="rect"/>
          </v:shapetype>
          <v:shape id="_x0000_s1035" type="#_x0000_t202" style="position:absolute;left:728;top:206;width:1336;height:724;mso-width-relative:margin;mso-height-relative:margin" strokecolor="white">
            <v:textbox style="mso-next-textbox:#_x0000_s1035">
              <w:txbxContent>
                <w:p w:rsidR="00DB2F6A" w:rsidRDefault="0025520E" w:rsidP="00B10000">
                  <w:pPr>
                    <w:pStyle w:val="12"/>
                  </w:pPr>
                  <w:r w:rsidRPr="0025520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凯石工2.jpg" style="width:45.75pt;height:32.25pt;visibility:visible">
                        <v:imagedata r:id="rId1" o:title="凯石工2"/>
                      </v:shape>
                    </w:pict>
                  </w:r>
                </w:p>
              </w:txbxContent>
            </v:textbox>
          </v:shape>
          <v:shape id="_x0000_s1036" type="#_x0000_t202" style="position:absolute;left:5999;top:542;width:5353;height:414;mso-width-relative:margin;mso-height-relative:margin" strokecolor="white">
            <v:textbox style="mso-next-textbox:#_x0000_s1036">
              <w:txbxContent>
                <w:p w:rsidR="00DB2F6A" w:rsidRPr="006E0F3C" w:rsidRDefault="00DB2F6A" w:rsidP="00B10000">
                  <w:pPr>
                    <w:pStyle w:val="2"/>
                  </w:pPr>
                  <w:r>
                    <w:rPr>
                      <w:rFonts w:hint="eastAsia"/>
                    </w:rPr>
                    <w:t>2014</w:t>
                  </w:r>
                  <w:r w:rsidRPr="006E0F3C">
                    <w:rPr>
                      <w:rFonts w:hint="eastAsia"/>
                    </w:rPr>
                    <w:t>年</w:t>
                  </w:r>
                  <w:r>
                    <w:rPr>
                      <w:rFonts w:hint="eastAsia"/>
                    </w:rPr>
                    <w:t>2月对冲基金行业报告</w:t>
                  </w:r>
                </w:p>
              </w:txbxContent>
            </v:textbox>
          </v:shape>
        </v:group>
      </w:pict>
    </w:r>
    <w:r>
      <w:pict>
        <v:rect id="_x0000_i1026" style="width:571.2pt;height:2pt" o:hralign="center" o:hrstd="t" o:hrnoshade="t" o:hr="t" fillcolor="#e7a631"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F6A" w:rsidRDefault="0025520E" w:rsidP="00541A1F">
    <w:pPr>
      <w:pStyle w:val="a4"/>
      <w:pBdr>
        <w:bottom w:val="none" w:sz="0" w:space="0" w:color="auto"/>
      </w:pBdr>
      <w:spacing w:afterLines="100"/>
    </w:pPr>
    <w:r>
      <w:pict>
        <v:group id="_x0000_s1025" style="width:532.6pt;height:143.7pt;mso-position-horizontal-relative:char;mso-position-vertical-relative:line" coordorigin="652,331" coordsize="10652,2874">
          <v:shapetype id="_x0000_t202" coordsize="21600,21600" o:spt="202" path="m,l,21600r21600,l21600,xe">
            <v:stroke joinstyle="miter"/>
            <v:path gradientshapeok="t" o:connecttype="rect"/>
          </v:shapetype>
          <v:shape id="_x0000_s1026" type="#_x0000_t202" style="position:absolute;left:652;top:331;width:3664;height:2430;mso-width-relative:margin;mso-height-relative:margin" strokecolor="white">
            <v:textbox style="mso-next-textbox:#_x0000_s1026">
              <w:txbxContent>
                <w:p w:rsidR="00DB2F6A" w:rsidRDefault="0025520E" w:rsidP="00B10000">
                  <w:pPr>
                    <w:pStyle w:val="a7"/>
                  </w:pPr>
                  <w:r w:rsidRPr="0025520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31" type="#_x0000_t75" alt="凯石工2.jpg" style="width:125.25pt;height:117.75pt;visibility:visible">
                        <v:imagedata r:id="rId1" o:title="凯石工2"/>
                      </v:shape>
                    </w:pict>
                  </w:r>
                </w:p>
              </w:txbxContent>
            </v:textbox>
          </v:shape>
          <v:shape id="_x0000_s1027" type="#_x0000_t202" style="position:absolute;left:881;top:2578;width:2325;height:390" strokecolor="white">
            <v:textbox style="mso-next-textbox:#_x0000_s1027">
              <w:txbxContent>
                <w:p w:rsidR="00DB2F6A" w:rsidRPr="006E0F3C" w:rsidRDefault="00DB2F6A" w:rsidP="008840A4">
                  <w:pPr>
                    <w:pStyle w:val="a6"/>
                    <w:spacing w:after="240"/>
                  </w:pPr>
                  <w:proofErr w:type="gramStart"/>
                  <w:r w:rsidRPr="006E0F3C">
                    <w:rPr>
                      <w:rFonts w:hint="eastAsia"/>
                    </w:rPr>
                    <w:t>凯石工场研究</w:t>
                  </w:r>
                  <w:proofErr w:type="gramEnd"/>
                  <w:r w:rsidRPr="006E0F3C">
                    <w:rPr>
                      <w:rFonts w:hint="eastAsia"/>
                    </w:rPr>
                    <w:t>报告</w:t>
                  </w:r>
                </w:p>
              </w:txbxContent>
            </v:textbox>
          </v:shape>
          <v:shape id="_x0000_s1028" type="#_x0000_t202" style="position:absolute;left:8740;top:609;width:2441;height:475;mso-height-percent:200;mso-height-percent:200;mso-width-relative:margin;mso-height-relative:margin" strokecolor="white">
            <v:textbox style="mso-next-textbox:#_x0000_s1028;mso-fit-shape-to-text:t">
              <w:txbxContent>
                <w:p w:rsidR="00DB2F6A" w:rsidRPr="006E0F3C" w:rsidRDefault="00DB2F6A" w:rsidP="00B10000">
                  <w:pPr>
                    <w:pStyle w:val="a8"/>
                    <w:jc w:val="right"/>
                  </w:pPr>
                </w:p>
              </w:txbxContent>
            </v:textbox>
          </v:shape>
          <v:shape id="_x0000_s1029" type="#_x0000_t202" style="position:absolute;left:3214;top:1377;width:8090;height:1123;mso-height-percent:200;mso-height-percent:200;mso-width-relative:margin;mso-height-relative:margin" strokecolor="white">
            <v:textbox style="mso-next-textbox:#_x0000_s1029;mso-fit-shape-to-text:t">
              <w:txbxContent>
                <w:p w:rsidR="00DB2F6A" w:rsidRDefault="00035AD1" w:rsidP="00B10000">
                  <w:pPr>
                    <w:pStyle w:val="a9"/>
                    <w:jc w:val="right"/>
                  </w:pPr>
                  <w:r>
                    <w:t>关注</w:t>
                  </w:r>
                  <w:r>
                    <w:t>“</w:t>
                  </w:r>
                  <w:r>
                    <w:t>两会</w:t>
                  </w:r>
                  <w:r>
                    <w:t>”</w:t>
                  </w:r>
                  <w:r>
                    <w:t>后续落实，蓝筹或</w:t>
                  </w:r>
                  <w:proofErr w:type="gramStart"/>
                  <w:r>
                    <w:t>迎投资</w:t>
                  </w:r>
                  <w:proofErr w:type="gramEnd"/>
                  <w:r>
                    <w:t>窗口</w:t>
                  </w:r>
                </w:p>
                <w:p w:rsidR="00DB2F6A" w:rsidRPr="00624366" w:rsidRDefault="00DB2F6A" w:rsidP="00B10000">
                  <w:pPr>
                    <w:pStyle w:val="a9"/>
                    <w:jc w:val="right"/>
                    <w:rPr>
                      <w:sz w:val="28"/>
                      <w:szCs w:val="28"/>
                    </w:rPr>
                  </w:pPr>
                  <w:r>
                    <w:rPr>
                      <w:rFonts w:hint="eastAsia"/>
                    </w:rPr>
                    <w:t>2014</w:t>
                  </w:r>
                  <w:r w:rsidRPr="006E0F3C">
                    <w:rPr>
                      <w:rFonts w:hint="eastAsia"/>
                    </w:rPr>
                    <w:t>年</w:t>
                  </w:r>
                  <w:r>
                    <w:rPr>
                      <w:rFonts w:hint="eastAsia"/>
                    </w:rPr>
                    <w:t>2月对冲基金行业报告</w:t>
                  </w:r>
                </w:p>
              </w:txbxContent>
            </v:textbox>
          </v:shape>
          <v:shape id="_x0000_s1030" type="#_x0000_t202" style="position:absolute;left:3246;top:2578;width:7993;height:627" strokecolor="white">
            <v:textbox style="mso-next-textbox:#_x0000_s1030">
              <w:txbxContent>
                <w:p w:rsidR="00DB2F6A" w:rsidRPr="006E0F3C" w:rsidRDefault="00DB2F6A" w:rsidP="00B10000">
                  <w:pPr>
                    <w:pStyle w:val="aa"/>
                  </w:pPr>
                  <w:proofErr w:type="gramStart"/>
                  <w:r>
                    <w:rPr>
                      <w:rFonts w:hint="eastAsia"/>
                    </w:rPr>
                    <w:t>杨舒</w:t>
                  </w:r>
                  <w:proofErr w:type="gramEnd"/>
                  <w:r w:rsidRPr="006E0F3C">
                    <w:rPr>
                      <w:rFonts w:hint="eastAsia"/>
                    </w:rPr>
                    <w:t xml:space="preserve"> </w:t>
                  </w:r>
                  <w:r>
                    <w:rPr>
                      <w:rFonts w:hint="eastAsia"/>
                    </w:rPr>
                    <w:t>高级</w:t>
                  </w:r>
                  <w:r w:rsidRPr="006E0F3C">
                    <w:rPr>
                      <w:rFonts w:hint="eastAsia"/>
                    </w:rPr>
                    <w:t xml:space="preserve">分析师 </w:t>
                  </w:r>
                </w:p>
              </w:txbxContent>
            </v:textbox>
          </v:shape>
          <w10:wrap type="none"/>
          <w10:anchorlock/>
        </v:group>
      </w:pict>
    </w:r>
    <w:r>
      <w:pict>
        <v:rect id="_x0000_i1028" style="width:571.2pt;height:2pt" o:hralign="center" o:hrstd="t" o:hrnoshade="t" o:hr="t" fillcolor="#e7a631"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cs="Times New Roman" w:hint="default"/>
        <w:color w:val="FF0000"/>
        <w:sz w:val="20"/>
        <w:szCs w:val="20"/>
      </w:rPr>
    </w:lvl>
  </w:abstractNum>
  <w:abstractNum w:abstractNumId="1">
    <w:nsid w:val="0EED5DEE"/>
    <w:multiLevelType w:val="hybridMultilevel"/>
    <w:tmpl w:val="9EAE1D04"/>
    <w:lvl w:ilvl="0" w:tplc="A1E68908">
      <w:start w:val="1"/>
      <w:numFmt w:val="bullet"/>
      <w:lvlText w:val=""/>
      <w:lvlJc w:val="left"/>
      <w:pPr>
        <w:tabs>
          <w:tab w:val="num" w:pos="4329"/>
        </w:tabs>
        <w:ind w:left="3969" w:firstLine="0"/>
      </w:pPr>
      <w:rPr>
        <w:rFonts w:hint="default"/>
        <w:b w:val="0"/>
        <w:i w:val="0"/>
        <w:color w:val="000565"/>
        <w:sz w:val="18"/>
      </w:rPr>
    </w:lvl>
    <w:lvl w:ilvl="1" w:tplc="04090003" w:tentative="1">
      <w:start w:val="1"/>
      <w:numFmt w:val="bullet"/>
      <w:lvlText w:val=""/>
      <w:lvlJc w:val="left"/>
      <w:pPr>
        <w:tabs>
          <w:tab w:val="num" w:pos="4242"/>
        </w:tabs>
        <w:ind w:left="4242" w:hanging="420"/>
      </w:pPr>
      <w:rPr>
        <w:rFonts w:ascii="Wingdings" w:hAnsi="Wingdings" w:hint="default"/>
      </w:rPr>
    </w:lvl>
    <w:lvl w:ilvl="2" w:tplc="04090005" w:tentative="1">
      <w:start w:val="1"/>
      <w:numFmt w:val="bullet"/>
      <w:lvlText w:val=""/>
      <w:lvlJc w:val="left"/>
      <w:pPr>
        <w:tabs>
          <w:tab w:val="num" w:pos="4662"/>
        </w:tabs>
        <w:ind w:left="4662" w:hanging="420"/>
      </w:pPr>
      <w:rPr>
        <w:rFonts w:ascii="Wingdings" w:hAnsi="Wingdings" w:hint="default"/>
      </w:rPr>
    </w:lvl>
    <w:lvl w:ilvl="3" w:tplc="04090001" w:tentative="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firstLine="0"/>
      </w:pPr>
      <w:rPr>
        <w:rFonts w:ascii="Wingdings" w:eastAsia="宋体" w:hAnsi="Wingdings" w:hint="default"/>
        <w:b w:val="0"/>
        <w:i w:val="0"/>
        <w:color w:val="000565"/>
        <w:sz w:val="18"/>
      </w:rPr>
    </w:lvl>
    <w:lvl w:ilvl="5" w:tplc="0409000B">
      <w:start w:val="1"/>
      <w:numFmt w:val="bullet"/>
      <w:lvlText w:val=""/>
      <w:lvlJc w:val="left"/>
      <w:pPr>
        <w:tabs>
          <w:tab w:val="num" w:pos="4191"/>
        </w:tabs>
        <w:ind w:left="4191" w:hanging="420"/>
      </w:pPr>
      <w:rPr>
        <w:rFonts w:ascii="Wingdings" w:hAnsi="Wingdings" w:hint="default"/>
        <w:b w:val="0"/>
        <w:i w:val="0"/>
        <w:color w:val="000565"/>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
    <w:nsid w:val="492C6DD3"/>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楷体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3">
    <w:nsid w:val="501A2F82"/>
    <w:multiLevelType w:val="hybridMultilevel"/>
    <w:tmpl w:val="7AC2D688"/>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04090001">
      <w:start w:val="1"/>
      <w:numFmt w:val="bullet"/>
      <w:lvlText w:val=""/>
      <w:lvlJc w:val="left"/>
      <w:pPr>
        <w:tabs>
          <w:tab w:val="num" w:pos="4197"/>
        </w:tabs>
        <w:ind w:left="4197" w:hanging="369"/>
      </w:pPr>
      <w:rPr>
        <w:rFonts w:ascii="Wingdings" w:hAnsi="Wingdings" w:hint="default"/>
        <w:b w:val="0"/>
        <w:i w:val="0"/>
        <w:color w:val="auto"/>
        <w:sz w:val="18"/>
        <w:lang w:val="en-US"/>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4">
    <w:nsid w:val="54C37709"/>
    <w:multiLevelType w:val="hybridMultilevel"/>
    <w:tmpl w:val="E6284CB2"/>
    <w:lvl w:ilvl="0" w:tplc="AE881A2C">
      <w:start w:val="1"/>
      <w:numFmt w:val="bullet"/>
      <w:pStyle w:val="a"/>
      <w:lvlText w:val=""/>
      <w:lvlJc w:val="left"/>
      <w:pPr>
        <w:tabs>
          <w:tab w:val="num" w:pos="340"/>
        </w:tabs>
        <w:ind w:left="340" w:hanging="34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5">
    <w:nsid w:val="5E8271C1"/>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firstLine="0"/>
      </w:pPr>
      <w:rPr>
        <w:rFonts w:ascii="Wingdings" w:eastAsia="宋体" w:hAnsi="Wingdings" w:hint="default"/>
        <w:b w:val="0"/>
        <w:i w:val="0"/>
        <w:color w:val="000565"/>
        <w:sz w:val="18"/>
      </w:rPr>
    </w:lvl>
    <w:lvl w:ilvl="5" w:tplc="DDC8F30C">
      <w:start w:val="1"/>
      <w:numFmt w:val="bullet"/>
      <w:lvlText w:val=""/>
      <w:lvlJc w:val="left"/>
      <w:pPr>
        <w:tabs>
          <w:tab w:val="num" w:pos="4139"/>
        </w:tabs>
        <w:ind w:left="4139" w:hanging="368"/>
      </w:pPr>
      <w:rPr>
        <w:rFonts w:ascii="Wingdings 2" w:eastAsia="楷体_GB2312" w:hAnsi="Wingdings 2" w:hint="default"/>
        <w:b w:val="0"/>
        <w:i w:val="0"/>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6">
    <w:nsid w:val="7D6434AE"/>
    <w:multiLevelType w:val="hybridMultilevel"/>
    <w:tmpl w:val="5BC062AC"/>
    <w:lvl w:ilvl="0" w:tplc="DDC8F30C">
      <w:start w:val="1"/>
      <w:numFmt w:val="bullet"/>
      <w:lvlText w:val=""/>
      <w:lvlJc w:val="left"/>
      <w:pPr>
        <w:ind w:left="4219" w:hanging="420"/>
      </w:pPr>
      <w:rPr>
        <w:rFonts w:ascii="Wingdings 2" w:eastAsia="楷体_GB2312" w:hAnsi="Wingdings 2" w:hint="default"/>
        <w:b w:val="0"/>
        <w:i w:val="0"/>
        <w:sz w:val="18"/>
      </w:rPr>
    </w:lvl>
    <w:lvl w:ilvl="1" w:tplc="04090003" w:tentative="1">
      <w:start w:val="1"/>
      <w:numFmt w:val="bullet"/>
      <w:lvlText w:val=""/>
      <w:lvlJc w:val="left"/>
      <w:pPr>
        <w:ind w:left="4639" w:hanging="420"/>
      </w:pPr>
      <w:rPr>
        <w:rFonts w:ascii="Wingdings" w:hAnsi="Wingdings" w:hint="default"/>
      </w:rPr>
    </w:lvl>
    <w:lvl w:ilvl="2" w:tplc="04090005" w:tentative="1">
      <w:start w:val="1"/>
      <w:numFmt w:val="bullet"/>
      <w:lvlText w:val=""/>
      <w:lvlJc w:val="left"/>
      <w:pPr>
        <w:ind w:left="5059" w:hanging="420"/>
      </w:pPr>
      <w:rPr>
        <w:rFonts w:ascii="Wingdings" w:hAnsi="Wingdings" w:hint="default"/>
      </w:rPr>
    </w:lvl>
    <w:lvl w:ilvl="3" w:tplc="04090001" w:tentative="1">
      <w:start w:val="1"/>
      <w:numFmt w:val="bullet"/>
      <w:lvlText w:val=""/>
      <w:lvlJc w:val="left"/>
      <w:pPr>
        <w:ind w:left="5479" w:hanging="420"/>
      </w:pPr>
      <w:rPr>
        <w:rFonts w:ascii="Wingdings" w:hAnsi="Wingdings" w:hint="default"/>
      </w:rPr>
    </w:lvl>
    <w:lvl w:ilvl="4" w:tplc="04090003" w:tentative="1">
      <w:start w:val="1"/>
      <w:numFmt w:val="bullet"/>
      <w:lvlText w:val=""/>
      <w:lvlJc w:val="left"/>
      <w:pPr>
        <w:ind w:left="5899" w:hanging="420"/>
      </w:pPr>
      <w:rPr>
        <w:rFonts w:ascii="Wingdings" w:hAnsi="Wingdings" w:hint="default"/>
      </w:rPr>
    </w:lvl>
    <w:lvl w:ilvl="5" w:tplc="04090005" w:tentative="1">
      <w:start w:val="1"/>
      <w:numFmt w:val="bullet"/>
      <w:lvlText w:val=""/>
      <w:lvlJc w:val="left"/>
      <w:pPr>
        <w:ind w:left="6319" w:hanging="420"/>
      </w:pPr>
      <w:rPr>
        <w:rFonts w:ascii="Wingdings" w:hAnsi="Wingdings" w:hint="default"/>
      </w:rPr>
    </w:lvl>
    <w:lvl w:ilvl="6" w:tplc="04090001" w:tentative="1">
      <w:start w:val="1"/>
      <w:numFmt w:val="bullet"/>
      <w:lvlText w:val=""/>
      <w:lvlJc w:val="left"/>
      <w:pPr>
        <w:ind w:left="6739" w:hanging="420"/>
      </w:pPr>
      <w:rPr>
        <w:rFonts w:ascii="Wingdings" w:hAnsi="Wingdings" w:hint="default"/>
      </w:rPr>
    </w:lvl>
    <w:lvl w:ilvl="7" w:tplc="04090003" w:tentative="1">
      <w:start w:val="1"/>
      <w:numFmt w:val="bullet"/>
      <w:lvlText w:val=""/>
      <w:lvlJc w:val="left"/>
      <w:pPr>
        <w:ind w:left="7159" w:hanging="420"/>
      </w:pPr>
      <w:rPr>
        <w:rFonts w:ascii="Wingdings" w:hAnsi="Wingdings" w:hint="default"/>
      </w:rPr>
    </w:lvl>
    <w:lvl w:ilvl="8" w:tplc="04090005" w:tentative="1">
      <w:start w:val="1"/>
      <w:numFmt w:val="bullet"/>
      <w:lvlText w:val=""/>
      <w:lvlJc w:val="left"/>
      <w:pPr>
        <w:ind w:left="7579" w:hanging="420"/>
      </w:pPr>
      <w:rPr>
        <w:rFonts w:ascii="Wingdings" w:hAnsi="Wingdings" w:hint="default"/>
      </w:rPr>
    </w:lvl>
  </w:abstractNum>
  <w:num w:numId="1">
    <w:abstractNumId w:val="2"/>
  </w:num>
  <w:num w:numId="2">
    <w:abstractNumId w:val="5"/>
  </w:num>
  <w:num w:numId="3">
    <w:abstractNumId w:val="0"/>
  </w:num>
  <w:num w:numId="4">
    <w:abstractNumId w:val="2"/>
  </w:num>
  <w:num w:numId="5">
    <w:abstractNumId w:val="6"/>
  </w:num>
  <w:num w:numId="6">
    <w:abstractNumId w:val="1"/>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608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0000"/>
    <w:rsid w:val="00012262"/>
    <w:rsid w:val="00014D59"/>
    <w:rsid w:val="00015ACA"/>
    <w:rsid w:val="000270BA"/>
    <w:rsid w:val="00034C20"/>
    <w:rsid w:val="00035AD1"/>
    <w:rsid w:val="00042075"/>
    <w:rsid w:val="00046A25"/>
    <w:rsid w:val="0004788A"/>
    <w:rsid w:val="000479B9"/>
    <w:rsid w:val="000508EF"/>
    <w:rsid w:val="00051D6E"/>
    <w:rsid w:val="00063791"/>
    <w:rsid w:val="00067B41"/>
    <w:rsid w:val="0007052A"/>
    <w:rsid w:val="00076CC8"/>
    <w:rsid w:val="00077081"/>
    <w:rsid w:val="000912A9"/>
    <w:rsid w:val="00091E65"/>
    <w:rsid w:val="00097485"/>
    <w:rsid w:val="000A0415"/>
    <w:rsid w:val="000A1F25"/>
    <w:rsid w:val="000A3D47"/>
    <w:rsid w:val="000A7DFA"/>
    <w:rsid w:val="000B032E"/>
    <w:rsid w:val="000B5C24"/>
    <w:rsid w:val="000B6B40"/>
    <w:rsid w:val="000C4326"/>
    <w:rsid w:val="000C4AFC"/>
    <w:rsid w:val="000D2659"/>
    <w:rsid w:val="000D365A"/>
    <w:rsid w:val="000D3FAC"/>
    <w:rsid w:val="000F36A6"/>
    <w:rsid w:val="000F416E"/>
    <w:rsid w:val="000F615A"/>
    <w:rsid w:val="000F646B"/>
    <w:rsid w:val="000F6DE2"/>
    <w:rsid w:val="0010367F"/>
    <w:rsid w:val="0010418E"/>
    <w:rsid w:val="00104736"/>
    <w:rsid w:val="00107568"/>
    <w:rsid w:val="00110AD1"/>
    <w:rsid w:val="00117A44"/>
    <w:rsid w:val="001201B9"/>
    <w:rsid w:val="00121969"/>
    <w:rsid w:val="00137D07"/>
    <w:rsid w:val="00153FEE"/>
    <w:rsid w:val="00154F3D"/>
    <w:rsid w:val="00155ED0"/>
    <w:rsid w:val="00166638"/>
    <w:rsid w:val="00172781"/>
    <w:rsid w:val="00175225"/>
    <w:rsid w:val="001778D4"/>
    <w:rsid w:val="00186A0E"/>
    <w:rsid w:val="00191D10"/>
    <w:rsid w:val="001922AD"/>
    <w:rsid w:val="00193783"/>
    <w:rsid w:val="001944F4"/>
    <w:rsid w:val="001A1ABB"/>
    <w:rsid w:val="001A264C"/>
    <w:rsid w:val="001A28E2"/>
    <w:rsid w:val="001B7053"/>
    <w:rsid w:val="001C0CB7"/>
    <w:rsid w:val="001C250E"/>
    <w:rsid w:val="001C36F6"/>
    <w:rsid w:val="001D2D05"/>
    <w:rsid w:val="001D6576"/>
    <w:rsid w:val="001E15A4"/>
    <w:rsid w:val="001F0E7E"/>
    <w:rsid w:val="001F4BB3"/>
    <w:rsid w:val="00200D9D"/>
    <w:rsid w:val="00201A9F"/>
    <w:rsid w:val="00202A39"/>
    <w:rsid w:val="00205387"/>
    <w:rsid w:val="0020765A"/>
    <w:rsid w:val="002133BC"/>
    <w:rsid w:val="00215258"/>
    <w:rsid w:val="00220F90"/>
    <w:rsid w:val="00227DDD"/>
    <w:rsid w:val="00234974"/>
    <w:rsid w:val="00235B22"/>
    <w:rsid w:val="00246AA7"/>
    <w:rsid w:val="00253E67"/>
    <w:rsid w:val="0025520E"/>
    <w:rsid w:val="00257C56"/>
    <w:rsid w:val="00263666"/>
    <w:rsid w:val="00276482"/>
    <w:rsid w:val="0028336F"/>
    <w:rsid w:val="00285F2E"/>
    <w:rsid w:val="00291335"/>
    <w:rsid w:val="00297C62"/>
    <w:rsid w:val="002A2D59"/>
    <w:rsid w:val="002A3452"/>
    <w:rsid w:val="002A360C"/>
    <w:rsid w:val="002A3C38"/>
    <w:rsid w:val="002B1B74"/>
    <w:rsid w:val="002B7BC5"/>
    <w:rsid w:val="002C1F36"/>
    <w:rsid w:val="002C73BC"/>
    <w:rsid w:val="002D0DA8"/>
    <w:rsid w:val="002E19B7"/>
    <w:rsid w:val="002E6C55"/>
    <w:rsid w:val="002F3733"/>
    <w:rsid w:val="00304A59"/>
    <w:rsid w:val="003167E2"/>
    <w:rsid w:val="00317065"/>
    <w:rsid w:val="00322DDC"/>
    <w:rsid w:val="00323DB5"/>
    <w:rsid w:val="00326CC2"/>
    <w:rsid w:val="00326ED7"/>
    <w:rsid w:val="00340056"/>
    <w:rsid w:val="00347B08"/>
    <w:rsid w:val="0035207B"/>
    <w:rsid w:val="00357118"/>
    <w:rsid w:val="003629A1"/>
    <w:rsid w:val="00362C12"/>
    <w:rsid w:val="003635FF"/>
    <w:rsid w:val="003678AF"/>
    <w:rsid w:val="00367B17"/>
    <w:rsid w:val="003720BE"/>
    <w:rsid w:val="00383C91"/>
    <w:rsid w:val="003A6147"/>
    <w:rsid w:val="003B25FA"/>
    <w:rsid w:val="003B2FC9"/>
    <w:rsid w:val="003B4302"/>
    <w:rsid w:val="003C065E"/>
    <w:rsid w:val="003C213D"/>
    <w:rsid w:val="003C328F"/>
    <w:rsid w:val="003C7CB0"/>
    <w:rsid w:val="003D1982"/>
    <w:rsid w:val="003D6313"/>
    <w:rsid w:val="003D649C"/>
    <w:rsid w:val="003D659A"/>
    <w:rsid w:val="003D7093"/>
    <w:rsid w:val="003E096A"/>
    <w:rsid w:val="003E1DB7"/>
    <w:rsid w:val="003E6F8F"/>
    <w:rsid w:val="003F0349"/>
    <w:rsid w:val="003F123A"/>
    <w:rsid w:val="004010CD"/>
    <w:rsid w:val="0041111A"/>
    <w:rsid w:val="0041489E"/>
    <w:rsid w:val="004219CC"/>
    <w:rsid w:val="00423546"/>
    <w:rsid w:val="004337BE"/>
    <w:rsid w:val="00447BE2"/>
    <w:rsid w:val="00467A65"/>
    <w:rsid w:val="00472FF3"/>
    <w:rsid w:val="00476B25"/>
    <w:rsid w:val="00481C92"/>
    <w:rsid w:val="0048306B"/>
    <w:rsid w:val="00485316"/>
    <w:rsid w:val="00486443"/>
    <w:rsid w:val="004952FD"/>
    <w:rsid w:val="00495D45"/>
    <w:rsid w:val="004A685A"/>
    <w:rsid w:val="004C58C5"/>
    <w:rsid w:val="004D02C3"/>
    <w:rsid w:val="004D35F8"/>
    <w:rsid w:val="004D4CF2"/>
    <w:rsid w:val="004D5D53"/>
    <w:rsid w:val="004E52E4"/>
    <w:rsid w:val="004F18A7"/>
    <w:rsid w:val="004F3100"/>
    <w:rsid w:val="004F36B3"/>
    <w:rsid w:val="004F7494"/>
    <w:rsid w:val="00504AD5"/>
    <w:rsid w:val="00506F37"/>
    <w:rsid w:val="005101C7"/>
    <w:rsid w:val="00514F79"/>
    <w:rsid w:val="0051766A"/>
    <w:rsid w:val="00517B34"/>
    <w:rsid w:val="00521464"/>
    <w:rsid w:val="00522FE3"/>
    <w:rsid w:val="00527130"/>
    <w:rsid w:val="0052730D"/>
    <w:rsid w:val="00527500"/>
    <w:rsid w:val="005305C0"/>
    <w:rsid w:val="00532273"/>
    <w:rsid w:val="00533005"/>
    <w:rsid w:val="00535448"/>
    <w:rsid w:val="00541A1F"/>
    <w:rsid w:val="0054298F"/>
    <w:rsid w:val="00542C3B"/>
    <w:rsid w:val="00551904"/>
    <w:rsid w:val="0055261D"/>
    <w:rsid w:val="00556B8C"/>
    <w:rsid w:val="00556D14"/>
    <w:rsid w:val="00557295"/>
    <w:rsid w:val="00561462"/>
    <w:rsid w:val="005766CD"/>
    <w:rsid w:val="00576BED"/>
    <w:rsid w:val="00581950"/>
    <w:rsid w:val="00584911"/>
    <w:rsid w:val="00593F90"/>
    <w:rsid w:val="00595E82"/>
    <w:rsid w:val="00597A52"/>
    <w:rsid w:val="005A05FA"/>
    <w:rsid w:val="005A5000"/>
    <w:rsid w:val="005A7743"/>
    <w:rsid w:val="005B38D8"/>
    <w:rsid w:val="005B6681"/>
    <w:rsid w:val="005C0A01"/>
    <w:rsid w:val="005C3D8F"/>
    <w:rsid w:val="005D6D3D"/>
    <w:rsid w:val="005E37FE"/>
    <w:rsid w:val="005F5A3D"/>
    <w:rsid w:val="00607450"/>
    <w:rsid w:val="006120CE"/>
    <w:rsid w:val="00622694"/>
    <w:rsid w:val="00623C62"/>
    <w:rsid w:val="00627611"/>
    <w:rsid w:val="006465B5"/>
    <w:rsid w:val="00650B22"/>
    <w:rsid w:val="00652758"/>
    <w:rsid w:val="00656031"/>
    <w:rsid w:val="006605A4"/>
    <w:rsid w:val="00661160"/>
    <w:rsid w:val="00663264"/>
    <w:rsid w:val="006709B3"/>
    <w:rsid w:val="00681C49"/>
    <w:rsid w:val="0068621D"/>
    <w:rsid w:val="00686AEE"/>
    <w:rsid w:val="00697713"/>
    <w:rsid w:val="006A486C"/>
    <w:rsid w:val="006A7944"/>
    <w:rsid w:val="006B6ED3"/>
    <w:rsid w:val="006C06B1"/>
    <w:rsid w:val="006D1867"/>
    <w:rsid w:val="0070775C"/>
    <w:rsid w:val="00710621"/>
    <w:rsid w:val="00716B60"/>
    <w:rsid w:val="00720CBC"/>
    <w:rsid w:val="00726A6B"/>
    <w:rsid w:val="00730927"/>
    <w:rsid w:val="00734798"/>
    <w:rsid w:val="00734B8A"/>
    <w:rsid w:val="0073717A"/>
    <w:rsid w:val="00737E51"/>
    <w:rsid w:val="00741A67"/>
    <w:rsid w:val="007439AB"/>
    <w:rsid w:val="007440A8"/>
    <w:rsid w:val="0074607E"/>
    <w:rsid w:val="007467BB"/>
    <w:rsid w:val="00747C80"/>
    <w:rsid w:val="00754445"/>
    <w:rsid w:val="00757751"/>
    <w:rsid w:val="00761F57"/>
    <w:rsid w:val="007703AC"/>
    <w:rsid w:val="007713B6"/>
    <w:rsid w:val="007716EA"/>
    <w:rsid w:val="007810C5"/>
    <w:rsid w:val="00794488"/>
    <w:rsid w:val="007954D1"/>
    <w:rsid w:val="00796408"/>
    <w:rsid w:val="00796773"/>
    <w:rsid w:val="00797C76"/>
    <w:rsid w:val="007B4D64"/>
    <w:rsid w:val="007B61B8"/>
    <w:rsid w:val="007C62C3"/>
    <w:rsid w:val="007E632C"/>
    <w:rsid w:val="007F63EE"/>
    <w:rsid w:val="00803439"/>
    <w:rsid w:val="00807057"/>
    <w:rsid w:val="00812E94"/>
    <w:rsid w:val="0081385D"/>
    <w:rsid w:val="00826DB0"/>
    <w:rsid w:val="00831B9E"/>
    <w:rsid w:val="008514AA"/>
    <w:rsid w:val="00851DCE"/>
    <w:rsid w:val="00875182"/>
    <w:rsid w:val="008762B1"/>
    <w:rsid w:val="00876718"/>
    <w:rsid w:val="0087748D"/>
    <w:rsid w:val="008840A4"/>
    <w:rsid w:val="008850F5"/>
    <w:rsid w:val="0089079A"/>
    <w:rsid w:val="00891D61"/>
    <w:rsid w:val="00891FF9"/>
    <w:rsid w:val="008954A3"/>
    <w:rsid w:val="00896544"/>
    <w:rsid w:val="00896D1C"/>
    <w:rsid w:val="008A055B"/>
    <w:rsid w:val="008A581C"/>
    <w:rsid w:val="008A624E"/>
    <w:rsid w:val="008B16C7"/>
    <w:rsid w:val="008B5C41"/>
    <w:rsid w:val="008B77F3"/>
    <w:rsid w:val="008C1B37"/>
    <w:rsid w:val="008D2D17"/>
    <w:rsid w:val="008D59F2"/>
    <w:rsid w:val="008E4206"/>
    <w:rsid w:val="008E6B45"/>
    <w:rsid w:val="008F0547"/>
    <w:rsid w:val="008F0805"/>
    <w:rsid w:val="008F60EA"/>
    <w:rsid w:val="0090625F"/>
    <w:rsid w:val="009077E1"/>
    <w:rsid w:val="00913813"/>
    <w:rsid w:val="009201F7"/>
    <w:rsid w:val="00932305"/>
    <w:rsid w:val="0093611D"/>
    <w:rsid w:val="009413BB"/>
    <w:rsid w:val="00950113"/>
    <w:rsid w:val="00951DA5"/>
    <w:rsid w:val="00952670"/>
    <w:rsid w:val="0095450B"/>
    <w:rsid w:val="0096583A"/>
    <w:rsid w:val="00980996"/>
    <w:rsid w:val="009829CF"/>
    <w:rsid w:val="009867A3"/>
    <w:rsid w:val="009929AE"/>
    <w:rsid w:val="009A42DA"/>
    <w:rsid w:val="009A5109"/>
    <w:rsid w:val="009A72F8"/>
    <w:rsid w:val="009B34DA"/>
    <w:rsid w:val="009C3E43"/>
    <w:rsid w:val="009D2267"/>
    <w:rsid w:val="009D5ADD"/>
    <w:rsid w:val="009D6B75"/>
    <w:rsid w:val="009D720A"/>
    <w:rsid w:val="009D73D7"/>
    <w:rsid w:val="009E62EB"/>
    <w:rsid w:val="009E6E2F"/>
    <w:rsid w:val="009F1EF9"/>
    <w:rsid w:val="009F22BD"/>
    <w:rsid w:val="009F7C65"/>
    <w:rsid w:val="009F7D94"/>
    <w:rsid w:val="00A11CA1"/>
    <w:rsid w:val="00A13C9A"/>
    <w:rsid w:val="00A21013"/>
    <w:rsid w:val="00A214EE"/>
    <w:rsid w:val="00A22580"/>
    <w:rsid w:val="00A22DB9"/>
    <w:rsid w:val="00A2331F"/>
    <w:rsid w:val="00A245D0"/>
    <w:rsid w:val="00A40C21"/>
    <w:rsid w:val="00A50962"/>
    <w:rsid w:val="00A53967"/>
    <w:rsid w:val="00A60F45"/>
    <w:rsid w:val="00A63B3E"/>
    <w:rsid w:val="00A66B88"/>
    <w:rsid w:val="00A720AF"/>
    <w:rsid w:val="00A74E54"/>
    <w:rsid w:val="00A848DB"/>
    <w:rsid w:val="00A84CFD"/>
    <w:rsid w:val="00A8660A"/>
    <w:rsid w:val="00A86866"/>
    <w:rsid w:val="00A924B7"/>
    <w:rsid w:val="00AA4E0C"/>
    <w:rsid w:val="00AB0CFC"/>
    <w:rsid w:val="00AB1B62"/>
    <w:rsid w:val="00AB1BFC"/>
    <w:rsid w:val="00AC09E6"/>
    <w:rsid w:val="00AC3920"/>
    <w:rsid w:val="00AC4A2D"/>
    <w:rsid w:val="00AD0901"/>
    <w:rsid w:val="00AD4E0B"/>
    <w:rsid w:val="00AE16B0"/>
    <w:rsid w:val="00AE1F5D"/>
    <w:rsid w:val="00AE276F"/>
    <w:rsid w:val="00AE36A8"/>
    <w:rsid w:val="00AE4171"/>
    <w:rsid w:val="00AF3242"/>
    <w:rsid w:val="00AF5537"/>
    <w:rsid w:val="00B02487"/>
    <w:rsid w:val="00B02D5A"/>
    <w:rsid w:val="00B0520F"/>
    <w:rsid w:val="00B06C4E"/>
    <w:rsid w:val="00B10000"/>
    <w:rsid w:val="00B12422"/>
    <w:rsid w:val="00B23301"/>
    <w:rsid w:val="00B23F92"/>
    <w:rsid w:val="00B30055"/>
    <w:rsid w:val="00B3278B"/>
    <w:rsid w:val="00B32BEF"/>
    <w:rsid w:val="00B5217E"/>
    <w:rsid w:val="00B56562"/>
    <w:rsid w:val="00B57CA3"/>
    <w:rsid w:val="00B61C4D"/>
    <w:rsid w:val="00B63675"/>
    <w:rsid w:val="00B63E8B"/>
    <w:rsid w:val="00B72CE8"/>
    <w:rsid w:val="00B7645C"/>
    <w:rsid w:val="00B8403D"/>
    <w:rsid w:val="00B8485F"/>
    <w:rsid w:val="00B85F28"/>
    <w:rsid w:val="00BA087B"/>
    <w:rsid w:val="00BA3961"/>
    <w:rsid w:val="00BA67C3"/>
    <w:rsid w:val="00BB029E"/>
    <w:rsid w:val="00BB7C11"/>
    <w:rsid w:val="00BC1B91"/>
    <w:rsid w:val="00BC718D"/>
    <w:rsid w:val="00BD0181"/>
    <w:rsid w:val="00BD17F1"/>
    <w:rsid w:val="00BD67E7"/>
    <w:rsid w:val="00BF1CE5"/>
    <w:rsid w:val="00BF5023"/>
    <w:rsid w:val="00C02A66"/>
    <w:rsid w:val="00C03587"/>
    <w:rsid w:val="00C06759"/>
    <w:rsid w:val="00C102B7"/>
    <w:rsid w:val="00C11DBC"/>
    <w:rsid w:val="00C16CC6"/>
    <w:rsid w:val="00C2229B"/>
    <w:rsid w:val="00C30549"/>
    <w:rsid w:val="00C325E7"/>
    <w:rsid w:val="00C3480A"/>
    <w:rsid w:val="00C40966"/>
    <w:rsid w:val="00C40DAA"/>
    <w:rsid w:val="00C426D9"/>
    <w:rsid w:val="00C53CB9"/>
    <w:rsid w:val="00C619A9"/>
    <w:rsid w:val="00C65073"/>
    <w:rsid w:val="00C736DA"/>
    <w:rsid w:val="00C737A4"/>
    <w:rsid w:val="00C7455A"/>
    <w:rsid w:val="00C806CE"/>
    <w:rsid w:val="00C90373"/>
    <w:rsid w:val="00C90CF5"/>
    <w:rsid w:val="00C92123"/>
    <w:rsid w:val="00C9278F"/>
    <w:rsid w:val="00C94131"/>
    <w:rsid w:val="00CB0357"/>
    <w:rsid w:val="00CD1438"/>
    <w:rsid w:val="00CD6014"/>
    <w:rsid w:val="00CE19DC"/>
    <w:rsid w:val="00CE5A28"/>
    <w:rsid w:val="00CE5EEB"/>
    <w:rsid w:val="00CE75AA"/>
    <w:rsid w:val="00CF070E"/>
    <w:rsid w:val="00CF7718"/>
    <w:rsid w:val="00D0248D"/>
    <w:rsid w:val="00D02871"/>
    <w:rsid w:val="00D037BB"/>
    <w:rsid w:val="00D101ED"/>
    <w:rsid w:val="00D10230"/>
    <w:rsid w:val="00D13871"/>
    <w:rsid w:val="00D141F1"/>
    <w:rsid w:val="00D15185"/>
    <w:rsid w:val="00D27C7D"/>
    <w:rsid w:val="00D3320C"/>
    <w:rsid w:val="00D4347E"/>
    <w:rsid w:val="00D452D8"/>
    <w:rsid w:val="00D46801"/>
    <w:rsid w:val="00D546B9"/>
    <w:rsid w:val="00D549CA"/>
    <w:rsid w:val="00D62F88"/>
    <w:rsid w:val="00D6532C"/>
    <w:rsid w:val="00D857C4"/>
    <w:rsid w:val="00D860C3"/>
    <w:rsid w:val="00D92CE8"/>
    <w:rsid w:val="00D963A3"/>
    <w:rsid w:val="00DB2F6A"/>
    <w:rsid w:val="00DB3201"/>
    <w:rsid w:val="00DB3675"/>
    <w:rsid w:val="00DB76E6"/>
    <w:rsid w:val="00DC5E44"/>
    <w:rsid w:val="00DF30FC"/>
    <w:rsid w:val="00DF4203"/>
    <w:rsid w:val="00E046A0"/>
    <w:rsid w:val="00E0655D"/>
    <w:rsid w:val="00E30A4D"/>
    <w:rsid w:val="00E31D5D"/>
    <w:rsid w:val="00E363CF"/>
    <w:rsid w:val="00E3692A"/>
    <w:rsid w:val="00E4526D"/>
    <w:rsid w:val="00E46957"/>
    <w:rsid w:val="00E51B48"/>
    <w:rsid w:val="00E61273"/>
    <w:rsid w:val="00E612B5"/>
    <w:rsid w:val="00E61303"/>
    <w:rsid w:val="00E625E2"/>
    <w:rsid w:val="00E645A1"/>
    <w:rsid w:val="00E8436B"/>
    <w:rsid w:val="00E90760"/>
    <w:rsid w:val="00E917FC"/>
    <w:rsid w:val="00E92C3E"/>
    <w:rsid w:val="00E94478"/>
    <w:rsid w:val="00E96F50"/>
    <w:rsid w:val="00E9785E"/>
    <w:rsid w:val="00EA19D3"/>
    <w:rsid w:val="00EB1200"/>
    <w:rsid w:val="00EB2176"/>
    <w:rsid w:val="00EB2D87"/>
    <w:rsid w:val="00EB4876"/>
    <w:rsid w:val="00EB4AE2"/>
    <w:rsid w:val="00EC4D9E"/>
    <w:rsid w:val="00EC63FE"/>
    <w:rsid w:val="00EC74F0"/>
    <w:rsid w:val="00EC7689"/>
    <w:rsid w:val="00ED29F6"/>
    <w:rsid w:val="00EF2A16"/>
    <w:rsid w:val="00F128CA"/>
    <w:rsid w:val="00F1540C"/>
    <w:rsid w:val="00F15BBF"/>
    <w:rsid w:val="00F1618F"/>
    <w:rsid w:val="00F3036C"/>
    <w:rsid w:val="00F32489"/>
    <w:rsid w:val="00F32D1E"/>
    <w:rsid w:val="00F3366A"/>
    <w:rsid w:val="00F35348"/>
    <w:rsid w:val="00F42AFF"/>
    <w:rsid w:val="00F56F61"/>
    <w:rsid w:val="00F62947"/>
    <w:rsid w:val="00F72D7D"/>
    <w:rsid w:val="00F75406"/>
    <w:rsid w:val="00F75675"/>
    <w:rsid w:val="00F76B16"/>
    <w:rsid w:val="00F9468C"/>
    <w:rsid w:val="00F95438"/>
    <w:rsid w:val="00F95967"/>
    <w:rsid w:val="00F95E6D"/>
    <w:rsid w:val="00FA6EF3"/>
    <w:rsid w:val="00FB6B3F"/>
    <w:rsid w:val="00FB7D70"/>
    <w:rsid w:val="00FC28F4"/>
    <w:rsid w:val="00FC3B5B"/>
    <w:rsid w:val="00FC71D2"/>
    <w:rsid w:val="00FC7CA1"/>
    <w:rsid w:val="00FD5CAA"/>
    <w:rsid w:val="00FE5C5F"/>
    <w:rsid w:val="00FF2253"/>
    <w:rsid w:val="00FF4A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A614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semiHidden/>
    <w:unhideWhenUsed/>
    <w:rsid w:val="00B100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B10000"/>
    <w:rPr>
      <w:sz w:val="18"/>
      <w:szCs w:val="18"/>
    </w:rPr>
  </w:style>
  <w:style w:type="paragraph" w:styleId="a5">
    <w:name w:val="footer"/>
    <w:basedOn w:val="a0"/>
    <w:link w:val="Char0"/>
    <w:uiPriority w:val="99"/>
    <w:unhideWhenUsed/>
    <w:rsid w:val="00B10000"/>
    <w:pPr>
      <w:tabs>
        <w:tab w:val="center" w:pos="4153"/>
        <w:tab w:val="right" w:pos="8306"/>
      </w:tabs>
      <w:snapToGrid w:val="0"/>
      <w:jc w:val="left"/>
    </w:pPr>
    <w:rPr>
      <w:sz w:val="18"/>
      <w:szCs w:val="18"/>
    </w:rPr>
  </w:style>
  <w:style w:type="character" w:customStyle="1" w:styleId="Char0">
    <w:name w:val="页脚 Char"/>
    <w:basedOn w:val="a1"/>
    <w:link w:val="a5"/>
    <w:uiPriority w:val="99"/>
    <w:rsid w:val="00B10000"/>
    <w:rPr>
      <w:sz w:val="18"/>
      <w:szCs w:val="18"/>
    </w:rPr>
  </w:style>
  <w:style w:type="paragraph" w:customStyle="1" w:styleId="a6">
    <w:name w:val="页眉报告名称"/>
    <w:link w:val="Char1"/>
    <w:autoRedefine/>
    <w:qFormat/>
    <w:rsid w:val="00B10000"/>
    <w:pPr>
      <w:spacing w:afterLines="100" w:line="240" w:lineRule="exact"/>
      <w:jc w:val="both"/>
    </w:pPr>
    <w:rPr>
      <w:rFonts w:ascii="Calibri" w:eastAsia="华文新魏" w:hAnsi="Calibri" w:cs="Times New Roman"/>
      <w:sz w:val="24"/>
    </w:rPr>
  </w:style>
  <w:style w:type="character" w:customStyle="1" w:styleId="Char1">
    <w:name w:val="页眉报告名称 Char"/>
    <w:basedOn w:val="a1"/>
    <w:link w:val="a6"/>
    <w:rsid w:val="00B10000"/>
    <w:rPr>
      <w:rFonts w:ascii="Calibri" w:eastAsia="华文新魏" w:hAnsi="Calibri" w:cs="Times New Roman"/>
      <w:sz w:val="24"/>
    </w:rPr>
  </w:style>
  <w:style w:type="paragraph" w:customStyle="1" w:styleId="a7">
    <w:name w:val="页眉图片"/>
    <w:basedOn w:val="a4"/>
    <w:link w:val="Char2"/>
    <w:qFormat/>
    <w:rsid w:val="00B10000"/>
    <w:pPr>
      <w:pBdr>
        <w:bottom w:val="none" w:sz="0" w:space="0" w:color="auto"/>
      </w:pBdr>
      <w:tabs>
        <w:tab w:val="clear" w:pos="4153"/>
        <w:tab w:val="clear" w:pos="8306"/>
        <w:tab w:val="right" w:pos="11424"/>
      </w:tabs>
      <w:jc w:val="left"/>
    </w:pPr>
    <w:rPr>
      <w:rFonts w:ascii="Calibri" w:eastAsia="宋体" w:hAnsi="Calibri" w:cs="Times New Roman"/>
      <w:noProof/>
    </w:rPr>
  </w:style>
  <w:style w:type="character" w:customStyle="1" w:styleId="Char2">
    <w:name w:val="页眉图片 Char"/>
    <w:basedOn w:val="Char"/>
    <w:link w:val="a7"/>
    <w:rsid w:val="00B10000"/>
    <w:rPr>
      <w:rFonts w:ascii="Calibri" w:eastAsia="宋体" w:hAnsi="Calibri" w:cs="Times New Roman"/>
      <w:noProof/>
    </w:rPr>
  </w:style>
  <w:style w:type="paragraph" w:customStyle="1" w:styleId="a8">
    <w:name w:val="页眉处日期"/>
    <w:basedOn w:val="a0"/>
    <w:link w:val="Char3"/>
    <w:qFormat/>
    <w:rsid w:val="00B10000"/>
    <w:pPr>
      <w:tabs>
        <w:tab w:val="right" w:pos="11424"/>
      </w:tabs>
      <w:snapToGrid w:val="0"/>
      <w:jc w:val="left"/>
    </w:pPr>
    <w:rPr>
      <w:rFonts w:ascii="华文隶书" w:eastAsia="华文隶书" w:hAnsi="Calibri" w:cs="Times New Roman"/>
      <w:b/>
      <w:sz w:val="24"/>
      <w:szCs w:val="24"/>
    </w:rPr>
  </w:style>
  <w:style w:type="paragraph" w:customStyle="1" w:styleId="a9">
    <w:name w:val="页眉副标题"/>
    <w:basedOn w:val="a0"/>
    <w:link w:val="Char4"/>
    <w:qFormat/>
    <w:rsid w:val="00B10000"/>
    <w:pPr>
      <w:tabs>
        <w:tab w:val="right" w:pos="11424"/>
      </w:tabs>
      <w:snapToGrid w:val="0"/>
      <w:jc w:val="left"/>
    </w:pPr>
    <w:rPr>
      <w:rFonts w:ascii="华文隶书" w:eastAsia="华文隶书" w:hAnsi="Calibri" w:cs="Times New Roman"/>
      <w:sz w:val="36"/>
      <w:szCs w:val="36"/>
    </w:rPr>
  </w:style>
  <w:style w:type="character" w:customStyle="1" w:styleId="Char3">
    <w:name w:val="页眉处日期 Char"/>
    <w:basedOn w:val="a1"/>
    <w:link w:val="a8"/>
    <w:rsid w:val="00B10000"/>
    <w:rPr>
      <w:rFonts w:ascii="华文隶书" w:eastAsia="华文隶书" w:hAnsi="Calibri" w:cs="Times New Roman"/>
      <w:b/>
      <w:sz w:val="24"/>
      <w:szCs w:val="24"/>
    </w:rPr>
  </w:style>
  <w:style w:type="character" w:customStyle="1" w:styleId="Char4">
    <w:name w:val="页眉副标题 Char"/>
    <w:basedOn w:val="a1"/>
    <w:link w:val="a9"/>
    <w:rsid w:val="00B10000"/>
    <w:rPr>
      <w:rFonts w:ascii="华文隶书" w:eastAsia="华文隶书" w:hAnsi="Calibri" w:cs="Times New Roman"/>
      <w:sz w:val="36"/>
      <w:szCs w:val="36"/>
    </w:rPr>
  </w:style>
  <w:style w:type="paragraph" w:customStyle="1" w:styleId="aa">
    <w:name w:val="页眉的分析师"/>
    <w:basedOn w:val="a0"/>
    <w:link w:val="Char5"/>
    <w:qFormat/>
    <w:rsid w:val="00B10000"/>
    <w:pPr>
      <w:tabs>
        <w:tab w:val="right" w:pos="11424"/>
      </w:tabs>
      <w:snapToGrid w:val="0"/>
      <w:spacing w:line="240" w:lineRule="exact"/>
      <w:jc w:val="right"/>
    </w:pPr>
    <w:rPr>
      <w:rFonts w:ascii="华文新魏" w:eastAsia="华文新魏" w:hAnsi="Calibri" w:cs="Times New Roman"/>
      <w:szCs w:val="21"/>
    </w:rPr>
  </w:style>
  <w:style w:type="character" w:customStyle="1" w:styleId="Char5">
    <w:name w:val="页眉的分析师 Char"/>
    <w:basedOn w:val="a1"/>
    <w:link w:val="aa"/>
    <w:rsid w:val="00B10000"/>
    <w:rPr>
      <w:rFonts w:ascii="华文新魏" w:eastAsia="华文新魏" w:hAnsi="Calibri" w:cs="Times New Roman"/>
      <w:szCs w:val="21"/>
    </w:rPr>
  </w:style>
  <w:style w:type="paragraph" w:customStyle="1" w:styleId="12">
    <w:name w:val="页眉12"/>
    <w:basedOn w:val="a4"/>
    <w:link w:val="12Char"/>
    <w:qFormat/>
    <w:rsid w:val="00B10000"/>
    <w:pPr>
      <w:pBdr>
        <w:bottom w:val="none" w:sz="0" w:space="0" w:color="auto"/>
      </w:pBdr>
      <w:tabs>
        <w:tab w:val="clear" w:pos="4153"/>
        <w:tab w:val="clear" w:pos="8306"/>
        <w:tab w:val="right" w:pos="11424"/>
      </w:tabs>
      <w:jc w:val="left"/>
    </w:pPr>
    <w:rPr>
      <w:rFonts w:ascii="Calibri" w:eastAsia="宋体" w:hAnsi="Calibri" w:cs="Times New Roman"/>
    </w:rPr>
  </w:style>
  <w:style w:type="character" w:customStyle="1" w:styleId="12Char">
    <w:name w:val="页眉12 Char"/>
    <w:basedOn w:val="Char"/>
    <w:link w:val="12"/>
    <w:rsid w:val="00B10000"/>
    <w:rPr>
      <w:rFonts w:ascii="Calibri" w:eastAsia="宋体" w:hAnsi="Calibri" w:cs="Times New Roman"/>
    </w:rPr>
  </w:style>
  <w:style w:type="paragraph" w:customStyle="1" w:styleId="2">
    <w:name w:val="页眉副标题2"/>
    <w:basedOn w:val="12"/>
    <w:link w:val="2Char"/>
    <w:qFormat/>
    <w:rsid w:val="00B10000"/>
    <w:pPr>
      <w:jc w:val="right"/>
    </w:pPr>
    <w:rPr>
      <w:rFonts w:ascii="华文隶书" w:eastAsia="华文隶书"/>
      <w:sz w:val="21"/>
      <w:szCs w:val="21"/>
    </w:rPr>
  </w:style>
  <w:style w:type="character" w:customStyle="1" w:styleId="2Char">
    <w:name w:val="页眉副标题2 Char"/>
    <w:basedOn w:val="12Char"/>
    <w:link w:val="2"/>
    <w:rsid w:val="00B10000"/>
    <w:rPr>
      <w:rFonts w:ascii="华文隶书" w:eastAsia="华文隶书"/>
      <w:szCs w:val="21"/>
    </w:rPr>
  </w:style>
  <w:style w:type="paragraph" w:customStyle="1" w:styleId="ab">
    <w:name w:val="特别声明格式"/>
    <w:basedOn w:val="a0"/>
    <w:link w:val="Char6"/>
    <w:qFormat/>
    <w:rsid w:val="00B10000"/>
    <w:pPr>
      <w:spacing w:afterLines="100" w:line="240" w:lineRule="exact"/>
    </w:pPr>
    <w:rPr>
      <w:rFonts w:ascii="华文隶书" w:eastAsia="华文隶书" w:hAnsi="Calibri" w:cs="Times New Roman"/>
      <w:sz w:val="28"/>
    </w:rPr>
  </w:style>
  <w:style w:type="character" w:customStyle="1" w:styleId="Char6">
    <w:name w:val="特别声明格式 Char"/>
    <w:basedOn w:val="a1"/>
    <w:link w:val="ab"/>
    <w:rsid w:val="00B10000"/>
    <w:rPr>
      <w:rFonts w:ascii="华文隶书" w:eastAsia="华文隶书" w:hAnsi="Calibri" w:cs="Times New Roman"/>
      <w:sz w:val="28"/>
    </w:rPr>
  </w:style>
  <w:style w:type="paragraph" w:styleId="ac">
    <w:name w:val="Body Text"/>
    <w:basedOn w:val="a0"/>
    <w:link w:val="Char7"/>
    <w:rsid w:val="00B10000"/>
    <w:pPr>
      <w:widowControl/>
      <w:spacing w:after="120" w:line="240" w:lineRule="exact"/>
      <w:ind w:left="3402"/>
    </w:pPr>
    <w:rPr>
      <w:rFonts w:ascii="Arial" w:eastAsia="楷体_GB2312" w:hAnsi="Arial" w:cs="Times New Roman"/>
      <w:color w:val="000000"/>
      <w:kern w:val="0"/>
      <w:szCs w:val="20"/>
      <w:lang w:val="en-GB"/>
    </w:rPr>
  </w:style>
  <w:style w:type="character" w:customStyle="1" w:styleId="Char7">
    <w:name w:val="正文文本 Char"/>
    <w:basedOn w:val="a1"/>
    <w:link w:val="ac"/>
    <w:rsid w:val="00B10000"/>
    <w:rPr>
      <w:rFonts w:ascii="Arial" w:eastAsia="楷体_GB2312" w:hAnsi="Arial" w:cs="Times New Roman"/>
      <w:color w:val="000000"/>
      <w:kern w:val="0"/>
      <w:szCs w:val="20"/>
      <w:lang w:val="en-GB"/>
    </w:rPr>
  </w:style>
  <w:style w:type="paragraph" w:customStyle="1" w:styleId="FootnoteNoline">
    <w:name w:val="FootnoteNoline"/>
    <w:basedOn w:val="a0"/>
    <w:next w:val="ac"/>
    <w:rsid w:val="008840A4"/>
    <w:pPr>
      <w:widowControl/>
      <w:tabs>
        <w:tab w:val="right" w:pos="10065"/>
      </w:tabs>
      <w:spacing w:before="40" w:after="160"/>
      <w:ind w:left="3402"/>
    </w:pPr>
    <w:rPr>
      <w:rFonts w:ascii="Arial" w:eastAsia="楷体_GB2312" w:hAnsi="Arial" w:cs="Arial"/>
      <w:color w:val="003765"/>
      <w:kern w:val="0"/>
      <w:sz w:val="15"/>
      <w:szCs w:val="14"/>
      <w:lang w:val="en-GB"/>
    </w:rPr>
  </w:style>
  <w:style w:type="paragraph" w:customStyle="1" w:styleId="SubTitleLargeTable">
    <w:name w:val="SubTitleLargeTable"/>
    <w:rsid w:val="008840A4"/>
    <w:pPr>
      <w:keepNext/>
      <w:pBdr>
        <w:top w:val="single" w:sz="6" w:space="1" w:color="666699"/>
      </w:pBdr>
      <w:suppressAutoHyphens/>
      <w:spacing w:after="40" w:line="240" w:lineRule="atLeast"/>
    </w:pPr>
    <w:rPr>
      <w:rFonts w:ascii="Arial" w:eastAsia="楷体_GB2312" w:hAnsi="Arial" w:cs="Arial"/>
      <w:b/>
      <w:bCs/>
      <w:i/>
      <w:iCs/>
      <w:color w:val="003765"/>
      <w:kern w:val="0"/>
      <w:szCs w:val="21"/>
      <w:lang w:val="en-GB"/>
    </w:rPr>
  </w:style>
  <w:style w:type="paragraph" w:styleId="ad">
    <w:name w:val="Balloon Text"/>
    <w:basedOn w:val="a0"/>
    <w:link w:val="Char8"/>
    <w:uiPriority w:val="99"/>
    <w:semiHidden/>
    <w:unhideWhenUsed/>
    <w:rsid w:val="008840A4"/>
    <w:rPr>
      <w:sz w:val="18"/>
      <w:szCs w:val="18"/>
    </w:rPr>
  </w:style>
  <w:style w:type="character" w:customStyle="1" w:styleId="Char8">
    <w:name w:val="批注框文本 Char"/>
    <w:basedOn w:val="a1"/>
    <w:link w:val="ad"/>
    <w:uiPriority w:val="99"/>
    <w:semiHidden/>
    <w:rsid w:val="008840A4"/>
    <w:rPr>
      <w:sz w:val="18"/>
      <w:szCs w:val="18"/>
    </w:rPr>
  </w:style>
  <w:style w:type="paragraph" w:customStyle="1" w:styleId="CoverBullet">
    <w:name w:val="Cover Bullet"/>
    <w:rsid w:val="008840A4"/>
    <w:pPr>
      <w:numPr>
        <w:numId w:val="3"/>
      </w:numPr>
      <w:spacing w:before="120" w:after="120"/>
      <w:ind w:left="357" w:hanging="357"/>
    </w:pPr>
    <w:rPr>
      <w:rFonts w:ascii="LucidaSans" w:eastAsia="宋体" w:hAnsi="LucidaSans" w:cs="Times New Roman"/>
      <w:b/>
      <w:bCs/>
      <w:kern w:val="0"/>
      <w:sz w:val="20"/>
      <w:szCs w:val="20"/>
      <w:lang w:val="en-GB"/>
    </w:rPr>
  </w:style>
  <w:style w:type="paragraph" w:styleId="ae">
    <w:name w:val="List Paragraph"/>
    <w:basedOn w:val="a0"/>
    <w:uiPriority w:val="34"/>
    <w:qFormat/>
    <w:rsid w:val="009F22BD"/>
    <w:pPr>
      <w:ind w:firstLineChars="200" w:firstLine="420"/>
    </w:pPr>
  </w:style>
  <w:style w:type="paragraph" w:customStyle="1" w:styleId="a">
    <w:name w:val="封面正文带项目符"/>
    <w:basedOn w:val="a0"/>
    <w:rsid w:val="00517B34"/>
    <w:pPr>
      <w:widowControl/>
      <w:numPr>
        <w:numId w:val="8"/>
      </w:numPr>
      <w:tabs>
        <w:tab w:val="clear" w:pos="340"/>
      </w:tabs>
      <w:spacing w:after="60" w:line="280" w:lineRule="exact"/>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divs>
    <w:div w:id="98454994">
      <w:bodyDiv w:val="1"/>
      <w:marLeft w:val="0"/>
      <w:marRight w:val="0"/>
      <w:marTop w:val="0"/>
      <w:marBottom w:val="0"/>
      <w:divBdr>
        <w:top w:val="none" w:sz="0" w:space="0" w:color="auto"/>
        <w:left w:val="none" w:sz="0" w:space="0" w:color="auto"/>
        <w:bottom w:val="none" w:sz="0" w:space="0" w:color="auto"/>
        <w:right w:val="none" w:sz="0" w:space="0" w:color="auto"/>
      </w:divBdr>
      <w:divsChild>
        <w:div w:id="125858507">
          <w:marLeft w:val="0"/>
          <w:marRight w:val="0"/>
          <w:marTop w:val="0"/>
          <w:marBottom w:val="0"/>
          <w:divBdr>
            <w:top w:val="none" w:sz="0" w:space="0" w:color="auto"/>
            <w:left w:val="none" w:sz="0" w:space="0" w:color="auto"/>
            <w:bottom w:val="none" w:sz="0" w:space="0" w:color="auto"/>
            <w:right w:val="none" w:sz="0" w:space="0" w:color="auto"/>
          </w:divBdr>
        </w:div>
      </w:divsChild>
    </w:div>
    <w:div w:id="308439940">
      <w:bodyDiv w:val="1"/>
      <w:marLeft w:val="0"/>
      <w:marRight w:val="0"/>
      <w:marTop w:val="0"/>
      <w:marBottom w:val="0"/>
      <w:divBdr>
        <w:top w:val="none" w:sz="0" w:space="0" w:color="auto"/>
        <w:left w:val="none" w:sz="0" w:space="0" w:color="auto"/>
        <w:bottom w:val="none" w:sz="0" w:space="0" w:color="auto"/>
        <w:right w:val="none" w:sz="0" w:space="0" w:color="auto"/>
      </w:divBdr>
      <w:divsChild>
        <w:div w:id="414133355">
          <w:marLeft w:val="0"/>
          <w:marRight w:val="0"/>
          <w:marTop w:val="0"/>
          <w:marBottom w:val="0"/>
          <w:divBdr>
            <w:top w:val="none" w:sz="0" w:space="0" w:color="auto"/>
            <w:left w:val="none" w:sz="0" w:space="0" w:color="auto"/>
            <w:bottom w:val="none" w:sz="0" w:space="0" w:color="auto"/>
            <w:right w:val="none" w:sz="0" w:space="0" w:color="auto"/>
          </w:divBdr>
        </w:div>
      </w:divsChild>
    </w:div>
    <w:div w:id="1565751406">
      <w:bodyDiv w:val="1"/>
      <w:marLeft w:val="0"/>
      <w:marRight w:val="0"/>
      <w:marTop w:val="0"/>
      <w:marBottom w:val="0"/>
      <w:divBdr>
        <w:top w:val="none" w:sz="0" w:space="0" w:color="auto"/>
        <w:left w:val="none" w:sz="0" w:space="0" w:color="auto"/>
        <w:bottom w:val="none" w:sz="0" w:space="0" w:color="auto"/>
        <w:right w:val="none" w:sz="0" w:space="0" w:color="auto"/>
      </w:divBdr>
      <w:divsChild>
        <w:div w:id="1485779056">
          <w:marLeft w:val="0"/>
          <w:marRight w:val="0"/>
          <w:marTop w:val="0"/>
          <w:marBottom w:val="0"/>
          <w:divBdr>
            <w:top w:val="none" w:sz="0" w:space="0" w:color="auto"/>
            <w:left w:val="none" w:sz="0" w:space="0" w:color="auto"/>
            <w:bottom w:val="none" w:sz="0" w:space="0" w:color="auto"/>
            <w:right w:val="none" w:sz="0" w:space="0" w:color="auto"/>
          </w:divBdr>
          <w:divsChild>
            <w:div w:id="723991091">
              <w:marLeft w:val="0"/>
              <w:marRight w:val="0"/>
              <w:marTop w:val="0"/>
              <w:marBottom w:val="0"/>
              <w:divBdr>
                <w:top w:val="single" w:sz="6" w:space="0" w:color="DBDBDB"/>
                <w:left w:val="none" w:sz="0" w:space="0" w:color="auto"/>
                <w:bottom w:val="none" w:sz="0" w:space="0" w:color="auto"/>
                <w:right w:val="none" w:sz="0" w:space="0" w:color="auto"/>
              </w:divBdr>
              <w:divsChild>
                <w:div w:id="663777172">
                  <w:marLeft w:val="0"/>
                  <w:marRight w:val="0"/>
                  <w:marTop w:val="0"/>
                  <w:marBottom w:val="0"/>
                  <w:divBdr>
                    <w:top w:val="none" w:sz="0" w:space="0" w:color="auto"/>
                    <w:left w:val="none" w:sz="0" w:space="0" w:color="auto"/>
                    <w:bottom w:val="none" w:sz="0" w:space="0" w:color="auto"/>
                    <w:right w:val="none" w:sz="0" w:space="0" w:color="auto"/>
                  </w:divBdr>
                  <w:divsChild>
                    <w:div w:id="957226944">
                      <w:marLeft w:val="0"/>
                      <w:marRight w:val="0"/>
                      <w:marTop w:val="0"/>
                      <w:marBottom w:val="0"/>
                      <w:divBdr>
                        <w:top w:val="none" w:sz="0" w:space="0" w:color="auto"/>
                        <w:left w:val="none" w:sz="0" w:space="0" w:color="auto"/>
                        <w:bottom w:val="none" w:sz="0" w:space="0" w:color="auto"/>
                        <w:right w:val="none" w:sz="0" w:space="0" w:color="auto"/>
                      </w:divBdr>
                      <w:divsChild>
                        <w:div w:id="367871863">
                          <w:marLeft w:val="0"/>
                          <w:marRight w:val="0"/>
                          <w:marTop w:val="0"/>
                          <w:marBottom w:val="0"/>
                          <w:divBdr>
                            <w:top w:val="none" w:sz="0" w:space="0" w:color="auto"/>
                            <w:left w:val="none" w:sz="0" w:space="0" w:color="auto"/>
                            <w:bottom w:val="none" w:sz="0" w:space="0" w:color="auto"/>
                            <w:right w:val="none" w:sz="0" w:space="0" w:color="auto"/>
                          </w:divBdr>
                          <w:divsChild>
                            <w:div w:id="1608078115">
                              <w:marLeft w:val="0"/>
                              <w:marRight w:val="0"/>
                              <w:marTop w:val="0"/>
                              <w:marBottom w:val="0"/>
                              <w:divBdr>
                                <w:top w:val="none" w:sz="0" w:space="0" w:color="auto"/>
                                <w:left w:val="none" w:sz="0" w:space="0" w:color="auto"/>
                                <w:bottom w:val="none" w:sz="0" w:space="0" w:color="auto"/>
                                <w:right w:val="none" w:sz="0" w:space="0" w:color="auto"/>
                              </w:divBdr>
                              <w:divsChild>
                                <w:div w:id="99452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833735">
      <w:bodyDiv w:val="1"/>
      <w:marLeft w:val="0"/>
      <w:marRight w:val="0"/>
      <w:marTop w:val="0"/>
      <w:marBottom w:val="0"/>
      <w:divBdr>
        <w:top w:val="none" w:sz="0" w:space="0" w:color="auto"/>
        <w:left w:val="none" w:sz="0" w:space="0" w:color="auto"/>
        <w:bottom w:val="none" w:sz="0" w:space="0" w:color="auto"/>
        <w:right w:val="none" w:sz="0" w:space="0" w:color="auto"/>
      </w:divBdr>
      <w:divsChild>
        <w:div w:id="655450642">
          <w:marLeft w:val="0"/>
          <w:marRight w:val="0"/>
          <w:marTop w:val="75"/>
          <w:marBottom w:val="75"/>
          <w:divBdr>
            <w:top w:val="none" w:sz="0" w:space="0" w:color="auto"/>
            <w:left w:val="none" w:sz="0" w:space="0" w:color="auto"/>
            <w:bottom w:val="none" w:sz="0" w:space="0" w:color="auto"/>
            <w:right w:val="none" w:sz="0" w:space="0" w:color="auto"/>
          </w:divBdr>
          <w:divsChild>
            <w:div w:id="516968781">
              <w:marLeft w:val="0"/>
              <w:marRight w:val="0"/>
              <w:marTop w:val="0"/>
              <w:marBottom w:val="0"/>
              <w:divBdr>
                <w:top w:val="single" w:sz="6" w:space="0" w:color="BEBEBE"/>
                <w:left w:val="single" w:sz="6" w:space="0" w:color="BEBEBE"/>
                <w:bottom w:val="single" w:sz="6" w:space="0" w:color="BEBEBE"/>
                <w:right w:val="single" w:sz="6" w:space="0" w:color="BEBEBE"/>
              </w:divBdr>
              <w:divsChild>
                <w:div w:id="1007681814">
                  <w:marLeft w:val="0"/>
                  <w:marRight w:val="0"/>
                  <w:marTop w:val="0"/>
                  <w:marBottom w:val="0"/>
                  <w:divBdr>
                    <w:top w:val="none" w:sz="0" w:space="0" w:color="auto"/>
                    <w:left w:val="none" w:sz="0" w:space="0" w:color="auto"/>
                    <w:bottom w:val="none" w:sz="0" w:space="0" w:color="auto"/>
                    <w:right w:val="none" w:sz="0" w:space="0" w:color="auto"/>
                  </w:divBdr>
                  <w:divsChild>
                    <w:div w:id="1469935352">
                      <w:marLeft w:val="0"/>
                      <w:marRight w:val="0"/>
                      <w:marTop w:val="0"/>
                      <w:marBottom w:val="0"/>
                      <w:divBdr>
                        <w:top w:val="none" w:sz="0" w:space="0" w:color="auto"/>
                        <w:left w:val="none" w:sz="0" w:space="0" w:color="auto"/>
                        <w:bottom w:val="none" w:sz="0" w:space="0" w:color="auto"/>
                        <w:right w:val="none" w:sz="0" w:space="0" w:color="auto"/>
                      </w:divBdr>
                      <w:divsChild>
                        <w:div w:id="7348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840361">
      <w:bodyDiv w:val="1"/>
      <w:marLeft w:val="0"/>
      <w:marRight w:val="0"/>
      <w:marTop w:val="0"/>
      <w:marBottom w:val="0"/>
      <w:divBdr>
        <w:top w:val="none" w:sz="0" w:space="0" w:color="auto"/>
        <w:left w:val="none" w:sz="0" w:space="0" w:color="auto"/>
        <w:bottom w:val="none" w:sz="0" w:space="0" w:color="auto"/>
        <w:right w:val="none" w:sz="0" w:space="0" w:color="auto"/>
      </w:divBdr>
      <w:divsChild>
        <w:div w:id="48580259">
          <w:marLeft w:val="0"/>
          <w:marRight w:val="0"/>
          <w:marTop w:val="0"/>
          <w:marBottom w:val="0"/>
          <w:divBdr>
            <w:top w:val="none" w:sz="0" w:space="0" w:color="auto"/>
            <w:left w:val="none" w:sz="0" w:space="0" w:color="auto"/>
            <w:bottom w:val="none" w:sz="0" w:space="0" w:color="auto"/>
            <w:right w:val="none" w:sz="0" w:space="0" w:color="auto"/>
          </w:divBdr>
          <w:divsChild>
            <w:div w:id="1258637651">
              <w:marLeft w:val="0"/>
              <w:marRight w:val="0"/>
              <w:marTop w:val="0"/>
              <w:marBottom w:val="0"/>
              <w:divBdr>
                <w:top w:val="single" w:sz="6" w:space="0" w:color="DBDBDB"/>
                <w:left w:val="none" w:sz="0" w:space="0" w:color="auto"/>
                <w:bottom w:val="none" w:sz="0" w:space="0" w:color="auto"/>
                <w:right w:val="none" w:sz="0" w:space="0" w:color="auto"/>
              </w:divBdr>
              <w:divsChild>
                <w:div w:id="1126240212">
                  <w:marLeft w:val="0"/>
                  <w:marRight w:val="0"/>
                  <w:marTop w:val="0"/>
                  <w:marBottom w:val="0"/>
                  <w:divBdr>
                    <w:top w:val="none" w:sz="0" w:space="0" w:color="auto"/>
                    <w:left w:val="none" w:sz="0" w:space="0" w:color="auto"/>
                    <w:bottom w:val="none" w:sz="0" w:space="0" w:color="auto"/>
                    <w:right w:val="none" w:sz="0" w:space="0" w:color="auto"/>
                  </w:divBdr>
                  <w:divsChild>
                    <w:div w:id="56557740">
                      <w:marLeft w:val="0"/>
                      <w:marRight w:val="0"/>
                      <w:marTop w:val="0"/>
                      <w:marBottom w:val="0"/>
                      <w:divBdr>
                        <w:top w:val="none" w:sz="0" w:space="0" w:color="auto"/>
                        <w:left w:val="none" w:sz="0" w:space="0" w:color="auto"/>
                        <w:bottom w:val="none" w:sz="0" w:space="0" w:color="auto"/>
                        <w:right w:val="none" w:sz="0" w:space="0" w:color="auto"/>
                      </w:divBdr>
                      <w:divsChild>
                        <w:div w:id="1313488327">
                          <w:marLeft w:val="0"/>
                          <w:marRight w:val="0"/>
                          <w:marTop w:val="0"/>
                          <w:marBottom w:val="0"/>
                          <w:divBdr>
                            <w:top w:val="none" w:sz="0" w:space="0" w:color="auto"/>
                            <w:left w:val="none" w:sz="0" w:space="0" w:color="auto"/>
                            <w:bottom w:val="none" w:sz="0" w:space="0" w:color="auto"/>
                            <w:right w:val="none" w:sz="0" w:space="0" w:color="auto"/>
                          </w:divBdr>
                          <w:divsChild>
                            <w:div w:id="2144810577">
                              <w:marLeft w:val="0"/>
                              <w:marRight w:val="0"/>
                              <w:marTop w:val="0"/>
                              <w:marBottom w:val="0"/>
                              <w:divBdr>
                                <w:top w:val="none" w:sz="0" w:space="0" w:color="auto"/>
                                <w:left w:val="none" w:sz="0" w:space="0" w:color="auto"/>
                                <w:bottom w:val="none" w:sz="0" w:space="0" w:color="auto"/>
                                <w:right w:val="none" w:sz="0" w:space="0" w:color="auto"/>
                              </w:divBdr>
                              <w:divsChild>
                                <w:div w:id="203576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7052419">
      <w:bodyDiv w:val="1"/>
      <w:marLeft w:val="0"/>
      <w:marRight w:val="0"/>
      <w:marTop w:val="0"/>
      <w:marBottom w:val="0"/>
      <w:divBdr>
        <w:top w:val="none" w:sz="0" w:space="0" w:color="auto"/>
        <w:left w:val="none" w:sz="0" w:space="0" w:color="auto"/>
        <w:bottom w:val="none" w:sz="0" w:space="0" w:color="auto"/>
        <w:right w:val="none" w:sz="0" w:space="0" w:color="auto"/>
      </w:divBdr>
      <w:divsChild>
        <w:div w:id="506599268">
          <w:marLeft w:val="0"/>
          <w:marRight w:val="0"/>
          <w:marTop w:val="0"/>
          <w:marBottom w:val="0"/>
          <w:divBdr>
            <w:top w:val="none" w:sz="0" w:space="0" w:color="auto"/>
            <w:left w:val="none" w:sz="0" w:space="0" w:color="auto"/>
            <w:bottom w:val="none" w:sz="0" w:space="0" w:color="auto"/>
            <w:right w:val="none" w:sz="0" w:space="0" w:color="auto"/>
          </w:divBdr>
          <w:divsChild>
            <w:div w:id="1533804781">
              <w:marLeft w:val="0"/>
              <w:marRight w:val="0"/>
              <w:marTop w:val="0"/>
              <w:marBottom w:val="0"/>
              <w:divBdr>
                <w:top w:val="single" w:sz="6" w:space="0" w:color="DBDBDB"/>
                <w:left w:val="none" w:sz="0" w:space="0" w:color="auto"/>
                <w:bottom w:val="none" w:sz="0" w:space="0" w:color="auto"/>
                <w:right w:val="none" w:sz="0" w:space="0" w:color="auto"/>
              </w:divBdr>
              <w:divsChild>
                <w:div w:id="53551759">
                  <w:marLeft w:val="0"/>
                  <w:marRight w:val="0"/>
                  <w:marTop w:val="0"/>
                  <w:marBottom w:val="0"/>
                  <w:divBdr>
                    <w:top w:val="none" w:sz="0" w:space="0" w:color="auto"/>
                    <w:left w:val="none" w:sz="0" w:space="0" w:color="auto"/>
                    <w:bottom w:val="none" w:sz="0" w:space="0" w:color="auto"/>
                    <w:right w:val="none" w:sz="0" w:space="0" w:color="auto"/>
                  </w:divBdr>
                  <w:divsChild>
                    <w:div w:id="2040622414">
                      <w:marLeft w:val="0"/>
                      <w:marRight w:val="0"/>
                      <w:marTop w:val="0"/>
                      <w:marBottom w:val="0"/>
                      <w:divBdr>
                        <w:top w:val="none" w:sz="0" w:space="0" w:color="auto"/>
                        <w:left w:val="none" w:sz="0" w:space="0" w:color="auto"/>
                        <w:bottom w:val="none" w:sz="0" w:space="0" w:color="auto"/>
                        <w:right w:val="none" w:sz="0" w:space="0" w:color="auto"/>
                      </w:divBdr>
                      <w:divsChild>
                        <w:div w:id="2042195879">
                          <w:marLeft w:val="0"/>
                          <w:marRight w:val="0"/>
                          <w:marTop w:val="0"/>
                          <w:marBottom w:val="0"/>
                          <w:divBdr>
                            <w:top w:val="none" w:sz="0" w:space="0" w:color="auto"/>
                            <w:left w:val="none" w:sz="0" w:space="0" w:color="auto"/>
                            <w:bottom w:val="none" w:sz="0" w:space="0" w:color="auto"/>
                            <w:right w:val="none" w:sz="0" w:space="0" w:color="auto"/>
                          </w:divBdr>
                          <w:divsChild>
                            <w:div w:id="143549627">
                              <w:marLeft w:val="0"/>
                              <w:marRight w:val="0"/>
                              <w:marTop w:val="0"/>
                              <w:marBottom w:val="0"/>
                              <w:divBdr>
                                <w:top w:val="none" w:sz="0" w:space="0" w:color="auto"/>
                                <w:left w:val="none" w:sz="0" w:space="0" w:color="auto"/>
                                <w:bottom w:val="none" w:sz="0" w:space="0" w:color="auto"/>
                                <w:right w:val="none" w:sz="0" w:space="0" w:color="auto"/>
                              </w:divBdr>
                              <w:divsChild>
                                <w:div w:id="180731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BE9858-748C-4FAE-AE9F-AC25432BA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1811</TotalTime>
  <Pages>8</Pages>
  <Words>1152</Words>
  <Characters>6572</Characters>
  <Application>Microsoft Office Word</Application>
  <DocSecurity>0</DocSecurity>
  <Lines>54</Lines>
  <Paragraphs>15</Paragraphs>
  <ScaleCrop>false</ScaleCrop>
  <Company/>
  <LinksUpToDate>false</LinksUpToDate>
  <CharactersWithSpaces>7709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shanghai vstone</dc:creator>
  <cp:lastModifiedBy>songbb</cp:lastModifiedBy>
  <cp:revision>452</cp:revision>
  <dcterms:created xsi:type="dcterms:W3CDTF">2013-11-22T08:48:00Z</dcterms:created>
  <dcterms:modified xsi:type="dcterms:W3CDTF">2014-03-06T02:43:00Z</dcterms:modified>
</cp:coreProperties>
</file>