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BE3940" w:rsidRPr="00F57D27">
        <w:trPr>
          <w:gridAfter w:val="1"/>
          <w:wAfter w:w="225" w:type="dxa"/>
          <w:trHeight w:val="284"/>
        </w:trPr>
        <w:tc>
          <w:tcPr>
            <w:tcW w:w="534" w:type="dxa"/>
          </w:tcPr>
          <w:p w:rsidR="00BE3940" w:rsidRPr="00F57D27" w:rsidRDefault="00BE3940" w:rsidP="00BE3940">
            <w:pPr>
              <w:rPr>
                <w:rFonts w:eastAsia="楷体_GB2312"/>
                <w:b/>
                <w:color w:val="003366"/>
                <w:sz w:val="24"/>
              </w:rPr>
            </w:pPr>
          </w:p>
        </w:tc>
        <w:tc>
          <w:tcPr>
            <w:tcW w:w="1554" w:type="dxa"/>
            <w:gridSpan w:val="2"/>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1800" w:type="dxa"/>
            <w:vAlign w:val="center"/>
          </w:tcPr>
          <w:p w:rsidR="00BE3940" w:rsidRPr="00F57D27" w:rsidRDefault="0076610D" w:rsidP="00BE3940">
            <w:pPr>
              <w:rPr>
                <w:rFonts w:eastAsia="楷体_GB2312"/>
                <w:b/>
                <w:color w:val="003366"/>
                <w:sz w:val="24"/>
              </w:rPr>
            </w:pPr>
            <w:r w:rsidRPr="0076610D">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33" type="#_x0000_t202" style="position:absolute;left:0;text-align:left;margin-left:66.6pt;margin-top:-.05pt;width:428.4pt;height:31.2pt;z-index:251657728;mso-position-horizontal-relative:text;mso-position-vertical-relative:text" fillcolor="#f00000" stroked="f">
                  <v:textbox style="mso-next-textbox:#_x0000_s1033">
                    <w:txbxContent>
                      <w:p w:rsidR="00254CD8" w:rsidRPr="00FC770C" w:rsidRDefault="00254CD8" w:rsidP="00BE3940">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BE3940" w:rsidRPr="00F57D27">
        <w:trPr>
          <w:gridAfter w:val="1"/>
          <w:wAfter w:w="225" w:type="dxa"/>
          <w:trHeight w:val="284"/>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vAlign w:val="center"/>
          </w:tcPr>
          <w:p w:rsidR="00BE3940" w:rsidRPr="00F57D27" w:rsidRDefault="00BE3940" w:rsidP="00BE3940">
            <w:pPr>
              <w:rPr>
                <w:rFonts w:eastAsia="楷体_GB2312"/>
                <w:b/>
                <w:color w:val="003366"/>
                <w:sz w:val="24"/>
              </w:rPr>
            </w:pPr>
          </w:p>
        </w:tc>
      </w:tr>
      <w:tr w:rsidR="00BE3940" w:rsidRPr="00F57D27">
        <w:trPr>
          <w:gridAfter w:val="1"/>
          <w:wAfter w:w="225" w:type="dxa"/>
          <w:trHeight w:val="284"/>
        </w:trPr>
        <w:tc>
          <w:tcPr>
            <w:tcW w:w="534" w:type="dxa"/>
            <w:shd w:val="clear" w:color="auto" w:fill="CDD7FA"/>
          </w:tcPr>
          <w:p w:rsidR="00BE3940" w:rsidRPr="00F57D27" w:rsidRDefault="00632D04" w:rsidP="00BE3940">
            <w:pPr>
              <w:rPr>
                <w:rFonts w:eastAsia="楷体_GB2312"/>
                <w:b/>
                <w:color w:val="003366"/>
                <w:sz w:val="24"/>
              </w:rPr>
            </w:pPr>
            <w:r>
              <w:rPr>
                <w:rFonts w:eastAsia="楷体_GB2312" w:hint="eastAsia"/>
                <w:noProof/>
                <w:sz w:val="24"/>
              </w:rPr>
              <w:drawing>
                <wp:anchor distT="0" distB="0" distL="114300" distR="114300" simplePos="0" relativeHeight="251658752"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val="94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spacing w:line="360" w:lineRule="auto"/>
              <w:rPr>
                <w:rFonts w:eastAsia="楷体_GB2312"/>
                <w:noProof/>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8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jc w:val="left"/>
              <w:rPr>
                <w:rFonts w:eastAsia="楷体_GB2312"/>
                <w:b/>
                <w:color w:val="003366"/>
                <w:sz w:val="24"/>
              </w:rPr>
            </w:pPr>
          </w:p>
        </w:tc>
      </w:tr>
      <w:tr w:rsidR="00BE3940" w:rsidRPr="00F57D27">
        <w:trPr>
          <w:trHeight w:hRule="exact" w:val="284"/>
        </w:trPr>
        <w:tc>
          <w:tcPr>
            <w:tcW w:w="534" w:type="dxa"/>
          </w:tcPr>
          <w:p w:rsidR="00BE3940" w:rsidRPr="00F57D27" w:rsidRDefault="00BE3940" w:rsidP="00BE3940">
            <w:pPr>
              <w:rPr>
                <w:rFonts w:eastAsia="楷体_GB2312"/>
                <w:b/>
                <w:color w:val="003366"/>
                <w:sz w:val="24"/>
              </w:rPr>
            </w:pPr>
          </w:p>
        </w:tc>
        <w:tc>
          <w:tcPr>
            <w:tcW w:w="519" w:type="dxa"/>
          </w:tcPr>
          <w:p w:rsidR="00BE3940" w:rsidRPr="00F57D27" w:rsidRDefault="00BE3940" w:rsidP="00BE3940">
            <w:pPr>
              <w:jc w:val="left"/>
              <w:rPr>
                <w:rFonts w:eastAsia="楷体_GB2312"/>
                <w:b/>
                <w:color w:val="003366"/>
                <w:sz w:val="24"/>
              </w:rPr>
            </w:pPr>
          </w:p>
        </w:tc>
        <w:tc>
          <w:tcPr>
            <w:tcW w:w="3060" w:type="dxa"/>
            <w:gridSpan w:val="3"/>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tcPr>
          <w:p w:rsidR="00BE3940" w:rsidRPr="00F57D27" w:rsidRDefault="00BE3940" w:rsidP="00BE3940">
            <w:pPr>
              <w:rPr>
                <w:rFonts w:eastAsia="楷体_GB2312"/>
                <w:b/>
                <w:color w:val="003366"/>
                <w:sz w:val="24"/>
              </w:rPr>
            </w:pPr>
          </w:p>
        </w:tc>
        <w:tc>
          <w:tcPr>
            <w:tcW w:w="3354" w:type="dxa"/>
            <w:gridSpan w:val="3"/>
          </w:tcPr>
          <w:p w:rsidR="00BE3940" w:rsidRPr="00F57D27" w:rsidRDefault="00BE3940" w:rsidP="00BE3940">
            <w:pPr>
              <w:jc w:val="center"/>
              <w:rPr>
                <w:rFonts w:eastAsia="黑体"/>
                <w:color w:val="003366"/>
                <w:sz w:val="24"/>
              </w:rPr>
            </w:pPr>
          </w:p>
        </w:tc>
      </w:tr>
      <w:tr w:rsidR="00BE3940" w:rsidRPr="00F57D27">
        <w:trPr>
          <w:gridAfter w:val="1"/>
          <w:wAfter w:w="225" w:type="dxa"/>
          <w:trHeight w:val="457"/>
        </w:trPr>
        <w:tc>
          <w:tcPr>
            <w:tcW w:w="534" w:type="dxa"/>
          </w:tcPr>
          <w:p w:rsidR="00BE3940" w:rsidRPr="00D82E82" w:rsidRDefault="00BE3940" w:rsidP="00BE3940">
            <w:pPr>
              <w:rPr>
                <w:rFonts w:eastAsia="楷体_GB2312"/>
                <w:b/>
                <w:color w:val="003366"/>
              </w:rPr>
            </w:pPr>
          </w:p>
        </w:tc>
        <w:tc>
          <w:tcPr>
            <w:tcW w:w="3354" w:type="dxa"/>
            <w:gridSpan w:val="3"/>
          </w:tcPr>
          <w:p w:rsidR="00BE3940" w:rsidRPr="00CD7632" w:rsidRDefault="006D7EFB" w:rsidP="00ED57A2">
            <w:pPr>
              <w:spacing w:line="360" w:lineRule="auto"/>
              <w:ind w:left="-288" w:firstLineChars="150" w:firstLine="315"/>
              <w:jc w:val="left"/>
              <w:rPr>
                <w:rFonts w:eastAsia="楷体_GB2312"/>
                <w:color w:val="003366"/>
                <w:szCs w:val="21"/>
              </w:rPr>
            </w:pPr>
            <w:r w:rsidRPr="00CD7632">
              <w:rPr>
                <w:rFonts w:eastAsia="楷体_GB2312" w:hint="eastAsia"/>
                <w:color w:val="003366"/>
                <w:szCs w:val="21"/>
              </w:rPr>
              <w:t>2</w:t>
            </w:r>
            <w:r w:rsidRPr="00CD7632">
              <w:rPr>
                <w:rFonts w:eastAsia="黑体" w:hint="eastAsia"/>
                <w:b/>
                <w:color w:val="003366"/>
                <w:szCs w:val="21"/>
              </w:rPr>
              <w:t>01</w:t>
            </w:r>
            <w:r w:rsidR="00D6006B" w:rsidRPr="00CD7632">
              <w:rPr>
                <w:rFonts w:eastAsia="黑体" w:hint="eastAsia"/>
                <w:b/>
                <w:color w:val="003366"/>
                <w:szCs w:val="21"/>
              </w:rPr>
              <w:t>3</w:t>
            </w:r>
            <w:r w:rsidRPr="00CD7632">
              <w:rPr>
                <w:rFonts w:eastAsia="黑体" w:hint="eastAsia"/>
                <w:b/>
                <w:color w:val="003366"/>
                <w:szCs w:val="21"/>
              </w:rPr>
              <w:t>年</w:t>
            </w:r>
            <w:r w:rsidR="00257BBD">
              <w:rPr>
                <w:rFonts w:eastAsia="黑体" w:hint="eastAsia"/>
                <w:b/>
                <w:color w:val="003366"/>
                <w:szCs w:val="21"/>
              </w:rPr>
              <w:t>1</w:t>
            </w:r>
            <w:r w:rsidR="00ED57A2">
              <w:rPr>
                <w:rFonts w:eastAsia="黑体" w:hint="eastAsia"/>
                <w:b/>
                <w:color w:val="003366"/>
                <w:szCs w:val="21"/>
              </w:rPr>
              <w:t>2</w:t>
            </w:r>
            <w:r w:rsidR="009B7304" w:rsidRPr="00CD7632">
              <w:rPr>
                <w:rFonts w:eastAsia="黑体" w:hint="eastAsia"/>
                <w:b/>
                <w:color w:val="003366"/>
                <w:szCs w:val="21"/>
              </w:rPr>
              <w:t>月基金业绩</w:t>
            </w:r>
            <w:r w:rsidR="00BE2BA3" w:rsidRPr="00CD7632">
              <w:rPr>
                <w:rFonts w:eastAsia="黑体" w:hint="eastAsia"/>
                <w:b/>
                <w:color w:val="003366"/>
                <w:szCs w:val="21"/>
              </w:rPr>
              <w:t>统计</w:t>
            </w:r>
            <w:r w:rsidR="009B7304" w:rsidRPr="00CD7632">
              <w:rPr>
                <w:rFonts w:eastAsia="黑体" w:hint="eastAsia"/>
                <w:b/>
                <w:color w:val="003366"/>
                <w:szCs w:val="21"/>
              </w:rPr>
              <w:t>分布</w:t>
            </w:r>
          </w:p>
        </w:tc>
      </w:tr>
      <w:tr w:rsidR="00BE3940" w:rsidRPr="00F57D27" w:rsidTr="00827BB2">
        <w:trPr>
          <w:gridAfter w:val="1"/>
          <w:wAfter w:w="225" w:type="dxa"/>
          <w:trHeight w:val="284"/>
        </w:trPr>
        <w:tc>
          <w:tcPr>
            <w:tcW w:w="534" w:type="dx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3354" w:type="dxa"/>
            <w:gridSpan w:val="3"/>
            <w:vAlign w:val="center"/>
          </w:tcPr>
          <w:p w:rsidR="00BE3940" w:rsidRPr="00CD7632" w:rsidRDefault="00827BB2" w:rsidP="009F1D47">
            <w:pPr>
              <w:ind w:leftChars="-51" w:rightChars="34" w:right="71" w:hangingChars="51" w:hanging="107"/>
              <w:rPr>
                <w:noProof/>
              </w:rPr>
            </w:pPr>
            <w:r>
              <w:rPr>
                <w:noProof/>
              </w:rPr>
              <w:drawing>
                <wp:inline distT="0" distB="0" distL="0" distR="0">
                  <wp:extent cx="1992630" cy="1552575"/>
                  <wp:effectExtent l="19050" t="0" r="762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992630" cy="1552575"/>
                          </a:xfrm>
                          <a:prstGeom prst="rect">
                            <a:avLst/>
                          </a:prstGeom>
                          <a:noFill/>
                          <a:ln w="9525">
                            <a:noFill/>
                            <a:miter lim="800000"/>
                            <a:headEnd/>
                            <a:tailEnd/>
                          </a:ln>
                        </pic:spPr>
                      </pic:pic>
                    </a:graphicData>
                  </a:graphic>
                </wp:inline>
              </w:drawing>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D82E82" w:rsidRPr="00CD7632" w:rsidRDefault="00CE1D49" w:rsidP="001A459A">
            <w:pPr>
              <w:rPr>
                <w:rFonts w:eastAsia="楷体_GB2312"/>
                <w:color w:val="003366"/>
                <w:sz w:val="18"/>
                <w:szCs w:val="18"/>
              </w:rPr>
            </w:pPr>
            <w:r w:rsidRPr="00CD7632">
              <w:rPr>
                <w:rFonts w:eastAsia="楷体_GB2312" w:hint="eastAsia"/>
                <w:color w:val="003366"/>
                <w:sz w:val="18"/>
                <w:szCs w:val="18"/>
              </w:rPr>
              <w:t>注：不包括结构化份额</w:t>
            </w:r>
          </w:p>
          <w:p w:rsidR="00CE1D49" w:rsidRPr="00CD7632" w:rsidRDefault="00CE1D49" w:rsidP="001A459A">
            <w:pPr>
              <w:rPr>
                <w:rFonts w:eastAsia="楷体_GB2312"/>
                <w:b/>
                <w:color w:val="003366"/>
              </w:rPr>
            </w:pPr>
          </w:p>
          <w:p w:rsidR="00D6400F" w:rsidRPr="00CD7632" w:rsidRDefault="00D6400F" w:rsidP="001A459A">
            <w:pPr>
              <w:rPr>
                <w:rFonts w:eastAsia="楷体_GB2312"/>
                <w:b/>
                <w:color w:val="003366"/>
              </w:rPr>
            </w:pPr>
            <w:r w:rsidRPr="00CD7632">
              <w:rPr>
                <w:rFonts w:eastAsia="楷体_GB2312" w:hint="eastAsia"/>
                <w:b/>
                <w:color w:val="003366"/>
              </w:rPr>
              <w:t>上海证券基金评价研究中心</w:t>
            </w:r>
          </w:p>
          <w:p w:rsidR="001A459A" w:rsidRPr="00CD7632" w:rsidRDefault="00B70D0C" w:rsidP="001A459A">
            <w:pPr>
              <w:rPr>
                <w:rFonts w:eastAsia="楷体_GB2312"/>
                <w:b/>
                <w:color w:val="003366"/>
              </w:rPr>
            </w:pPr>
            <w:r w:rsidRPr="00CD7632">
              <w:rPr>
                <w:rFonts w:eastAsia="楷体_GB2312" w:hint="eastAsia"/>
                <w:b/>
                <w:color w:val="003366"/>
              </w:rPr>
              <w:t>刘亦千</w:t>
            </w:r>
          </w:p>
          <w:p w:rsidR="00661078" w:rsidRPr="00CD7632" w:rsidRDefault="00693B26" w:rsidP="001A459A">
            <w:pPr>
              <w:rPr>
                <w:rFonts w:eastAsia="楷体_GB2312"/>
                <w:color w:val="003366"/>
              </w:rPr>
            </w:pPr>
            <w:r w:rsidRPr="00CD7632">
              <w:rPr>
                <w:rFonts w:eastAsia="楷体_GB2312" w:hint="eastAsia"/>
                <w:color w:val="003366"/>
              </w:rPr>
              <w:t>执业</w:t>
            </w:r>
            <w:r w:rsidR="00661078" w:rsidRPr="00CD7632">
              <w:rPr>
                <w:rFonts w:eastAsia="楷体_GB2312" w:hint="eastAsia"/>
                <w:color w:val="003366"/>
              </w:rPr>
              <w:t>证书编号：</w:t>
            </w:r>
            <w:r w:rsidR="004548AB" w:rsidRPr="00CD7632">
              <w:rPr>
                <w:rFonts w:eastAsia="楷体_GB2312"/>
                <w:b/>
                <w:color w:val="003366"/>
                <w:sz w:val="24"/>
              </w:rPr>
              <w:t>S0870511040001</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A459A" w:rsidRPr="00D82E82" w:rsidRDefault="001A459A" w:rsidP="00F95DC4">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w:t>
            </w:r>
            <w:r w:rsidR="00096A58" w:rsidRPr="00F95DC4">
              <w:rPr>
                <w:rFonts w:eastAsia="楷体_GB2312" w:hint="eastAsia"/>
                <w:b/>
                <w:color w:val="003366"/>
                <w:sz w:val="24"/>
              </w:rPr>
              <w:t>88</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693B26" w:rsidRDefault="00EF283B" w:rsidP="00693B26">
            <w:r w:rsidRPr="00FC770C">
              <w:rPr>
                <w:rFonts w:eastAsia="楷体_GB2312" w:hint="eastAsia"/>
                <w:b/>
                <w:bCs/>
                <w:color w:val="003365"/>
                <w:kern w:val="0"/>
                <w:sz w:val="24"/>
              </w:rPr>
              <w:t>Liuyiqian</w:t>
            </w:r>
            <w:r w:rsidRPr="00FC770C">
              <w:rPr>
                <w:rFonts w:eastAsia="楷体_GB2312"/>
                <w:b/>
                <w:bCs/>
                <w:color w:val="003365"/>
                <w:kern w:val="0"/>
                <w:sz w:val="24"/>
              </w:rPr>
              <w:t>@</w:t>
            </w:r>
            <w:r w:rsidR="00455952">
              <w:rPr>
                <w:rFonts w:eastAsia="楷体_GB2312" w:hint="eastAsia"/>
                <w:b/>
                <w:bCs/>
                <w:color w:val="003365"/>
                <w:kern w:val="0"/>
                <w:sz w:val="24"/>
              </w:rPr>
              <w:t>shzq</w:t>
            </w:r>
            <w:r w:rsidRPr="00FC770C">
              <w:rPr>
                <w:rFonts w:eastAsia="楷体_GB2312"/>
                <w:b/>
                <w:bCs/>
                <w:color w:val="003365"/>
                <w:kern w:val="0"/>
                <w:sz w:val="24"/>
              </w:rPr>
              <w:t>.com</w:t>
            </w:r>
          </w:p>
          <w:p w:rsidR="001A459A" w:rsidRPr="00F57D27" w:rsidRDefault="001A459A" w:rsidP="001A459A">
            <w:pPr>
              <w:rPr>
                <w:rFonts w:eastAsia="楷体_GB2312"/>
                <w:b/>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tc>
        <w:tc>
          <w:tcPr>
            <w:tcW w:w="3354" w:type="dxa"/>
            <w:gridSpan w:val="3"/>
          </w:tcPr>
          <w:p w:rsidR="001A459A" w:rsidRPr="0077785C" w:rsidRDefault="001A459A" w:rsidP="001A459A">
            <w:pPr>
              <w:rPr>
                <w:rFonts w:eastAsia="楷体_GB2312"/>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1A459A" w:rsidRPr="00F57D27">
              <w:trPr>
                <w:trHeight w:hRule="exact" w:val="284"/>
              </w:trPr>
              <w:tc>
                <w:tcPr>
                  <w:tcW w:w="3888" w:type="dxa"/>
                  <w:gridSpan w:val="2"/>
                </w:tcPr>
                <w:p w:rsidR="001A459A" w:rsidRPr="00B21A03" w:rsidRDefault="001A459A" w:rsidP="001A459A">
                  <w:pPr>
                    <w:pStyle w:val="a8"/>
                    <w:rPr>
                      <w:rFonts w:hAnsi="宋体" w:cs="宋体"/>
                    </w:rPr>
                  </w:pP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sidR="001E1514">
                    <w:rPr>
                      <w:rFonts w:hAnsi="宋体" w:cs="宋体" w:hint="eastAsia"/>
                    </w:rPr>
                    <w:t>2</w:t>
                  </w:r>
                  <w:r w:rsidRPr="00B21A03">
                    <w:rPr>
                      <w:rFonts w:hAnsi="宋体" w:cs="宋体"/>
                    </w:rPr>
                    <w:t>年</w:t>
                  </w:r>
                  <w:r w:rsidR="00583DAC">
                    <w:rPr>
                      <w:rFonts w:hAnsi="宋体" w:cs="宋体" w:hint="eastAsia"/>
                    </w:rPr>
                    <w:t>1</w:t>
                  </w:r>
                  <w:r w:rsidR="00A034D8">
                    <w:rPr>
                      <w:rFonts w:hAnsi="宋体" w:cs="宋体" w:hint="eastAsia"/>
                    </w:rPr>
                    <w:t>2</w:t>
                  </w:r>
                  <w:r w:rsidRPr="00B21A03">
                    <w:rPr>
                      <w:rFonts w:hAnsi="宋体" w:cs="宋体"/>
                    </w:rPr>
                    <w:t>月</w:t>
                  </w:r>
                  <w:r w:rsidR="00A034D8">
                    <w:rPr>
                      <w:rFonts w:hAnsi="宋体" w:cs="宋体" w:hint="eastAsia"/>
                    </w:rPr>
                    <w:t>3</w:t>
                  </w:r>
                  <w:r w:rsidRPr="00B21A03">
                    <w:rPr>
                      <w:rFonts w:hAnsi="宋体" w:cs="宋体"/>
                    </w:rPr>
                    <w:t>日</w:t>
                  </w:r>
                </w:p>
                <w:p w:rsidR="001A459A" w:rsidRPr="00F57D27" w:rsidRDefault="001A459A" w:rsidP="001A459A">
                  <w:pPr>
                    <w:jc w:val="left"/>
                    <w:rPr>
                      <w:rFonts w:eastAsia="楷体_GB2312"/>
                      <w:color w:val="003366"/>
                      <w:sz w:val="24"/>
                    </w:rPr>
                  </w:pPr>
                </w:p>
              </w:tc>
            </w:tr>
            <w:tr w:rsidR="001A459A" w:rsidRPr="00F57D27">
              <w:trPr>
                <w:trHeight w:hRule="exact" w:val="284"/>
              </w:trPr>
              <w:tc>
                <w:tcPr>
                  <w:tcW w:w="3888" w:type="dxa"/>
                  <w:gridSpan w:val="2"/>
                </w:tcPr>
                <w:p w:rsidR="001A459A" w:rsidRPr="00F57D27" w:rsidRDefault="001A459A" w:rsidP="001A459A">
                  <w:pPr>
                    <w:rPr>
                      <w:rFonts w:eastAsia="黑体"/>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报告编号：</w:t>
                  </w: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相关报告：</w:t>
                  </w:r>
                </w:p>
              </w:tc>
            </w:tr>
            <w:tr w:rsidR="001A459A" w:rsidRPr="00F57D27" w:rsidTr="00E44B3F">
              <w:trPr>
                <w:gridAfter w:val="1"/>
                <w:wAfter w:w="468" w:type="dxa"/>
                <w:trHeight w:hRule="exact" w:val="2396"/>
              </w:trPr>
              <w:tc>
                <w:tcPr>
                  <w:tcW w:w="3420" w:type="dxa"/>
                </w:tcPr>
                <w:p w:rsidR="000838AB" w:rsidRDefault="000838AB" w:rsidP="004647C0">
                  <w:pPr>
                    <w:rPr>
                      <w:rFonts w:eastAsia="楷体_GB2312" w:hint="eastAsia"/>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13</w:t>
                  </w:r>
                  <w:r w:rsidRPr="00D46766">
                    <w:rPr>
                      <w:rFonts w:eastAsia="楷体_GB2312" w:hint="eastAsia"/>
                      <w:sz w:val="18"/>
                      <w:szCs w:val="18"/>
                    </w:rPr>
                    <w:t>年</w:t>
                  </w:r>
                  <w:r>
                    <w:rPr>
                      <w:rFonts w:eastAsia="楷体_GB2312" w:hint="eastAsia"/>
                      <w:sz w:val="18"/>
                      <w:szCs w:val="18"/>
                    </w:rPr>
                    <w:t>1</w:t>
                  </w:r>
                  <w:r w:rsidR="00AA19C8">
                    <w:rPr>
                      <w:rFonts w:eastAsia="楷体_GB2312" w:hint="eastAsia"/>
                      <w:sz w:val="18"/>
                      <w:szCs w:val="18"/>
                    </w:rPr>
                    <w:t>2</w:t>
                  </w:r>
                  <w:r w:rsidRPr="00D46766">
                    <w:rPr>
                      <w:rFonts w:eastAsia="楷体_GB2312" w:hint="eastAsia"/>
                      <w:sz w:val="18"/>
                      <w:szCs w:val="18"/>
                    </w:rPr>
                    <w:t>月基金投资策略</w:t>
                  </w:r>
                  <w:r>
                    <w:rPr>
                      <w:rFonts w:eastAsia="楷体_GB2312" w:hint="eastAsia"/>
                      <w:sz w:val="18"/>
                      <w:szCs w:val="18"/>
                    </w:rPr>
                    <w:t>：</w:t>
                  </w:r>
                  <w:r w:rsidRPr="000838AB">
                    <w:rPr>
                      <w:rFonts w:eastAsia="楷体_GB2312" w:hint="eastAsia"/>
                      <w:sz w:val="18"/>
                      <w:szCs w:val="18"/>
                    </w:rPr>
                    <w:t>短期市场持续震荡</w:t>
                  </w:r>
                  <w:r w:rsidRPr="000838AB">
                    <w:rPr>
                      <w:rFonts w:eastAsia="楷体_GB2312" w:hint="eastAsia"/>
                      <w:sz w:val="18"/>
                      <w:szCs w:val="18"/>
                    </w:rPr>
                    <w:t>,</w:t>
                  </w:r>
                  <w:r w:rsidRPr="000838AB">
                    <w:rPr>
                      <w:rFonts w:eastAsia="楷体_GB2312" w:hint="eastAsia"/>
                      <w:sz w:val="18"/>
                      <w:szCs w:val="18"/>
                    </w:rPr>
                    <w:tab/>
                  </w:r>
                  <w:r w:rsidRPr="000838AB">
                    <w:rPr>
                      <w:rFonts w:eastAsia="楷体_GB2312" w:hint="eastAsia"/>
                      <w:sz w:val="18"/>
                      <w:szCs w:val="18"/>
                    </w:rPr>
                    <w:t>配置重心转向重仓非银行蓝筹基金</w:t>
                  </w:r>
                </w:p>
                <w:p w:rsidR="001365B3" w:rsidRDefault="001365B3" w:rsidP="004647C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13</w:t>
                  </w:r>
                  <w:r w:rsidRPr="00D46766">
                    <w:rPr>
                      <w:rFonts w:eastAsia="楷体_GB2312" w:hint="eastAsia"/>
                      <w:sz w:val="18"/>
                      <w:szCs w:val="18"/>
                    </w:rPr>
                    <w:t>年</w:t>
                  </w:r>
                  <w:r>
                    <w:rPr>
                      <w:rFonts w:eastAsia="楷体_GB2312" w:hint="eastAsia"/>
                      <w:sz w:val="18"/>
                      <w:szCs w:val="18"/>
                    </w:rPr>
                    <w:t>11</w:t>
                  </w:r>
                  <w:r w:rsidRPr="00D46766">
                    <w:rPr>
                      <w:rFonts w:eastAsia="楷体_GB2312" w:hint="eastAsia"/>
                      <w:sz w:val="18"/>
                      <w:szCs w:val="18"/>
                    </w:rPr>
                    <w:t>月基金投资策略</w:t>
                  </w:r>
                  <w:r>
                    <w:rPr>
                      <w:rFonts w:eastAsia="楷体_GB2312" w:hint="eastAsia"/>
                      <w:sz w:val="18"/>
                      <w:szCs w:val="18"/>
                    </w:rPr>
                    <w:t>：</w:t>
                  </w:r>
                  <w:r w:rsidRPr="001365B3">
                    <w:rPr>
                      <w:rFonts w:eastAsia="楷体_GB2312" w:hint="eastAsia"/>
                      <w:sz w:val="18"/>
                      <w:szCs w:val="18"/>
                    </w:rPr>
                    <w:t>资金利率隐现市场短期压力</w:t>
                  </w:r>
                  <w:r>
                    <w:rPr>
                      <w:rFonts w:eastAsia="楷体_GB2312" w:hint="eastAsia"/>
                      <w:sz w:val="18"/>
                      <w:szCs w:val="18"/>
                    </w:rPr>
                    <w:t>,</w:t>
                  </w:r>
                  <w:r w:rsidRPr="001365B3">
                    <w:rPr>
                      <w:rFonts w:eastAsia="楷体_GB2312" w:hint="eastAsia"/>
                      <w:sz w:val="18"/>
                      <w:szCs w:val="18"/>
                    </w:rPr>
                    <w:t>以蓝筹为主成长为辅配置组合</w:t>
                  </w:r>
                </w:p>
                <w:p w:rsidR="00A15B9C" w:rsidRPr="00F21494" w:rsidRDefault="00A15B9C" w:rsidP="004647C0">
                  <w:pPr>
                    <w:rPr>
                      <w:rFonts w:eastAsia="楷体_GB2312"/>
                      <w:sz w:val="18"/>
                      <w:szCs w:val="18"/>
                    </w:rPr>
                  </w:pPr>
                </w:p>
                <w:p w:rsidR="00E44B3F" w:rsidRPr="00060998" w:rsidRDefault="00E44B3F" w:rsidP="004647C0">
                  <w:pPr>
                    <w:rPr>
                      <w:rFonts w:eastAsia="楷体_GB2312"/>
                      <w:sz w:val="18"/>
                      <w:szCs w:val="18"/>
                    </w:rPr>
                  </w:pPr>
                </w:p>
                <w:p w:rsidR="00E44B3F" w:rsidRPr="00E44B3F" w:rsidRDefault="00E44B3F" w:rsidP="004647C0">
                  <w:pPr>
                    <w:rPr>
                      <w:rFonts w:eastAsia="楷体_GB2312"/>
                      <w:sz w:val="18"/>
                      <w:szCs w:val="18"/>
                    </w:rPr>
                  </w:pPr>
                </w:p>
                <w:p w:rsidR="001A459A" w:rsidRPr="00734602" w:rsidRDefault="001A459A" w:rsidP="004647C0">
                  <w:pPr>
                    <w:rPr>
                      <w:rFonts w:eastAsia="黑体"/>
                      <w:b/>
                      <w:color w:val="003366"/>
                      <w:sz w:val="24"/>
                    </w:rPr>
                  </w:pPr>
                </w:p>
              </w:tc>
            </w:tr>
          </w:tbl>
          <w:p w:rsidR="001A459A" w:rsidRPr="00F57D27" w:rsidRDefault="001A459A" w:rsidP="001A459A">
            <w:pPr>
              <w:rPr>
                <w:rFonts w:eastAsia="楷体_GB2312"/>
                <w:b/>
                <w:color w:val="003366"/>
                <w:sz w:val="28"/>
                <w:szCs w:val="28"/>
              </w:rPr>
            </w:pPr>
          </w:p>
        </w:tc>
      </w:tr>
    </w:tbl>
    <w:p w:rsidR="00BE3940" w:rsidRPr="00A054FE" w:rsidRDefault="0076610D" w:rsidP="00BE3940">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32" type="#_x0000_t202" style="position:absolute;left:0;text-align:left;margin-left:-54pt;margin-top:-171.6pt;width:422.85pt;height:153.1pt;z-index:251656704;mso-position-horizontal-relative:text;mso-position-vertical-relative:text" fillcolor="#00326e" stroked="f">
            <v:textbox style="mso-next-textbox:#_x0000_s1032">
              <w:txbxContent>
                <w:p w:rsidR="00254CD8" w:rsidRPr="00C2401C" w:rsidRDefault="00254CD8" w:rsidP="00BE3940">
                  <w:pPr>
                    <w:rPr>
                      <w:rFonts w:ascii="宋体-18030" w:eastAsia="宋体-18030" w:hAnsi="宋体-18030" w:cs="宋体-18030"/>
                      <w:szCs w:val="21"/>
                    </w:rPr>
                  </w:pPr>
                </w:p>
                <w:p w:rsidR="00254CD8" w:rsidRPr="00C2401C" w:rsidRDefault="00254CD8" w:rsidP="00BE3940">
                  <w:pPr>
                    <w:jc w:val="right"/>
                    <w:rPr>
                      <w:rFonts w:ascii="宋体-18030" w:eastAsia="宋体-18030" w:hAnsi="宋体-18030" w:cs="宋体-18030"/>
                      <w:b/>
                      <w:szCs w:val="21"/>
                    </w:rPr>
                  </w:pPr>
                </w:p>
                <w:p w:rsidR="00254CD8" w:rsidRPr="00C2401C" w:rsidRDefault="00254CD8" w:rsidP="00BE3940">
                  <w:pPr>
                    <w:rPr>
                      <w:rFonts w:ascii="宋体-18030" w:eastAsia="宋体-18030" w:hAnsi="宋体-18030" w:cs="宋体-18030"/>
                      <w:szCs w:val="21"/>
                    </w:rPr>
                  </w:pPr>
                </w:p>
                <w:p w:rsidR="00254CD8" w:rsidRPr="00C2401C" w:rsidRDefault="00254CD8" w:rsidP="00BE3940">
                  <w:pPr>
                    <w:rPr>
                      <w:rFonts w:ascii="宋体-18030" w:eastAsia="宋体-18030" w:hAnsi="宋体-18030" w:cs="宋体-18030"/>
                      <w:szCs w:val="21"/>
                    </w:rPr>
                  </w:pPr>
                </w:p>
                <w:p w:rsidR="00254CD8" w:rsidRDefault="00F81A04" w:rsidP="00CD5982">
                  <w:pPr>
                    <w:ind w:right="150"/>
                    <w:jc w:val="right"/>
                    <w:rPr>
                      <w:rFonts w:ascii="黑体" w:eastAsia="黑体" w:hAnsi="宋体" w:cs="宋体-18030"/>
                      <w:b/>
                      <w:color w:val="FFFFFF"/>
                      <w:sz w:val="30"/>
                      <w:szCs w:val="30"/>
                    </w:rPr>
                  </w:pPr>
                  <w:r>
                    <w:rPr>
                      <w:rFonts w:ascii="黑体" w:eastAsia="黑体" w:hAnsi="宋体" w:cs="宋体-18030" w:hint="eastAsia"/>
                      <w:b/>
                      <w:color w:val="FFFFFF"/>
                      <w:sz w:val="30"/>
                      <w:szCs w:val="30"/>
                    </w:rPr>
                    <w:t>市场维持震荡</w:t>
                  </w:r>
                  <w:r w:rsidR="00254CD8">
                    <w:rPr>
                      <w:rFonts w:ascii="黑体" w:eastAsia="黑体" w:hAnsi="宋体" w:cs="宋体-18030" w:hint="eastAsia"/>
                      <w:b/>
                      <w:color w:val="FFFFFF"/>
                      <w:sz w:val="30"/>
                      <w:szCs w:val="30"/>
                    </w:rPr>
                    <w:t>,</w:t>
                  </w:r>
                  <w:r w:rsidR="00E22B59" w:rsidRPr="00E22B59">
                    <w:rPr>
                      <w:rFonts w:hint="eastAsia"/>
                    </w:rPr>
                    <w:t xml:space="preserve"> </w:t>
                  </w:r>
                  <w:r w:rsidRPr="00F81A04">
                    <w:rPr>
                      <w:rFonts w:ascii="黑体" w:eastAsia="黑体" w:hAnsi="宋体" w:cs="宋体-18030" w:hint="eastAsia"/>
                      <w:b/>
                      <w:color w:val="FFFFFF"/>
                      <w:sz w:val="30"/>
                      <w:szCs w:val="30"/>
                    </w:rPr>
                    <w:t>重点</w:t>
                  </w:r>
                  <w:r>
                    <w:rPr>
                      <w:rFonts w:ascii="黑体" w:eastAsia="黑体" w:hAnsi="宋体" w:cs="宋体-18030" w:hint="eastAsia"/>
                      <w:b/>
                      <w:color w:val="FFFFFF"/>
                      <w:sz w:val="30"/>
                      <w:szCs w:val="30"/>
                    </w:rPr>
                    <w:t>关注基金行业把握能力</w:t>
                  </w:r>
                  <w:r w:rsidR="00E22B59" w:rsidRPr="00E22B59">
                    <w:rPr>
                      <w:rFonts w:ascii="黑体" w:eastAsia="黑体" w:hAnsi="宋体" w:cs="宋体-18030" w:hint="eastAsia"/>
                      <w:b/>
                      <w:color w:val="FFFFFF"/>
                      <w:sz w:val="30"/>
                      <w:szCs w:val="30"/>
                    </w:rPr>
                    <w:t>和选股能力</w:t>
                  </w:r>
                </w:p>
                <w:p w:rsidR="00254CD8" w:rsidRPr="00B825E8" w:rsidRDefault="00254CD8" w:rsidP="00764C61">
                  <w:pPr>
                    <w:jc w:val="right"/>
                    <w:rPr>
                      <w:rFonts w:ascii="黑体" w:eastAsia="黑体" w:hAnsi="宋体" w:cs="宋体-18030"/>
                      <w:b/>
                      <w:color w:val="FFFFFF"/>
                      <w:sz w:val="30"/>
                      <w:szCs w:val="30"/>
                    </w:rPr>
                  </w:pPr>
                </w:p>
                <w:p w:rsidR="00254CD8" w:rsidRPr="004E3270" w:rsidRDefault="00254CD8" w:rsidP="00F84017">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w:t>
                  </w:r>
                  <w:r w:rsidR="00F81A04">
                    <w:rPr>
                      <w:rFonts w:ascii="楷体_GB2312" w:eastAsia="楷体_GB2312" w:hint="eastAsia"/>
                      <w:b/>
                      <w:szCs w:val="21"/>
                    </w:rPr>
                    <w:t>4</w:t>
                  </w:r>
                  <w:r w:rsidRPr="004E62DA">
                    <w:rPr>
                      <w:rFonts w:ascii="楷体_GB2312" w:eastAsia="楷体_GB2312" w:hint="eastAsia"/>
                      <w:b/>
                      <w:szCs w:val="21"/>
                    </w:rPr>
                    <w:t>年</w:t>
                  </w:r>
                  <w:r w:rsidR="00F81A04">
                    <w:rPr>
                      <w:rFonts w:ascii="楷体_GB2312" w:eastAsia="楷体_GB2312" w:hint="eastAsia"/>
                      <w:b/>
                      <w:szCs w:val="21"/>
                    </w:rPr>
                    <w:t>1</w:t>
                  </w:r>
                  <w:r>
                    <w:rPr>
                      <w:rFonts w:ascii="楷体_GB2312" w:eastAsia="楷体_GB2312" w:hint="eastAsia"/>
                      <w:b/>
                      <w:szCs w:val="21"/>
                    </w:rPr>
                    <w:t>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254CD8" w:rsidRPr="00AF7DC8" w:rsidRDefault="00254CD8" w:rsidP="00AF7DC8">
                  <w:pPr>
                    <w:spacing w:line="360" w:lineRule="auto"/>
                    <w:jc w:val="center"/>
                    <w:rPr>
                      <w:rFonts w:ascii="黑体" w:eastAsia="黑体" w:hAnsi="宋体" w:cs="宋体-18030"/>
                      <w:b/>
                      <w:color w:val="FFFFFF"/>
                      <w:sz w:val="30"/>
                      <w:szCs w:val="30"/>
                    </w:rPr>
                  </w:pPr>
                </w:p>
              </w:txbxContent>
            </v:textbox>
          </v:shape>
        </w:pict>
      </w:r>
      <w:r w:rsidR="00BE3940" w:rsidRPr="00A054FE">
        <w:rPr>
          <w:rFonts w:ascii="黑体" w:eastAsia="黑体" w:hAnsi="宋体" w:hint="eastAsia"/>
          <w:b/>
          <w:color w:val="003366"/>
          <w:sz w:val="24"/>
        </w:rPr>
        <w:t>主要观点：</w:t>
      </w:r>
    </w:p>
    <w:p w:rsidR="00235F92" w:rsidRPr="007A2D23" w:rsidRDefault="00F81A04" w:rsidP="00235F92">
      <w:pPr>
        <w:numPr>
          <w:ilvl w:val="0"/>
          <w:numId w:val="2"/>
        </w:numPr>
        <w:rPr>
          <w:rFonts w:ascii="黑体" w:eastAsia="黑体" w:hAnsi="宋体-18030" w:cs="宋体-18030"/>
          <w:b/>
          <w:bCs/>
          <w:color w:val="003366"/>
          <w:kern w:val="44"/>
          <w:szCs w:val="21"/>
        </w:rPr>
      </w:pPr>
      <w:r w:rsidRPr="00F81A04">
        <w:rPr>
          <w:rFonts w:ascii="黑体" w:eastAsia="黑体" w:hAnsi="宋体-18030" w:cs="宋体-18030" w:hint="eastAsia"/>
          <w:b/>
          <w:bCs/>
          <w:color w:val="003366"/>
          <w:kern w:val="44"/>
          <w:szCs w:val="21"/>
        </w:rPr>
        <w:t>“经济增长减弱”和“政策推进”继续主导市场演绎</w:t>
      </w:r>
    </w:p>
    <w:p w:rsidR="00F81A04" w:rsidRDefault="00F81A04" w:rsidP="00377D61">
      <w:pPr>
        <w:ind w:firstLine="420"/>
        <w:rPr>
          <w:rFonts w:ascii="楷体_GB2312" w:eastAsia="楷体_GB2312" w:hAnsi="宋体" w:cs="宋体" w:hint="eastAsia"/>
          <w:kern w:val="0"/>
          <w:szCs w:val="21"/>
        </w:rPr>
      </w:pPr>
      <w:r>
        <w:rPr>
          <w:rFonts w:ascii="楷体_GB2312" w:eastAsia="楷体_GB2312" w:hAnsi="宋体" w:cs="宋体" w:hint="eastAsia"/>
          <w:kern w:val="0"/>
          <w:szCs w:val="21"/>
        </w:rPr>
        <w:t>更多的人相信2014年全球经济的希望将在美国，但美国缩减和退出QE的力度和步伐将影响全球市场稳定。</w:t>
      </w:r>
      <w:r w:rsidRPr="007C1C3D">
        <w:rPr>
          <w:rFonts w:ascii="楷体_GB2312" w:eastAsia="楷体_GB2312" w:hAnsi="宋体" w:cs="宋体" w:hint="eastAsia"/>
          <w:kern w:val="0"/>
          <w:szCs w:val="21"/>
        </w:rPr>
        <w:t>中国经济增长势头有减弱</w:t>
      </w:r>
      <w:r>
        <w:rPr>
          <w:rFonts w:ascii="楷体_GB2312" w:eastAsia="楷体_GB2312" w:hAnsi="宋体" w:cs="宋体" w:hint="eastAsia"/>
          <w:kern w:val="0"/>
          <w:szCs w:val="21"/>
        </w:rPr>
        <w:t>迹象</w:t>
      </w:r>
      <w:r w:rsidRPr="007C1C3D">
        <w:rPr>
          <w:rFonts w:ascii="楷体_GB2312" w:eastAsia="楷体_GB2312" w:hAnsi="宋体" w:cs="宋体" w:hint="eastAsia"/>
          <w:kern w:val="0"/>
          <w:szCs w:val="21"/>
        </w:rPr>
        <w:t>逐渐明显</w:t>
      </w:r>
      <w:r>
        <w:rPr>
          <w:rFonts w:ascii="楷体_GB2312" w:eastAsia="楷体_GB2312" w:hAnsi="宋体" w:cs="宋体" w:hint="eastAsia"/>
          <w:kern w:val="0"/>
          <w:szCs w:val="21"/>
        </w:rPr>
        <w:t>，政府去杠杆化的决心决定市场资金偏紧的局面将继续维持。</w:t>
      </w:r>
      <w:r w:rsidR="00290A0F">
        <w:rPr>
          <w:rFonts w:ascii="楷体_GB2312" w:eastAsia="楷体_GB2312" w:hAnsi="宋体" w:cs="宋体" w:hint="eastAsia"/>
          <w:kern w:val="0"/>
          <w:szCs w:val="21"/>
        </w:rPr>
        <w:t>但我们预期</w:t>
      </w:r>
    </w:p>
    <w:p w:rsidR="00377D61" w:rsidRPr="00345C07" w:rsidRDefault="009F26DF" w:rsidP="00377D61">
      <w:pPr>
        <w:ind w:firstLine="420"/>
        <w:rPr>
          <w:rFonts w:ascii="楷体_GB2312" w:eastAsia="楷体_GB2312"/>
          <w:color w:val="000000"/>
        </w:rPr>
      </w:pPr>
      <w:r>
        <w:rPr>
          <w:rFonts w:ascii="楷体_GB2312" w:eastAsia="楷体_GB2312" w:hAnsi="宋体" w:cs="宋体" w:hint="eastAsia"/>
          <w:kern w:val="0"/>
          <w:szCs w:val="21"/>
        </w:rPr>
        <w:t>同时</w:t>
      </w:r>
      <w:r w:rsidR="00A034D8" w:rsidRPr="00A034D8">
        <w:rPr>
          <w:rFonts w:ascii="楷体_GB2312" w:eastAsia="楷体_GB2312" w:hAnsi="宋体" w:cs="宋体" w:hint="eastAsia"/>
          <w:kern w:val="0"/>
          <w:szCs w:val="21"/>
        </w:rPr>
        <w:t>当前数据显示中国经济仍然面临巨大</w:t>
      </w:r>
      <w:r>
        <w:rPr>
          <w:rFonts w:ascii="楷体_GB2312" w:eastAsia="楷体_GB2312" w:hAnsi="宋体" w:cs="宋体" w:hint="eastAsia"/>
          <w:kern w:val="0"/>
          <w:szCs w:val="21"/>
        </w:rPr>
        <w:t>挑战，经济增长势头有减弱</w:t>
      </w:r>
      <w:r w:rsidR="00A034D8" w:rsidRPr="00A034D8">
        <w:rPr>
          <w:rFonts w:ascii="楷体_GB2312" w:eastAsia="楷体_GB2312" w:hAnsi="宋体" w:cs="宋体" w:hint="eastAsia"/>
          <w:kern w:val="0"/>
          <w:szCs w:val="21"/>
        </w:rPr>
        <w:t>危险</w:t>
      </w:r>
      <w:r>
        <w:rPr>
          <w:rFonts w:ascii="楷体_GB2312" w:eastAsia="楷体_GB2312" w:hAnsi="宋体" w:cs="宋体" w:hint="eastAsia"/>
          <w:kern w:val="0"/>
          <w:szCs w:val="21"/>
        </w:rPr>
        <w:t>，市场资金偏紧的局面将在未来一段市场继续维持，这对权益市场形成巨大压力。</w:t>
      </w:r>
      <w:r w:rsidR="00B54CFF">
        <w:rPr>
          <w:rFonts w:ascii="楷体_GB2312" w:eastAsia="楷体_GB2312" w:hAnsi="宋体" w:cs="宋体" w:hint="eastAsia"/>
          <w:kern w:val="0"/>
          <w:szCs w:val="21"/>
        </w:rPr>
        <w:t>但改革步伐</w:t>
      </w:r>
      <w:r w:rsidR="00290A0F">
        <w:rPr>
          <w:rFonts w:ascii="楷体_GB2312" w:eastAsia="楷体_GB2312" w:hAnsi="宋体" w:cs="宋体" w:hint="eastAsia"/>
          <w:kern w:val="0"/>
          <w:szCs w:val="21"/>
        </w:rPr>
        <w:t>在加速推进，政策热点将不断涌现。我们维持上期判断，</w:t>
      </w:r>
      <w:r w:rsidR="00A034D8" w:rsidRPr="00A034D8">
        <w:rPr>
          <w:rFonts w:ascii="楷体_GB2312" w:eastAsia="楷体_GB2312" w:hAnsi="宋体" w:cs="宋体" w:hint="eastAsia"/>
          <w:kern w:val="0"/>
          <w:szCs w:val="21"/>
        </w:rPr>
        <w:t>短期市场或在“经济增长减弱”和“政策推进”两种力量之间震荡，结构性机会将频繁出现</w:t>
      </w:r>
      <w:r w:rsidR="002E27C6" w:rsidRPr="00CE3CA4">
        <w:rPr>
          <w:rFonts w:ascii="楷体_GB2312" w:eastAsia="楷体_GB2312" w:hAnsi="宋体" w:cs="宋体" w:hint="eastAsia"/>
          <w:kern w:val="0"/>
          <w:szCs w:val="21"/>
        </w:rPr>
        <w:t>。</w:t>
      </w:r>
    </w:p>
    <w:p w:rsidR="00377D61" w:rsidRPr="0050054F" w:rsidRDefault="00290A0F" w:rsidP="00377D61">
      <w:pPr>
        <w:numPr>
          <w:ilvl w:val="0"/>
          <w:numId w:val="2"/>
        </w:numPr>
        <w:rPr>
          <w:rFonts w:ascii="黑体" w:eastAsia="黑体" w:hAnsi="宋体-18030" w:cs="宋体-18030"/>
          <w:b/>
          <w:bCs/>
          <w:color w:val="003366"/>
          <w:kern w:val="44"/>
          <w:szCs w:val="21"/>
        </w:rPr>
      </w:pPr>
      <w:r w:rsidRPr="00290A0F">
        <w:rPr>
          <w:rFonts w:ascii="黑体" w:eastAsia="黑体" w:hAnsi="宋体-18030" w:cs="宋体-18030" w:hint="eastAsia"/>
          <w:b/>
          <w:bCs/>
          <w:color w:val="003366"/>
          <w:kern w:val="44"/>
          <w:szCs w:val="21"/>
        </w:rPr>
        <w:t>基金配置重在行业把握能力和选股能力</w:t>
      </w:r>
    </w:p>
    <w:p w:rsidR="009F26DF" w:rsidRPr="009F26DF" w:rsidRDefault="009F26DF" w:rsidP="009F26DF">
      <w:pPr>
        <w:ind w:firstLine="420"/>
        <w:rPr>
          <w:rFonts w:ascii="楷体_GB2312" w:eastAsia="楷体_GB2312" w:hAnsi="宋体" w:cs="宋体"/>
          <w:color w:val="000000"/>
          <w:kern w:val="0"/>
          <w:szCs w:val="21"/>
        </w:rPr>
      </w:pPr>
      <w:r w:rsidRPr="009F26DF">
        <w:rPr>
          <w:rFonts w:ascii="楷体_GB2312" w:eastAsia="楷体_GB2312" w:hAnsi="宋体" w:cs="宋体" w:hint="eastAsia"/>
          <w:color w:val="000000"/>
          <w:kern w:val="0"/>
          <w:szCs w:val="21"/>
        </w:rPr>
        <w:t>建议中低风险投资者本月适当控制组合风险，回避市场调整压力，等待更好时机的到来。建议高风险偏好者提高市场关注度，积极把握政策推进所带来的丰富结构性投资机会。</w:t>
      </w:r>
    </w:p>
    <w:p w:rsidR="00347655" w:rsidRDefault="009F26DF" w:rsidP="00347655">
      <w:pPr>
        <w:ind w:firstLine="420"/>
        <w:rPr>
          <w:rFonts w:ascii="楷体_GB2312" w:eastAsia="楷体_GB2312" w:hAnsi="宋体" w:cs="宋体" w:hint="eastAsia"/>
          <w:color w:val="000000"/>
          <w:kern w:val="0"/>
          <w:szCs w:val="21"/>
        </w:rPr>
      </w:pPr>
      <w:r w:rsidRPr="009F26DF">
        <w:rPr>
          <w:rFonts w:ascii="楷体_GB2312" w:eastAsia="楷体_GB2312" w:hAnsi="宋体" w:cs="宋体" w:hint="eastAsia"/>
          <w:color w:val="000000"/>
          <w:kern w:val="0"/>
          <w:szCs w:val="21"/>
        </w:rPr>
        <w:t>权益类基金方面，</w:t>
      </w:r>
      <w:r w:rsidR="00347655">
        <w:rPr>
          <w:rFonts w:ascii="楷体_GB2312" w:eastAsia="楷体_GB2312" w:hAnsi="宋体" w:cs="宋体" w:hint="eastAsia"/>
          <w:color w:val="000000"/>
          <w:kern w:val="0"/>
          <w:szCs w:val="21"/>
        </w:rPr>
        <w:t>我们认为，</w:t>
      </w:r>
      <w:r w:rsidR="00347655">
        <w:rPr>
          <w:rFonts w:ascii="楷体_GB2312" w:eastAsia="楷体_GB2312" w:hAnsi="宋体" w:cs="宋体" w:hint="eastAsia"/>
          <w:kern w:val="0"/>
          <w:szCs w:val="21"/>
        </w:rPr>
        <w:t>12月投资者的基金配置的重点在于选择其中行业把握能力和个股选择能力更强的历史绩优基金。</w:t>
      </w:r>
      <w:r w:rsidR="00347655" w:rsidRPr="001D4266">
        <w:rPr>
          <w:rFonts w:ascii="楷体_GB2312" w:eastAsia="楷体_GB2312" w:hAnsi="宋体" w:cs="宋体" w:hint="eastAsia"/>
          <w:kern w:val="0"/>
          <w:szCs w:val="21"/>
        </w:rPr>
        <w:t>建议投资者</w:t>
      </w:r>
      <w:r w:rsidR="00347655">
        <w:rPr>
          <w:rFonts w:ascii="楷体_GB2312" w:eastAsia="楷体_GB2312" w:hAnsi="宋体" w:cs="宋体" w:hint="eastAsia"/>
          <w:kern w:val="0"/>
          <w:szCs w:val="21"/>
        </w:rPr>
        <w:t>一方面</w:t>
      </w:r>
      <w:r w:rsidR="00347655" w:rsidRPr="001D4266">
        <w:rPr>
          <w:rFonts w:ascii="楷体_GB2312" w:eastAsia="楷体_GB2312" w:hAnsi="宋体" w:cs="宋体" w:hint="eastAsia"/>
          <w:kern w:val="0"/>
          <w:szCs w:val="21"/>
        </w:rPr>
        <w:t>继续沿着政策方向精</w:t>
      </w:r>
      <w:r w:rsidR="00347655">
        <w:rPr>
          <w:rFonts w:ascii="楷体_GB2312" w:eastAsia="楷体_GB2312" w:hAnsi="宋体" w:cs="宋体" w:hint="eastAsia"/>
          <w:kern w:val="0"/>
          <w:szCs w:val="21"/>
        </w:rPr>
        <w:t>选投资灵活、行业把握能力强的成长类绩优基金，把握主题性投资机会；另一方面</w:t>
      </w:r>
      <w:r w:rsidR="0098168F">
        <w:rPr>
          <w:rFonts w:ascii="楷体_GB2312" w:eastAsia="楷体_GB2312" w:hAnsi="宋体" w:cs="宋体" w:hint="eastAsia"/>
          <w:kern w:val="0"/>
          <w:szCs w:val="21"/>
        </w:rPr>
        <w:t>积极</w:t>
      </w:r>
      <w:r w:rsidR="00347655">
        <w:rPr>
          <w:rFonts w:ascii="楷体_GB2312" w:eastAsia="楷体_GB2312" w:hAnsi="宋体" w:cs="宋体" w:hint="eastAsia"/>
          <w:kern w:val="0"/>
          <w:szCs w:val="21"/>
        </w:rPr>
        <w:t>关注选股能力更强的绩优基金</w:t>
      </w:r>
      <w:r w:rsidR="0098168F">
        <w:rPr>
          <w:rFonts w:ascii="楷体_GB2312" w:eastAsia="楷体_GB2312" w:hAnsi="宋体" w:cs="宋体" w:hint="eastAsia"/>
          <w:kern w:val="0"/>
          <w:szCs w:val="21"/>
        </w:rPr>
        <w:t>；</w:t>
      </w:r>
      <w:r w:rsidR="0098168F">
        <w:rPr>
          <w:rFonts w:ascii="楷体_GB2312" w:eastAsia="楷体_GB2312" w:hAnsi="宋体" w:cs="宋体" w:hint="eastAsia"/>
          <w:color w:val="000000"/>
          <w:kern w:val="0"/>
          <w:szCs w:val="21"/>
        </w:rPr>
        <w:t>适当回避</w:t>
      </w:r>
      <w:r w:rsidR="0098168F" w:rsidRPr="009F26DF">
        <w:rPr>
          <w:rFonts w:ascii="楷体_GB2312" w:eastAsia="楷体_GB2312" w:hAnsi="宋体" w:cs="宋体" w:hint="eastAsia"/>
          <w:color w:val="000000"/>
          <w:kern w:val="0"/>
          <w:szCs w:val="21"/>
        </w:rPr>
        <w:t>创业板基金</w:t>
      </w:r>
      <w:r w:rsidR="0098168F">
        <w:rPr>
          <w:rFonts w:ascii="楷体_GB2312" w:eastAsia="楷体_GB2312" w:hAnsi="宋体" w:cs="宋体" w:hint="eastAsia"/>
          <w:color w:val="000000"/>
          <w:kern w:val="0"/>
          <w:szCs w:val="21"/>
        </w:rPr>
        <w:t>。</w:t>
      </w:r>
    </w:p>
    <w:p w:rsidR="009F26DF" w:rsidRPr="009F26DF" w:rsidRDefault="009F26DF" w:rsidP="009F26DF">
      <w:pPr>
        <w:ind w:firstLine="420"/>
        <w:rPr>
          <w:rFonts w:ascii="楷体_GB2312" w:eastAsia="楷体_GB2312" w:hAnsi="宋体" w:cs="宋体"/>
          <w:color w:val="000000"/>
          <w:kern w:val="0"/>
          <w:szCs w:val="21"/>
        </w:rPr>
      </w:pPr>
      <w:r w:rsidRPr="009F26DF">
        <w:rPr>
          <w:rFonts w:ascii="楷体_GB2312" w:eastAsia="楷体_GB2312" w:hAnsi="宋体" w:cs="宋体" w:hint="eastAsia"/>
          <w:color w:val="000000"/>
          <w:kern w:val="0"/>
          <w:szCs w:val="21"/>
        </w:rPr>
        <w:t>固定收益率基金方面，建议具有一定风险承受能力的投资者关注以高收益信用债为主要投资标的的债券型基金；建议保守型投资者积极关注市场资金价格持续高企背景下货币市场基金的良好投资机会。</w:t>
      </w:r>
    </w:p>
    <w:p w:rsidR="00FB2850" w:rsidRPr="002E27C6" w:rsidRDefault="009F26DF" w:rsidP="009F26DF">
      <w:pPr>
        <w:ind w:firstLine="420"/>
        <w:rPr>
          <w:rFonts w:ascii="楷体_GB2312" w:eastAsia="楷体_GB2312" w:hAnsi="宋体" w:cs="宋体"/>
          <w:kern w:val="0"/>
          <w:szCs w:val="21"/>
        </w:rPr>
      </w:pPr>
      <w:r w:rsidRPr="009F26DF">
        <w:rPr>
          <w:rFonts w:ascii="楷体_GB2312" w:eastAsia="楷体_GB2312" w:hAnsi="宋体" w:cs="宋体" w:hint="eastAsia"/>
          <w:color w:val="000000"/>
          <w:kern w:val="0"/>
          <w:szCs w:val="21"/>
        </w:rPr>
        <w:t>QDII方面，建议投资者侧重于关注主要投资发达国家股票市场，尤其是欧元区市场的QDII，适当回避主要投资新兴市场的QDII</w:t>
      </w:r>
      <w:r w:rsidR="00D60CAD">
        <w:rPr>
          <w:rFonts w:ascii="楷体_GB2312" w:eastAsia="楷体_GB2312" w:hAnsi="宋体" w:cs="宋体" w:hint="eastAsia"/>
          <w:color w:val="000000"/>
          <w:kern w:val="0"/>
          <w:szCs w:val="21"/>
        </w:rPr>
        <w:t>，</w:t>
      </w:r>
      <w:r w:rsidRPr="009F26DF">
        <w:rPr>
          <w:rFonts w:ascii="楷体_GB2312" w:eastAsia="楷体_GB2312" w:hAnsi="宋体" w:cs="宋体" w:hint="eastAsia"/>
          <w:color w:val="000000"/>
          <w:kern w:val="0"/>
          <w:szCs w:val="21"/>
        </w:rPr>
        <w:t>回避资源品、商品类QDII</w:t>
      </w:r>
      <w:r w:rsidR="00F84017">
        <w:rPr>
          <w:rFonts w:ascii="楷体_GB2312" w:eastAsia="楷体_GB2312" w:hAnsi="宋体" w:cs="宋体" w:hint="eastAsia"/>
          <w:kern w:val="0"/>
          <w:szCs w:val="21"/>
        </w:rPr>
        <w:t>。</w:t>
      </w:r>
    </w:p>
    <w:p w:rsidR="006F51D7" w:rsidRDefault="00377D61" w:rsidP="00377D61">
      <w:pPr>
        <w:ind w:firstLine="420"/>
        <w:rPr>
          <w:rFonts w:ascii="楷体_GB2312" w:eastAsia="楷体_GB2312"/>
          <w:noProof/>
          <w:color w:val="000000"/>
        </w:rPr>
      </w:pPr>
      <w:r w:rsidRPr="0050054F">
        <w:rPr>
          <w:rFonts w:ascii="黑体" w:eastAsia="黑体" w:hAnsi="宋体" w:hint="eastAsia"/>
          <w:b/>
          <w:color w:val="003366"/>
          <w:szCs w:val="21"/>
        </w:rPr>
        <w:t>组合推荐：</w:t>
      </w:r>
      <w:r w:rsidR="00317751" w:rsidRPr="00317751">
        <w:rPr>
          <w:rFonts w:ascii="楷体_GB2312" w:eastAsia="楷体_GB2312" w:hint="eastAsia"/>
          <w:noProof/>
        </w:rPr>
        <w:t>具体到组合构建上，我们在“配置重心转向重仓非银行蓝筹的绩优基金”的基金投资策略指引下，充分考虑资产配置、行业结构、投资风格分散化原则，构建投资组合以供投资参考。本期</w:t>
      </w:r>
      <w:r w:rsidR="0030540B">
        <w:rPr>
          <w:rFonts w:ascii="楷体_GB2312" w:eastAsia="楷体_GB2312" w:hint="eastAsia"/>
          <w:noProof/>
        </w:rPr>
        <w:t>稳定型组合中的</w:t>
      </w:r>
      <w:r w:rsidR="0030540B" w:rsidRPr="0098168F">
        <w:rPr>
          <w:rFonts w:ascii="楷体_GB2312" w:eastAsia="楷体_GB2312" w:hint="eastAsia"/>
          <w:noProof/>
        </w:rPr>
        <w:t>天弘永利B调整为建信货币</w:t>
      </w:r>
      <w:r w:rsidRPr="0050054F">
        <w:rPr>
          <w:rFonts w:ascii="楷体_GB2312" w:eastAsia="楷体_GB2312" w:hint="eastAsia"/>
          <w:noProof/>
        </w:rPr>
        <w:t>。</w:t>
      </w:r>
    </w:p>
    <w:tbl>
      <w:tblPr>
        <w:tblW w:w="5000" w:type="pct"/>
        <w:jc w:val="center"/>
        <w:tblLook w:val="0000"/>
      </w:tblPr>
      <w:tblGrid>
        <w:gridCol w:w="1596"/>
        <w:gridCol w:w="579"/>
        <w:gridCol w:w="440"/>
        <w:gridCol w:w="1296"/>
        <w:gridCol w:w="582"/>
        <w:gridCol w:w="407"/>
        <w:gridCol w:w="1257"/>
        <w:gridCol w:w="578"/>
      </w:tblGrid>
      <w:tr w:rsidR="000B4882" w:rsidRPr="005B5148" w:rsidTr="00485E6F">
        <w:trPr>
          <w:trHeight w:val="285"/>
          <w:jc w:val="center"/>
        </w:trPr>
        <w:tc>
          <w:tcPr>
            <w:tcW w:w="1615" w:type="pct"/>
            <w:gridSpan w:val="2"/>
            <w:tcBorders>
              <w:top w:val="single" w:sz="4" w:space="0" w:color="auto"/>
              <w:left w:val="single" w:sz="4" w:space="0" w:color="auto"/>
              <w:right w:val="single" w:sz="4" w:space="0" w:color="000000"/>
            </w:tcBorders>
            <w:shd w:val="clear" w:color="auto" w:fill="0000FF"/>
            <w:noWrap/>
            <w:vAlign w:val="bottom"/>
          </w:tcPr>
          <w:p w:rsidR="000B4882" w:rsidRPr="00604445" w:rsidRDefault="000B4882" w:rsidP="004539A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积极型组合</w:t>
            </w:r>
          </w:p>
        </w:tc>
        <w:tc>
          <w:tcPr>
            <w:tcW w:w="32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B4882" w:rsidRPr="005B5148" w:rsidRDefault="000B4882" w:rsidP="004539A3">
            <w:pPr>
              <w:widowControl/>
              <w:jc w:val="center"/>
              <w:rPr>
                <w:rFonts w:ascii="宋体" w:hAnsi="宋体" w:cs="宋体"/>
                <w:kern w:val="0"/>
                <w:sz w:val="18"/>
                <w:szCs w:val="18"/>
              </w:rPr>
            </w:pPr>
          </w:p>
        </w:tc>
        <w:tc>
          <w:tcPr>
            <w:tcW w:w="1394" w:type="pct"/>
            <w:gridSpan w:val="2"/>
            <w:tcBorders>
              <w:top w:val="single" w:sz="4" w:space="0" w:color="auto"/>
              <w:left w:val="single" w:sz="4" w:space="0" w:color="auto"/>
              <w:right w:val="single" w:sz="4" w:space="0" w:color="000000"/>
            </w:tcBorders>
            <w:shd w:val="clear" w:color="auto" w:fill="0000FF"/>
            <w:noWrap/>
            <w:vAlign w:val="bottom"/>
          </w:tcPr>
          <w:p w:rsidR="000B4882" w:rsidRPr="00604445" w:rsidRDefault="000B4882" w:rsidP="004539A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302"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0B4882" w:rsidRPr="005B5148" w:rsidRDefault="000B4882" w:rsidP="004539A3">
            <w:pPr>
              <w:widowControl/>
              <w:jc w:val="center"/>
              <w:rPr>
                <w:rFonts w:ascii="宋体" w:hAnsi="宋体" w:cs="宋体"/>
                <w:kern w:val="0"/>
                <w:sz w:val="18"/>
                <w:szCs w:val="18"/>
              </w:rPr>
            </w:pPr>
          </w:p>
        </w:tc>
        <w:tc>
          <w:tcPr>
            <w:tcW w:w="1362" w:type="pct"/>
            <w:gridSpan w:val="2"/>
            <w:tcBorders>
              <w:top w:val="single" w:sz="4" w:space="0" w:color="auto"/>
              <w:left w:val="single" w:sz="4" w:space="0" w:color="auto"/>
              <w:right w:val="single" w:sz="4" w:space="0" w:color="000000"/>
            </w:tcBorders>
            <w:shd w:val="clear" w:color="auto" w:fill="0000FF"/>
            <w:noWrap/>
            <w:vAlign w:val="bottom"/>
          </w:tcPr>
          <w:p w:rsidR="000B4882" w:rsidRPr="00604445" w:rsidRDefault="000B4882" w:rsidP="004539A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0B4882" w:rsidRPr="005B5148" w:rsidTr="00485E6F">
        <w:trPr>
          <w:trHeight w:val="285"/>
          <w:jc w:val="center"/>
        </w:trPr>
        <w:tc>
          <w:tcPr>
            <w:tcW w:w="1185" w:type="pct"/>
            <w:tcBorders>
              <w:top w:val="nil"/>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30" w:type="pct"/>
            <w:tcBorders>
              <w:top w:val="nil"/>
              <w:left w:val="single" w:sz="8" w:space="0" w:color="auto"/>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27" w:type="pct"/>
            <w:vMerge/>
            <w:tcBorders>
              <w:top w:val="single" w:sz="4" w:space="0" w:color="auto"/>
              <w:left w:val="single" w:sz="8" w:space="0" w:color="auto"/>
              <w:bottom w:val="single" w:sz="4" w:space="0" w:color="000000"/>
            </w:tcBorders>
            <w:vAlign w:val="center"/>
          </w:tcPr>
          <w:p w:rsidR="000B4882" w:rsidRPr="005B5148" w:rsidRDefault="000B4882" w:rsidP="004539A3">
            <w:pPr>
              <w:widowControl/>
              <w:jc w:val="left"/>
              <w:rPr>
                <w:rFonts w:ascii="宋体" w:hAnsi="宋体" w:cs="宋体"/>
                <w:kern w:val="0"/>
                <w:sz w:val="18"/>
                <w:szCs w:val="18"/>
              </w:rPr>
            </w:pPr>
          </w:p>
        </w:tc>
        <w:tc>
          <w:tcPr>
            <w:tcW w:w="962" w:type="pct"/>
            <w:tcBorders>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32" w:type="pct"/>
            <w:tcBorders>
              <w:left w:val="single" w:sz="8" w:space="0" w:color="auto"/>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02" w:type="pct"/>
            <w:vMerge/>
            <w:tcBorders>
              <w:top w:val="single" w:sz="4" w:space="0" w:color="auto"/>
              <w:left w:val="single" w:sz="8" w:space="0" w:color="auto"/>
              <w:bottom w:val="single" w:sz="4" w:space="0" w:color="000000"/>
            </w:tcBorders>
            <w:vAlign w:val="center"/>
          </w:tcPr>
          <w:p w:rsidR="000B4882" w:rsidRPr="005B5148" w:rsidRDefault="000B4882" w:rsidP="004539A3">
            <w:pPr>
              <w:widowControl/>
              <w:jc w:val="left"/>
              <w:rPr>
                <w:rFonts w:ascii="宋体" w:hAnsi="宋体" w:cs="宋体"/>
                <w:kern w:val="0"/>
                <w:sz w:val="18"/>
                <w:szCs w:val="18"/>
              </w:rPr>
            </w:pPr>
          </w:p>
        </w:tc>
        <w:tc>
          <w:tcPr>
            <w:tcW w:w="933" w:type="pct"/>
            <w:tcBorders>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F84017" w:rsidRPr="005B5148" w:rsidTr="00485E6F">
        <w:trPr>
          <w:trHeight w:val="285"/>
          <w:jc w:val="center"/>
        </w:trPr>
        <w:tc>
          <w:tcPr>
            <w:tcW w:w="1185" w:type="pct"/>
            <w:tcBorders>
              <w:top w:val="single" w:sz="8" w:space="0" w:color="auto"/>
              <w:left w:val="single" w:sz="4" w:space="0" w:color="auto"/>
              <w:bottom w:val="single" w:sz="4" w:space="0" w:color="auto"/>
              <w:right w:val="single" w:sz="4" w:space="0" w:color="auto"/>
            </w:tcBorders>
            <w:shd w:val="clear" w:color="auto" w:fill="auto"/>
            <w:noWrap/>
            <w:vAlign w:val="bottom"/>
          </w:tcPr>
          <w:p w:rsidR="00F84017" w:rsidRPr="005B5148" w:rsidRDefault="00F84017" w:rsidP="004539A3">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430" w:type="pct"/>
            <w:tcBorders>
              <w:top w:val="single" w:sz="8" w:space="0" w:color="auto"/>
              <w:left w:val="nil"/>
              <w:bottom w:val="single" w:sz="4" w:space="0" w:color="auto"/>
              <w:right w:val="single" w:sz="4" w:space="0" w:color="auto"/>
            </w:tcBorders>
            <w:shd w:val="clear" w:color="auto" w:fill="auto"/>
            <w:noWrap/>
            <w:vAlign w:val="bottom"/>
          </w:tcPr>
          <w:p w:rsidR="00F84017" w:rsidRPr="005B5148" w:rsidRDefault="00F84017" w:rsidP="004539A3">
            <w:pPr>
              <w:widowControl/>
              <w:jc w:val="center"/>
              <w:rPr>
                <w:rFonts w:ascii="宋体" w:hAnsi="宋体" w:cs="宋体"/>
                <w:kern w:val="0"/>
                <w:sz w:val="18"/>
                <w:szCs w:val="18"/>
              </w:rPr>
            </w:pPr>
            <w:r>
              <w:rPr>
                <w:rFonts w:ascii="宋体" w:hAnsi="宋体" w:cs="宋体" w:hint="eastAsia"/>
                <w:kern w:val="0"/>
                <w:sz w:val="18"/>
                <w:szCs w:val="18"/>
              </w:rPr>
              <w:t>4</w:t>
            </w:r>
            <w:r w:rsidRPr="005B5148">
              <w:rPr>
                <w:rFonts w:ascii="宋体" w:hAnsi="宋体" w:cs="宋体" w:hint="eastAsia"/>
                <w:kern w:val="0"/>
                <w:sz w:val="18"/>
                <w:szCs w:val="18"/>
              </w:rPr>
              <w:t>0%</w:t>
            </w:r>
          </w:p>
        </w:tc>
        <w:tc>
          <w:tcPr>
            <w:tcW w:w="327" w:type="pct"/>
            <w:vMerge/>
            <w:tcBorders>
              <w:top w:val="single" w:sz="8" w:space="0" w:color="auto"/>
              <w:left w:val="single" w:sz="4" w:space="0" w:color="auto"/>
              <w:bottom w:val="single" w:sz="4" w:space="0" w:color="000000"/>
              <w:right w:val="single" w:sz="4" w:space="0" w:color="auto"/>
            </w:tcBorders>
            <w:vAlign w:val="center"/>
          </w:tcPr>
          <w:p w:rsidR="00F84017" w:rsidRPr="005B5148" w:rsidRDefault="00F84017" w:rsidP="004539A3">
            <w:pPr>
              <w:widowControl/>
              <w:jc w:val="left"/>
              <w:rPr>
                <w:rFonts w:ascii="宋体" w:hAnsi="宋体" w:cs="宋体"/>
                <w:kern w:val="0"/>
                <w:sz w:val="18"/>
                <w:szCs w:val="18"/>
              </w:rPr>
            </w:pPr>
          </w:p>
        </w:tc>
        <w:tc>
          <w:tcPr>
            <w:tcW w:w="962" w:type="pct"/>
            <w:tcBorders>
              <w:top w:val="single" w:sz="8" w:space="0" w:color="auto"/>
              <w:left w:val="nil"/>
              <w:bottom w:val="single" w:sz="4" w:space="0" w:color="auto"/>
              <w:right w:val="single" w:sz="4" w:space="0" w:color="auto"/>
            </w:tcBorders>
            <w:shd w:val="clear" w:color="auto" w:fill="auto"/>
            <w:noWrap/>
            <w:vAlign w:val="bottom"/>
          </w:tcPr>
          <w:p w:rsidR="00F84017" w:rsidRPr="005B5148" w:rsidRDefault="00F84017" w:rsidP="004539A3">
            <w:pPr>
              <w:widowControl/>
              <w:jc w:val="center"/>
              <w:rPr>
                <w:rFonts w:ascii="宋体" w:hAnsi="宋体" w:cs="宋体"/>
                <w:kern w:val="0"/>
                <w:sz w:val="18"/>
                <w:szCs w:val="18"/>
              </w:rPr>
            </w:pPr>
            <w:r>
              <w:rPr>
                <w:rFonts w:ascii="宋体" w:hAnsi="宋体" w:cs="宋体" w:hint="eastAsia"/>
                <w:kern w:val="0"/>
                <w:sz w:val="18"/>
                <w:szCs w:val="18"/>
              </w:rPr>
              <w:t>嘉实精选</w:t>
            </w:r>
          </w:p>
        </w:tc>
        <w:tc>
          <w:tcPr>
            <w:tcW w:w="432" w:type="pct"/>
            <w:tcBorders>
              <w:top w:val="single" w:sz="8" w:space="0" w:color="auto"/>
              <w:left w:val="nil"/>
              <w:bottom w:val="single" w:sz="4" w:space="0" w:color="auto"/>
              <w:right w:val="single" w:sz="4" w:space="0" w:color="auto"/>
            </w:tcBorders>
            <w:shd w:val="clear" w:color="auto" w:fill="auto"/>
            <w:noWrap/>
            <w:vAlign w:val="bottom"/>
          </w:tcPr>
          <w:p w:rsidR="00F84017" w:rsidRPr="005B5148" w:rsidRDefault="00F84017" w:rsidP="004539A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302" w:type="pct"/>
            <w:vMerge/>
            <w:tcBorders>
              <w:top w:val="single" w:sz="8" w:space="0" w:color="auto"/>
              <w:left w:val="single" w:sz="4" w:space="0" w:color="auto"/>
              <w:bottom w:val="single" w:sz="4" w:space="0" w:color="000000"/>
              <w:right w:val="single" w:sz="4" w:space="0" w:color="auto"/>
            </w:tcBorders>
            <w:vAlign w:val="center"/>
          </w:tcPr>
          <w:p w:rsidR="00F84017" w:rsidRPr="005B5148" w:rsidRDefault="00F84017" w:rsidP="004539A3">
            <w:pPr>
              <w:widowControl/>
              <w:jc w:val="left"/>
              <w:rPr>
                <w:rFonts w:ascii="宋体" w:hAnsi="宋体" w:cs="宋体"/>
                <w:kern w:val="0"/>
                <w:sz w:val="18"/>
                <w:szCs w:val="18"/>
              </w:rPr>
            </w:pPr>
          </w:p>
        </w:tc>
        <w:tc>
          <w:tcPr>
            <w:tcW w:w="933" w:type="pct"/>
            <w:tcBorders>
              <w:top w:val="single" w:sz="8" w:space="0" w:color="auto"/>
              <w:left w:val="nil"/>
              <w:bottom w:val="single" w:sz="4" w:space="0" w:color="auto"/>
              <w:right w:val="single" w:sz="4" w:space="0" w:color="auto"/>
            </w:tcBorders>
            <w:shd w:val="clear" w:color="auto" w:fill="auto"/>
            <w:noWrap/>
            <w:vAlign w:val="bottom"/>
          </w:tcPr>
          <w:p w:rsidR="00F84017" w:rsidRPr="005B5148" w:rsidRDefault="0030540B" w:rsidP="00F84017">
            <w:pPr>
              <w:widowControl/>
              <w:jc w:val="center"/>
              <w:rPr>
                <w:rFonts w:ascii="宋体" w:hAnsi="宋体" w:cs="宋体"/>
                <w:kern w:val="0"/>
                <w:sz w:val="18"/>
                <w:szCs w:val="18"/>
              </w:rPr>
            </w:pPr>
            <w:r>
              <w:rPr>
                <w:rFonts w:ascii="宋体" w:hAnsi="宋体" w:cs="宋体" w:hint="eastAsia"/>
                <w:kern w:val="0"/>
                <w:sz w:val="18"/>
                <w:szCs w:val="18"/>
              </w:rPr>
              <w:t>建信货币</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F84017" w:rsidRPr="005B5148" w:rsidRDefault="00F84017" w:rsidP="004539A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7A2D23" w:rsidRPr="005B5148" w:rsidTr="00485E6F">
        <w:trPr>
          <w:trHeight w:val="285"/>
          <w:jc w:val="center"/>
        </w:trPr>
        <w:tc>
          <w:tcPr>
            <w:tcW w:w="1185" w:type="pct"/>
            <w:tcBorders>
              <w:top w:val="nil"/>
              <w:left w:val="single" w:sz="4" w:space="0" w:color="auto"/>
              <w:bottom w:val="single" w:sz="4" w:space="0" w:color="auto"/>
              <w:right w:val="single" w:sz="4" w:space="0" w:color="auto"/>
            </w:tcBorders>
            <w:shd w:val="clear" w:color="auto" w:fill="auto"/>
            <w:noWrap/>
            <w:vAlign w:val="bottom"/>
          </w:tcPr>
          <w:p w:rsidR="007A2D23" w:rsidRPr="00CA345B" w:rsidRDefault="007A2D23" w:rsidP="004F3B1D">
            <w:pPr>
              <w:jc w:val="center"/>
              <w:rPr>
                <w:rFonts w:ascii="宋体" w:hAnsi="宋体" w:cs="宋体"/>
                <w:sz w:val="18"/>
                <w:szCs w:val="18"/>
              </w:rPr>
            </w:pPr>
            <w:r w:rsidRPr="00375D93">
              <w:rPr>
                <w:rFonts w:hint="eastAsia"/>
                <w:sz w:val="18"/>
                <w:szCs w:val="18"/>
              </w:rPr>
              <w:t>添富价值</w:t>
            </w:r>
          </w:p>
        </w:tc>
        <w:tc>
          <w:tcPr>
            <w:tcW w:w="430" w:type="pct"/>
            <w:tcBorders>
              <w:top w:val="nil"/>
              <w:left w:val="nil"/>
              <w:bottom w:val="single" w:sz="4" w:space="0" w:color="auto"/>
              <w:right w:val="single" w:sz="4" w:space="0" w:color="auto"/>
            </w:tcBorders>
            <w:shd w:val="clear" w:color="auto" w:fill="auto"/>
            <w:noWrap/>
            <w:vAlign w:val="bottom"/>
          </w:tcPr>
          <w:p w:rsidR="007A2D23" w:rsidRPr="005B5148" w:rsidRDefault="007A2D23" w:rsidP="004539A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327" w:type="pct"/>
            <w:vMerge/>
            <w:tcBorders>
              <w:top w:val="single" w:sz="4" w:space="0" w:color="auto"/>
              <w:left w:val="single" w:sz="4" w:space="0" w:color="auto"/>
              <w:bottom w:val="single" w:sz="4" w:space="0" w:color="000000"/>
              <w:right w:val="single" w:sz="4" w:space="0" w:color="auto"/>
            </w:tcBorders>
            <w:vAlign w:val="center"/>
          </w:tcPr>
          <w:p w:rsidR="007A2D23" w:rsidRPr="005B5148" w:rsidRDefault="007A2D23" w:rsidP="004539A3">
            <w:pPr>
              <w:widowControl/>
              <w:jc w:val="left"/>
              <w:rPr>
                <w:rFonts w:ascii="宋体" w:hAnsi="宋体" w:cs="宋体"/>
                <w:kern w:val="0"/>
                <w:sz w:val="18"/>
                <w:szCs w:val="18"/>
              </w:rPr>
            </w:pPr>
          </w:p>
        </w:tc>
        <w:tc>
          <w:tcPr>
            <w:tcW w:w="962" w:type="pct"/>
            <w:tcBorders>
              <w:top w:val="nil"/>
              <w:left w:val="nil"/>
              <w:bottom w:val="single" w:sz="4" w:space="0" w:color="auto"/>
              <w:right w:val="single" w:sz="4" w:space="0" w:color="auto"/>
            </w:tcBorders>
            <w:shd w:val="clear" w:color="auto" w:fill="auto"/>
            <w:noWrap/>
            <w:vAlign w:val="bottom"/>
          </w:tcPr>
          <w:p w:rsidR="007A2D23" w:rsidRPr="005B5148" w:rsidRDefault="007A2D23" w:rsidP="00AC088F">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432" w:type="pct"/>
            <w:tcBorders>
              <w:top w:val="nil"/>
              <w:left w:val="nil"/>
              <w:bottom w:val="single" w:sz="4" w:space="0" w:color="auto"/>
              <w:right w:val="single" w:sz="4" w:space="0" w:color="auto"/>
            </w:tcBorders>
            <w:shd w:val="clear" w:color="auto" w:fill="auto"/>
            <w:noWrap/>
            <w:vAlign w:val="bottom"/>
          </w:tcPr>
          <w:p w:rsidR="007A2D23" w:rsidRPr="005B5148" w:rsidRDefault="007A2D23" w:rsidP="004539A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302" w:type="pct"/>
            <w:vMerge/>
            <w:tcBorders>
              <w:top w:val="single" w:sz="4" w:space="0" w:color="auto"/>
              <w:left w:val="single" w:sz="4" w:space="0" w:color="auto"/>
              <w:bottom w:val="single" w:sz="4" w:space="0" w:color="000000"/>
              <w:right w:val="single" w:sz="4" w:space="0" w:color="auto"/>
            </w:tcBorders>
            <w:vAlign w:val="center"/>
          </w:tcPr>
          <w:p w:rsidR="007A2D23" w:rsidRPr="005B5148" w:rsidRDefault="007A2D23" w:rsidP="004539A3">
            <w:pPr>
              <w:widowControl/>
              <w:jc w:val="left"/>
              <w:rPr>
                <w:rFonts w:ascii="宋体" w:hAnsi="宋体" w:cs="宋体"/>
                <w:kern w:val="0"/>
                <w:sz w:val="18"/>
                <w:szCs w:val="18"/>
              </w:rPr>
            </w:pPr>
          </w:p>
        </w:tc>
        <w:tc>
          <w:tcPr>
            <w:tcW w:w="933" w:type="pct"/>
            <w:tcBorders>
              <w:top w:val="nil"/>
              <w:left w:val="nil"/>
              <w:bottom w:val="single" w:sz="4" w:space="0" w:color="auto"/>
              <w:right w:val="single" w:sz="4" w:space="0" w:color="auto"/>
            </w:tcBorders>
            <w:shd w:val="clear" w:color="auto" w:fill="auto"/>
            <w:noWrap/>
            <w:vAlign w:val="bottom"/>
          </w:tcPr>
          <w:p w:rsidR="007A2D23" w:rsidRPr="005B5148" w:rsidRDefault="007A2D23" w:rsidP="004539A3">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7A2D23" w:rsidRPr="005B5148" w:rsidRDefault="007A2D23" w:rsidP="004539A3">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400401" w:rsidRPr="005B5148" w:rsidTr="00485E6F">
        <w:trPr>
          <w:trHeight w:val="285"/>
          <w:jc w:val="center"/>
        </w:trPr>
        <w:tc>
          <w:tcPr>
            <w:tcW w:w="1185" w:type="pct"/>
            <w:tcBorders>
              <w:top w:val="nil"/>
              <w:left w:val="single" w:sz="4" w:space="0" w:color="auto"/>
              <w:bottom w:val="single" w:sz="4" w:space="0" w:color="auto"/>
              <w:right w:val="single" w:sz="4" w:space="0" w:color="auto"/>
            </w:tcBorders>
            <w:shd w:val="clear" w:color="auto" w:fill="auto"/>
            <w:noWrap/>
            <w:vAlign w:val="bottom"/>
          </w:tcPr>
          <w:p w:rsidR="00400401" w:rsidRPr="005B5148" w:rsidRDefault="00882D19" w:rsidP="004539A3">
            <w:pPr>
              <w:widowControl/>
              <w:jc w:val="center"/>
              <w:rPr>
                <w:rFonts w:ascii="宋体" w:hAnsi="宋体" w:cs="宋体"/>
                <w:kern w:val="0"/>
                <w:sz w:val="18"/>
                <w:szCs w:val="18"/>
              </w:rPr>
            </w:pPr>
            <w:r>
              <w:rPr>
                <w:rFonts w:ascii="宋体" w:hAnsi="宋体" w:cs="宋体" w:hint="eastAsia"/>
                <w:kern w:val="0"/>
                <w:sz w:val="18"/>
                <w:szCs w:val="18"/>
              </w:rPr>
              <w:t>富国天惠</w:t>
            </w:r>
          </w:p>
        </w:tc>
        <w:tc>
          <w:tcPr>
            <w:tcW w:w="430" w:type="pct"/>
            <w:tcBorders>
              <w:top w:val="nil"/>
              <w:left w:val="nil"/>
              <w:bottom w:val="single" w:sz="4" w:space="0" w:color="auto"/>
              <w:right w:val="single" w:sz="4" w:space="0" w:color="auto"/>
            </w:tcBorders>
            <w:shd w:val="clear" w:color="auto" w:fill="auto"/>
            <w:noWrap/>
            <w:vAlign w:val="bottom"/>
          </w:tcPr>
          <w:p w:rsidR="00400401" w:rsidRPr="005B5148" w:rsidRDefault="00400401" w:rsidP="004539A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327" w:type="pct"/>
            <w:vMerge/>
            <w:tcBorders>
              <w:top w:val="single" w:sz="4" w:space="0" w:color="auto"/>
              <w:left w:val="single" w:sz="4" w:space="0" w:color="auto"/>
              <w:bottom w:val="single" w:sz="4" w:space="0" w:color="000000"/>
              <w:right w:val="single" w:sz="4" w:space="0" w:color="auto"/>
            </w:tcBorders>
            <w:vAlign w:val="center"/>
          </w:tcPr>
          <w:p w:rsidR="00400401" w:rsidRPr="005B5148" w:rsidRDefault="00400401" w:rsidP="004539A3">
            <w:pPr>
              <w:widowControl/>
              <w:jc w:val="left"/>
              <w:rPr>
                <w:rFonts w:ascii="宋体" w:hAnsi="宋体" w:cs="宋体"/>
                <w:kern w:val="0"/>
                <w:sz w:val="18"/>
                <w:szCs w:val="18"/>
              </w:rPr>
            </w:pPr>
          </w:p>
        </w:tc>
        <w:tc>
          <w:tcPr>
            <w:tcW w:w="962" w:type="pct"/>
            <w:tcBorders>
              <w:top w:val="nil"/>
              <w:left w:val="nil"/>
              <w:bottom w:val="single" w:sz="4" w:space="0" w:color="auto"/>
              <w:right w:val="single" w:sz="4" w:space="0" w:color="auto"/>
            </w:tcBorders>
            <w:shd w:val="clear" w:color="auto" w:fill="auto"/>
            <w:noWrap/>
            <w:vAlign w:val="bottom"/>
          </w:tcPr>
          <w:p w:rsidR="00400401" w:rsidRPr="005B5148" w:rsidRDefault="00F84017" w:rsidP="00F84017">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432" w:type="pct"/>
            <w:tcBorders>
              <w:top w:val="nil"/>
              <w:left w:val="nil"/>
              <w:bottom w:val="single" w:sz="4" w:space="0" w:color="auto"/>
              <w:right w:val="single" w:sz="4" w:space="0" w:color="auto"/>
            </w:tcBorders>
            <w:shd w:val="clear" w:color="auto" w:fill="auto"/>
            <w:noWrap/>
            <w:vAlign w:val="bottom"/>
          </w:tcPr>
          <w:p w:rsidR="00400401" w:rsidRPr="005B5148" w:rsidRDefault="00400401" w:rsidP="004539A3">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302" w:type="pct"/>
            <w:vMerge/>
            <w:tcBorders>
              <w:top w:val="single" w:sz="4" w:space="0" w:color="auto"/>
              <w:left w:val="single" w:sz="4" w:space="0" w:color="auto"/>
              <w:bottom w:val="single" w:sz="4" w:space="0" w:color="000000"/>
              <w:right w:val="single" w:sz="4" w:space="0" w:color="auto"/>
            </w:tcBorders>
            <w:vAlign w:val="center"/>
          </w:tcPr>
          <w:p w:rsidR="00400401" w:rsidRPr="005B5148" w:rsidRDefault="00400401" w:rsidP="004539A3">
            <w:pPr>
              <w:widowControl/>
              <w:jc w:val="left"/>
              <w:rPr>
                <w:rFonts w:ascii="宋体" w:hAnsi="宋体" w:cs="宋体"/>
                <w:kern w:val="0"/>
                <w:sz w:val="18"/>
                <w:szCs w:val="18"/>
              </w:rPr>
            </w:pPr>
          </w:p>
        </w:tc>
        <w:tc>
          <w:tcPr>
            <w:tcW w:w="933" w:type="pct"/>
            <w:tcBorders>
              <w:top w:val="nil"/>
              <w:left w:val="nil"/>
              <w:bottom w:val="single" w:sz="4" w:space="0" w:color="auto"/>
              <w:right w:val="single" w:sz="4" w:space="0" w:color="auto"/>
            </w:tcBorders>
            <w:shd w:val="clear" w:color="auto" w:fill="auto"/>
            <w:noWrap/>
            <w:vAlign w:val="bottom"/>
          </w:tcPr>
          <w:p w:rsidR="00400401" w:rsidRPr="0017543C" w:rsidRDefault="00400401" w:rsidP="004539A3">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429" w:type="pct"/>
            <w:tcBorders>
              <w:top w:val="nil"/>
              <w:left w:val="nil"/>
              <w:bottom w:val="single" w:sz="4" w:space="0" w:color="auto"/>
              <w:right w:val="single" w:sz="4" w:space="0" w:color="auto"/>
            </w:tcBorders>
            <w:shd w:val="clear" w:color="auto" w:fill="auto"/>
            <w:noWrap/>
            <w:vAlign w:val="bottom"/>
          </w:tcPr>
          <w:p w:rsidR="00400401" w:rsidRPr="005B5148" w:rsidRDefault="00400401" w:rsidP="004539A3">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bl>
    <w:p w:rsidR="000B4882" w:rsidRPr="000B4882" w:rsidRDefault="000B4882" w:rsidP="000B4882">
      <w:pPr>
        <w:ind w:firstLine="420"/>
        <w:rPr>
          <w:rFonts w:ascii="楷体_GB2312" w:eastAsia="楷体_GB2312"/>
          <w:noProof/>
          <w:color w:val="000000"/>
        </w:rPr>
        <w:sectPr w:rsidR="000B4882" w:rsidRPr="000B4882" w:rsidSect="00C24609">
          <w:headerReference w:type="default" r:id="rId10"/>
          <w:footerReference w:type="even" r:id="rId11"/>
          <w:footerReference w:type="default" r:id="rId12"/>
          <w:pgSz w:w="11906" w:h="16838"/>
          <w:pgMar w:top="3402" w:right="851" w:bottom="1418" w:left="4536" w:header="851" w:footer="992" w:gutter="0"/>
          <w:cols w:space="425"/>
          <w:docGrid w:type="lines" w:linePitch="312"/>
        </w:sectPr>
      </w:pPr>
    </w:p>
    <w:p w:rsidR="00A3457F" w:rsidRPr="00715274" w:rsidRDefault="00804862" w:rsidP="00715274">
      <w:pPr>
        <w:ind w:firstLineChars="1000" w:firstLine="2811"/>
        <w:rPr>
          <w:rFonts w:ascii="黑体" w:eastAsia="黑体" w:hAnsi="宋体-18030" w:cs="宋体-18030"/>
          <w:b/>
          <w:bCs/>
          <w:color w:val="000000"/>
          <w:kern w:val="44"/>
          <w:sz w:val="28"/>
          <w:szCs w:val="28"/>
        </w:rPr>
      </w:pPr>
      <w:r w:rsidRPr="00715274">
        <w:rPr>
          <w:rFonts w:ascii="黑体" w:eastAsia="黑体" w:hAnsi="宋体-18030" w:cs="宋体-18030" w:hint="eastAsia"/>
          <w:b/>
          <w:bCs/>
          <w:color w:val="000000"/>
          <w:kern w:val="44"/>
          <w:sz w:val="28"/>
          <w:szCs w:val="28"/>
        </w:rPr>
        <w:lastRenderedPageBreak/>
        <w:t>市场回顾</w:t>
      </w:r>
    </w:p>
    <w:p w:rsidR="00742E0D" w:rsidRDefault="000838AB" w:rsidP="00464F86">
      <w:pPr>
        <w:ind w:leftChars="1350" w:left="2835" w:firstLineChars="196" w:firstLine="413"/>
        <w:rPr>
          <w:rFonts w:ascii="黑体" w:eastAsia="黑体" w:hAnsi="宋体-18030" w:cs="宋体-18030"/>
          <w:b/>
          <w:bCs/>
          <w:color w:val="003366"/>
          <w:kern w:val="44"/>
          <w:szCs w:val="21"/>
        </w:rPr>
      </w:pPr>
      <w:r>
        <w:rPr>
          <w:rFonts w:ascii="黑体" w:eastAsia="黑体" w:hAnsi="宋体-18030" w:cs="宋体-18030" w:hint="eastAsia"/>
          <w:b/>
          <w:bCs/>
          <w:color w:val="003366"/>
          <w:kern w:val="44"/>
          <w:szCs w:val="21"/>
        </w:rPr>
        <w:t>12</w:t>
      </w:r>
      <w:r w:rsidR="009243A2">
        <w:rPr>
          <w:rFonts w:ascii="黑体" w:eastAsia="黑体" w:hAnsi="宋体-18030" w:cs="宋体-18030" w:hint="eastAsia"/>
          <w:b/>
          <w:bCs/>
          <w:color w:val="003366"/>
          <w:kern w:val="44"/>
          <w:szCs w:val="21"/>
        </w:rPr>
        <w:t>月</w:t>
      </w:r>
      <w:r w:rsidR="002061DB">
        <w:rPr>
          <w:rFonts w:ascii="黑体" w:eastAsia="黑体" w:hAnsi="宋体-18030" w:cs="宋体-18030" w:hint="eastAsia"/>
          <w:b/>
          <w:bCs/>
          <w:color w:val="003366"/>
          <w:kern w:val="44"/>
          <w:szCs w:val="21"/>
        </w:rPr>
        <w:t>股债两市均弱</w:t>
      </w:r>
    </w:p>
    <w:p w:rsidR="001316D7" w:rsidRDefault="00F8150A" w:rsidP="00E20983">
      <w:pPr>
        <w:ind w:leftChars="1350" w:left="2835" w:firstLineChars="202" w:firstLine="424"/>
        <w:rPr>
          <w:rFonts w:ascii="楷体_GB2312" w:eastAsia="楷体_GB2312"/>
          <w:color w:val="000000"/>
        </w:rPr>
      </w:pPr>
      <w:r>
        <w:rPr>
          <w:rFonts w:ascii="楷体_GB2312" w:eastAsia="楷体_GB2312" w:hint="eastAsia"/>
          <w:color w:val="000000"/>
        </w:rPr>
        <w:t>近期市场持续震荡，在经历11月的短期反弹之后，12月市场再次震荡下行。全月上证指数</w:t>
      </w:r>
      <w:r w:rsidR="00E20983">
        <w:rPr>
          <w:rFonts w:ascii="楷体_GB2312" w:eastAsia="楷体_GB2312" w:hint="eastAsia"/>
          <w:color w:val="000000"/>
        </w:rPr>
        <w:t>下跌</w:t>
      </w:r>
      <w:r w:rsidR="00E20983" w:rsidRPr="00E20983">
        <w:rPr>
          <w:rFonts w:ascii="楷体_GB2312" w:eastAsia="楷体_GB2312"/>
          <w:color w:val="000000"/>
        </w:rPr>
        <w:t>4.71</w:t>
      </w:r>
      <w:r w:rsidR="00E20983">
        <w:rPr>
          <w:rFonts w:ascii="楷体_GB2312" w:eastAsia="楷体_GB2312" w:hint="eastAsia"/>
          <w:color w:val="000000"/>
        </w:rPr>
        <w:t>%，深圳综指下跌</w:t>
      </w:r>
      <w:r w:rsidR="00E20983" w:rsidRPr="00E20983">
        <w:rPr>
          <w:rFonts w:ascii="楷体_GB2312" w:eastAsia="楷体_GB2312"/>
          <w:color w:val="000000"/>
        </w:rPr>
        <w:t>2.93</w:t>
      </w:r>
      <w:r w:rsidR="00E20983">
        <w:rPr>
          <w:rFonts w:ascii="楷体_GB2312" w:eastAsia="楷体_GB2312" w:hint="eastAsia"/>
          <w:color w:val="000000"/>
        </w:rPr>
        <w:t>%</w:t>
      </w:r>
      <w:r w:rsidR="009E377E">
        <w:rPr>
          <w:rFonts w:ascii="楷体_GB2312" w:eastAsia="楷体_GB2312" w:hint="eastAsia"/>
          <w:color w:val="000000"/>
        </w:rPr>
        <w:t>。</w:t>
      </w:r>
      <w:r w:rsidR="00E20983">
        <w:rPr>
          <w:rFonts w:ascii="楷体_GB2312" w:eastAsia="楷体_GB2312" w:hint="eastAsia"/>
          <w:color w:val="000000"/>
        </w:rPr>
        <w:t>创业板和中小板有所分化，其中创业板大跌4.56%，中小板</w:t>
      </w:r>
      <w:r w:rsidR="00394563">
        <w:rPr>
          <w:rFonts w:ascii="楷体_GB2312" w:eastAsia="楷体_GB2312" w:hint="eastAsia"/>
          <w:color w:val="000000"/>
        </w:rPr>
        <w:t>相对抗跌，全月跌幅为</w:t>
      </w:r>
      <w:r w:rsidR="00E20983">
        <w:rPr>
          <w:rFonts w:ascii="楷体_GB2312" w:eastAsia="楷体_GB2312" w:hint="eastAsia"/>
          <w:color w:val="000000"/>
        </w:rPr>
        <w:t>2.77%</w:t>
      </w:r>
      <w:r w:rsidR="001316D7">
        <w:rPr>
          <w:rFonts w:ascii="楷体_GB2312" w:eastAsia="楷体_GB2312" w:hint="eastAsia"/>
          <w:color w:val="000000"/>
        </w:rPr>
        <w:t>。</w:t>
      </w:r>
    </w:p>
    <w:p w:rsidR="00AA19C8" w:rsidRDefault="00AA19C8" w:rsidP="005578EC">
      <w:pPr>
        <w:jc w:val="center"/>
        <w:rPr>
          <w:rFonts w:ascii="楷体_GB2312" w:eastAsia="楷体_GB2312" w:hint="eastAsia"/>
          <w:b/>
          <w:color w:val="000000"/>
        </w:rPr>
      </w:pPr>
    </w:p>
    <w:p w:rsidR="005578EC" w:rsidRPr="00D721BC" w:rsidRDefault="005578EC" w:rsidP="005578EC">
      <w:pPr>
        <w:jc w:val="center"/>
        <w:rPr>
          <w:rFonts w:ascii="楷体_GB2312" w:eastAsia="楷体_GB2312"/>
          <w:color w:val="000000"/>
        </w:rPr>
      </w:pPr>
      <w:r>
        <w:rPr>
          <w:rFonts w:ascii="楷体_GB2312" w:eastAsia="楷体_GB2312" w:hint="eastAsia"/>
          <w:b/>
          <w:color w:val="000000"/>
        </w:rPr>
        <w:t>图</w:t>
      </w:r>
      <w:r w:rsidRPr="00440C4B">
        <w:rPr>
          <w:rFonts w:ascii="楷体_GB2312" w:eastAsia="楷体_GB2312" w:hint="eastAsia"/>
          <w:b/>
          <w:color w:val="000000"/>
        </w:rPr>
        <w:t>1</w:t>
      </w:r>
      <w:r w:rsidR="00E0193F">
        <w:rPr>
          <w:rFonts w:ascii="楷体_GB2312" w:eastAsia="楷体_GB2312" w:hint="eastAsia"/>
          <w:b/>
          <w:color w:val="000000"/>
        </w:rPr>
        <w:t xml:space="preserve"> </w:t>
      </w:r>
      <w:r>
        <w:rPr>
          <w:rFonts w:ascii="楷体_GB2312" w:eastAsia="楷体_GB2312" w:hint="eastAsia"/>
          <w:b/>
          <w:color w:val="000000"/>
        </w:rPr>
        <w:t>最近12月沪深两市表现</w:t>
      </w:r>
    </w:p>
    <w:p w:rsidR="005578EC" w:rsidRPr="009A190D" w:rsidRDefault="00F8150A" w:rsidP="005578EC">
      <w:r w:rsidRPr="00F8150A">
        <w:rPr>
          <w:noProof/>
        </w:rPr>
        <w:drawing>
          <wp:inline distT="0" distB="0" distL="0" distR="0">
            <wp:extent cx="5529580" cy="2225675"/>
            <wp:effectExtent l="19050" t="0" r="0" b="0"/>
            <wp:docPr id="1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srcRect/>
                    <a:stretch>
                      <a:fillRect/>
                    </a:stretch>
                  </pic:blipFill>
                  <pic:spPr bwMode="auto">
                    <a:xfrm>
                      <a:off x="0" y="0"/>
                      <a:ext cx="5529580" cy="2225675"/>
                    </a:xfrm>
                    <a:prstGeom prst="rect">
                      <a:avLst/>
                    </a:prstGeom>
                    <a:noFill/>
                    <a:ln w="9525">
                      <a:noFill/>
                      <a:miter lim="800000"/>
                      <a:headEnd/>
                      <a:tailEnd/>
                    </a:ln>
                  </pic:spPr>
                </pic:pic>
              </a:graphicData>
            </a:graphic>
          </wp:inline>
        </w:drawing>
      </w:r>
    </w:p>
    <w:p w:rsidR="005578EC" w:rsidRPr="00156066" w:rsidRDefault="005578EC" w:rsidP="001914BE">
      <w:pPr>
        <w:rPr>
          <w:rFonts w:ascii="楷体_GB2312" w:eastAsia="楷体_GB2312"/>
          <w:noProof/>
          <w:color w:val="000000"/>
        </w:rPr>
      </w:pPr>
      <w:r w:rsidRPr="00156066">
        <w:rPr>
          <w:rFonts w:ascii="楷体_GB2312" w:eastAsia="楷体_GB2312" w:hint="eastAsia"/>
          <w:noProof/>
          <w:color w:val="000000"/>
        </w:rPr>
        <w:t>数据来源：wind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AA19C8" w:rsidRDefault="00AA19C8" w:rsidP="00394563">
      <w:pPr>
        <w:ind w:leftChars="1350" w:left="2835" w:firstLineChars="202" w:firstLine="424"/>
        <w:rPr>
          <w:rFonts w:ascii="楷体_GB2312" w:eastAsia="楷体_GB2312" w:hint="eastAsia"/>
          <w:color w:val="000000"/>
        </w:rPr>
      </w:pPr>
    </w:p>
    <w:p w:rsidR="00820412" w:rsidRDefault="00394563" w:rsidP="00394563">
      <w:pPr>
        <w:ind w:leftChars="1350" w:left="2835" w:firstLineChars="202" w:firstLine="424"/>
        <w:rPr>
          <w:rFonts w:ascii="楷体_GB2312" w:eastAsia="楷体_GB2312"/>
          <w:color w:val="000000"/>
        </w:rPr>
      </w:pPr>
      <w:r>
        <w:rPr>
          <w:rFonts w:ascii="楷体_GB2312" w:eastAsia="楷体_GB2312" w:hint="eastAsia"/>
          <w:color w:val="000000"/>
        </w:rPr>
        <w:t>12月主板市场呈现整体下跌，小盘板块表现相对将跌，</w:t>
      </w:r>
      <w:r w:rsidRPr="00394563">
        <w:rPr>
          <w:rFonts w:ascii="楷体_GB2312" w:eastAsia="楷体_GB2312" w:hint="eastAsia"/>
          <w:color w:val="000000"/>
        </w:rPr>
        <w:t>小盘指数</w:t>
      </w:r>
      <w:r>
        <w:rPr>
          <w:rFonts w:ascii="楷体_GB2312" w:eastAsia="楷体_GB2312" w:hint="eastAsia"/>
          <w:color w:val="000000"/>
        </w:rPr>
        <w:t>、</w:t>
      </w:r>
      <w:r w:rsidRPr="00394563">
        <w:rPr>
          <w:rFonts w:ascii="楷体_GB2312" w:eastAsia="楷体_GB2312" w:hint="eastAsia"/>
          <w:color w:val="000000"/>
        </w:rPr>
        <w:t>中盘指数</w:t>
      </w:r>
      <w:r>
        <w:rPr>
          <w:rFonts w:ascii="楷体_GB2312" w:eastAsia="楷体_GB2312" w:hint="eastAsia"/>
          <w:color w:val="000000"/>
        </w:rPr>
        <w:t>、</w:t>
      </w:r>
      <w:r w:rsidRPr="00394563">
        <w:rPr>
          <w:rFonts w:ascii="楷体_GB2312" w:eastAsia="楷体_GB2312" w:hint="eastAsia"/>
          <w:color w:val="000000"/>
        </w:rPr>
        <w:t>大盘指数</w:t>
      </w:r>
      <w:r>
        <w:rPr>
          <w:rFonts w:ascii="楷体_GB2312" w:eastAsia="楷体_GB2312" w:hint="eastAsia"/>
          <w:color w:val="000000"/>
        </w:rPr>
        <w:t>分别下跌</w:t>
      </w:r>
      <w:r w:rsidRPr="00394563">
        <w:rPr>
          <w:rFonts w:ascii="楷体_GB2312" w:eastAsia="楷体_GB2312"/>
          <w:color w:val="000000"/>
        </w:rPr>
        <w:t>3.17</w:t>
      </w:r>
      <w:r>
        <w:rPr>
          <w:rFonts w:ascii="楷体_GB2312" w:eastAsia="楷体_GB2312" w:hint="eastAsia"/>
          <w:color w:val="000000"/>
        </w:rPr>
        <w:t>%、</w:t>
      </w:r>
      <w:r w:rsidRPr="00394563">
        <w:rPr>
          <w:rFonts w:ascii="楷体_GB2312" w:eastAsia="楷体_GB2312"/>
          <w:color w:val="000000"/>
        </w:rPr>
        <w:t>3.80</w:t>
      </w:r>
      <w:r>
        <w:rPr>
          <w:rFonts w:ascii="楷体_GB2312" w:eastAsia="楷体_GB2312" w:hint="eastAsia"/>
          <w:color w:val="000000"/>
        </w:rPr>
        <w:t>%、</w:t>
      </w:r>
      <w:r w:rsidRPr="00394563">
        <w:rPr>
          <w:rFonts w:ascii="楷体_GB2312" w:eastAsia="楷体_GB2312"/>
          <w:color w:val="000000"/>
        </w:rPr>
        <w:t>4.50</w:t>
      </w:r>
      <w:r w:rsidR="0030702B">
        <w:rPr>
          <w:rFonts w:ascii="楷体_GB2312" w:eastAsia="楷体_GB2312" w:hint="eastAsia"/>
          <w:color w:val="000000"/>
        </w:rPr>
        <w:t>%</w:t>
      </w:r>
      <w:r w:rsidR="00732119">
        <w:rPr>
          <w:rFonts w:ascii="楷体_GB2312" w:eastAsia="楷体_GB2312" w:hint="eastAsia"/>
          <w:color w:val="000000"/>
        </w:rPr>
        <w:t>。</w:t>
      </w:r>
      <w:r>
        <w:rPr>
          <w:rFonts w:ascii="楷体_GB2312" w:eastAsia="楷体_GB2312" w:hint="eastAsia"/>
          <w:color w:val="000000"/>
        </w:rPr>
        <w:t>估值风格指数有所分化，</w:t>
      </w:r>
      <w:r w:rsidRPr="00394563">
        <w:rPr>
          <w:rFonts w:ascii="楷体_GB2312" w:eastAsia="楷体_GB2312" w:hint="eastAsia"/>
          <w:color w:val="000000"/>
        </w:rPr>
        <w:t>高市盈率指数</w:t>
      </w:r>
      <w:r>
        <w:rPr>
          <w:rFonts w:ascii="楷体_GB2312" w:eastAsia="楷体_GB2312" w:hint="eastAsia"/>
          <w:color w:val="000000"/>
        </w:rPr>
        <w:t>、</w:t>
      </w:r>
      <w:r w:rsidRPr="00394563">
        <w:rPr>
          <w:rFonts w:ascii="楷体_GB2312" w:eastAsia="楷体_GB2312" w:hint="eastAsia"/>
          <w:color w:val="000000"/>
        </w:rPr>
        <w:t>中市盈率指数</w:t>
      </w:r>
      <w:r>
        <w:rPr>
          <w:rFonts w:ascii="楷体_GB2312" w:eastAsia="楷体_GB2312" w:hint="eastAsia"/>
          <w:color w:val="000000"/>
        </w:rPr>
        <w:t>、</w:t>
      </w:r>
      <w:r w:rsidRPr="00394563">
        <w:rPr>
          <w:rFonts w:ascii="楷体_GB2312" w:eastAsia="楷体_GB2312" w:hint="eastAsia"/>
          <w:color w:val="000000"/>
        </w:rPr>
        <w:t>低市盈率指数</w:t>
      </w:r>
      <w:r>
        <w:rPr>
          <w:rFonts w:ascii="楷体_GB2312" w:eastAsia="楷体_GB2312" w:hint="eastAsia"/>
          <w:color w:val="000000"/>
        </w:rPr>
        <w:t>分别下跌</w:t>
      </w:r>
      <w:r w:rsidRPr="00394563">
        <w:rPr>
          <w:rFonts w:ascii="楷体_GB2312" w:eastAsia="楷体_GB2312"/>
          <w:color w:val="000000"/>
        </w:rPr>
        <w:t>5.00</w:t>
      </w:r>
      <w:r>
        <w:rPr>
          <w:rFonts w:ascii="楷体_GB2312" w:eastAsia="楷体_GB2312" w:hint="eastAsia"/>
          <w:color w:val="000000"/>
        </w:rPr>
        <w:t>%、</w:t>
      </w:r>
      <w:r w:rsidRPr="00394563">
        <w:rPr>
          <w:rFonts w:ascii="楷体_GB2312" w:eastAsia="楷体_GB2312"/>
          <w:color w:val="000000"/>
        </w:rPr>
        <w:t>2.23</w:t>
      </w:r>
      <w:r>
        <w:rPr>
          <w:rFonts w:ascii="楷体_GB2312" w:eastAsia="楷体_GB2312" w:hint="eastAsia"/>
          <w:color w:val="000000"/>
        </w:rPr>
        <w:t>%、</w:t>
      </w:r>
      <w:r w:rsidRPr="00394563">
        <w:rPr>
          <w:rFonts w:ascii="楷体_GB2312" w:eastAsia="楷体_GB2312"/>
          <w:color w:val="000000"/>
        </w:rPr>
        <w:t>4.07</w:t>
      </w:r>
      <w:r>
        <w:rPr>
          <w:rFonts w:ascii="楷体_GB2312" w:eastAsia="楷体_GB2312" w:hint="eastAsia"/>
          <w:color w:val="000000"/>
        </w:rPr>
        <w:t>%</w:t>
      </w:r>
      <w:r w:rsidR="00E95C73">
        <w:rPr>
          <w:rFonts w:ascii="楷体_GB2312" w:eastAsia="楷体_GB2312" w:hint="eastAsia"/>
          <w:color w:val="000000"/>
        </w:rPr>
        <w:t>。</w:t>
      </w:r>
      <w:r w:rsidR="00E95C73">
        <w:rPr>
          <w:rFonts w:ascii="楷体_GB2312" w:eastAsia="楷体_GB2312"/>
          <w:color w:val="000000"/>
        </w:rPr>
        <w:t xml:space="preserve"> </w:t>
      </w:r>
    </w:p>
    <w:p w:rsidR="00AA19C8" w:rsidRDefault="00AA19C8" w:rsidP="0066380D">
      <w:pPr>
        <w:jc w:val="center"/>
        <w:rPr>
          <w:rFonts w:ascii="楷体_GB2312" w:eastAsia="楷体_GB2312" w:hint="eastAsia"/>
          <w:b/>
          <w:color w:val="000000"/>
        </w:rPr>
      </w:pPr>
    </w:p>
    <w:p w:rsidR="0066380D" w:rsidRPr="00D721BC" w:rsidRDefault="005B5148" w:rsidP="0066380D">
      <w:pPr>
        <w:jc w:val="center"/>
        <w:rPr>
          <w:rFonts w:ascii="楷体_GB2312" w:eastAsia="楷体_GB2312"/>
          <w:color w:val="000000"/>
        </w:rPr>
      </w:pPr>
      <w:r>
        <w:rPr>
          <w:rFonts w:ascii="楷体_GB2312" w:eastAsia="楷体_GB2312" w:hint="eastAsia"/>
          <w:b/>
          <w:color w:val="000000"/>
        </w:rPr>
        <w:t>图</w:t>
      </w:r>
      <w:r w:rsidR="005578EC">
        <w:rPr>
          <w:rFonts w:ascii="楷体_GB2312" w:eastAsia="楷体_GB2312" w:hint="eastAsia"/>
          <w:b/>
          <w:color w:val="000000"/>
        </w:rPr>
        <w:t>2</w:t>
      </w:r>
      <w:r w:rsidR="00E0193F">
        <w:rPr>
          <w:rFonts w:ascii="楷体_GB2312" w:eastAsia="楷体_GB2312" w:hint="eastAsia"/>
          <w:b/>
          <w:color w:val="000000"/>
        </w:rPr>
        <w:t xml:space="preserve"> </w:t>
      </w:r>
      <w:r w:rsidR="0066380D" w:rsidRPr="00440C4B">
        <w:rPr>
          <w:rFonts w:ascii="楷体_GB2312" w:eastAsia="楷体_GB2312" w:hint="eastAsia"/>
          <w:b/>
          <w:color w:val="000000"/>
        </w:rPr>
        <w:t>20</w:t>
      </w:r>
      <w:r w:rsidR="00D70A45">
        <w:rPr>
          <w:rFonts w:ascii="楷体_GB2312" w:eastAsia="楷体_GB2312" w:hint="eastAsia"/>
          <w:b/>
          <w:color w:val="000000"/>
        </w:rPr>
        <w:t>1</w:t>
      </w:r>
      <w:r w:rsidR="005C55A4">
        <w:rPr>
          <w:rFonts w:ascii="楷体_GB2312" w:eastAsia="楷体_GB2312" w:hint="eastAsia"/>
          <w:b/>
          <w:color w:val="000000"/>
        </w:rPr>
        <w:t>3</w:t>
      </w:r>
      <w:r w:rsidR="0066380D" w:rsidRPr="00440C4B">
        <w:rPr>
          <w:rFonts w:ascii="楷体_GB2312" w:eastAsia="楷体_GB2312" w:hint="eastAsia"/>
          <w:b/>
          <w:color w:val="000000"/>
        </w:rPr>
        <w:t>年</w:t>
      </w:r>
      <w:r w:rsidR="00765BEC">
        <w:rPr>
          <w:rFonts w:ascii="楷体_GB2312" w:eastAsia="楷体_GB2312" w:hint="eastAsia"/>
          <w:b/>
          <w:color w:val="000000"/>
        </w:rPr>
        <w:t>1</w:t>
      </w:r>
      <w:r w:rsidR="00394563">
        <w:rPr>
          <w:rFonts w:ascii="楷体_GB2312" w:eastAsia="楷体_GB2312" w:hint="eastAsia"/>
          <w:b/>
          <w:color w:val="000000"/>
        </w:rPr>
        <w:t>2</w:t>
      </w:r>
      <w:r w:rsidR="0066380D">
        <w:rPr>
          <w:rFonts w:ascii="楷体_GB2312" w:eastAsia="楷体_GB2312" w:hint="eastAsia"/>
          <w:b/>
          <w:color w:val="000000"/>
        </w:rPr>
        <w:t>申万风格指数</w:t>
      </w:r>
      <w:r w:rsidR="0066380D" w:rsidRPr="00440C4B">
        <w:rPr>
          <w:rFonts w:ascii="楷体_GB2312" w:eastAsia="楷体_GB2312" w:hint="eastAsia"/>
          <w:b/>
          <w:color w:val="000000"/>
        </w:rPr>
        <w:t>表现</w:t>
      </w:r>
    </w:p>
    <w:p w:rsidR="00667DAD" w:rsidRPr="009A190D" w:rsidRDefault="002F02D3" w:rsidP="00ED74EA">
      <w:r w:rsidRPr="002F02D3">
        <w:rPr>
          <w:noProof/>
        </w:rPr>
        <w:drawing>
          <wp:inline distT="0" distB="0" distL="0" distR="0">
            <wp:extent cx="5759450" cy="1891996"/>
            <wp:effectExtent l="19050" t="0" r="0" b="0"/>
            <wp:docPr id="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5759450" cy="1891996"/>
                    </a:xfrm>
                    <a:prstGeom prst="rect">
                      <a:avLst/>
                    </a:prstGeom>
                    <a:noFill/>
                    <a:ln w="9525">
                      <a:noFill/>
                      <a:miter lim="800000"/>
                      <a:headEnd/>
                      <a:tailEnd/>
                    </a:ln>
                  </pic:spPr>
                </pic:pic>
              </a:graphicData>
            </a:graphic>
          </wp:inline>
        </w:drawing>
      </w:r>
    </w:p>
    <w:p w:rsidR="0066380D" w:rsidRPr="00156066" w:rsidRDefault="0066380D" w:rsidP="001914BE">
      <w:pPr>
        <w:rPr>
          <w:rFonts w:ascii="楷体_GB2312" w:eastAsia="楷体_GB2312"/>
          <w:noProof/>
          <w:color w:val="000000"/>
        </w:rPr>
      </w:pPr>
      <w:r w:rsidRPr="00156066">
        <w:rPr>
          <w:rFonts w:ascii="楷体_GB2312" w:eastAsia="楷体_GB2312" w:hint="eastAsia"/>
          <w:noProof/>
          <w:color w:val="000000"/>
        </w:rPr>
        <w:t>数据来源：wind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AA19C8" w:rsidRDefault="00AA19C8" w:rsidP="00CD1C91">
      <w:pPr>
        <w:ind w:leftChars="1350" w:left="2835" w:firstLineChars="202" w:firstLine="424"/>
        <w:rPr>
          <w:rFonts w:ascii="楷体_GB2312" w:eastAsia="楷体_GB2312" w:hint="eastAsia"/>
          <w:color w:val="000000"/>
        </w:rPr>
      </w:pPr>
    </w:p>
    <w:p w:rsidR="00024B12" w:rsidRDefault="00732119" w:rsidP="00CD1C91">
      <w:pPr>
        <w:ind w:leftChars="1350" w:left="2835" w:firstLineChars="202" w:firstLine="424"/>
        <w:rPr>
          <w:rFonts w:ascii="楷体_GB2312" w:eastAsia="楷体_GB2312" w:hint="eastAsia"/>
          <w:color w:val="000000"/>
        </w:rPr>
      </w:pPr>
      <w:r>
        <w:rPr>
          <w:rFonts w:ascii="楷体_GB2312" w:eastAsia="楷体_GB2312" w:hint="eastAsia"/>
          <w:color w:val="000000"/>
        </w:rPr>
        <w:t>1</w:t>
      </w:r>
      <w:r w:rsidR="00E95C73">
        <w:rPr>
          <w:rFonts w:ascii="楷体_GB2312" w:eastAsia="楷体_GB2312" w:hint="eastAsia"/>
          <w:color w:val="000000"/>
        </w:rPr>
        <w:t>2</w:t>
      </w:r>
      <w:r w:rsidR="00634558">
        <w:rPr>
          <w:rFonts w:ascii="楷体_GB2312" w:eastAsia="楷体_GB2312" w:hint="eastAsia"/>
          <w:color w:val="000000"/>
        </w:rPr>
        <w:t>月</w:t>
      </w:r>
      <w:r w:rsidR="00592FD9">
        <w:rPr>
          <w:rFonts w:ascii="楷体_GB2312" w:eastAsia="楷体_GB2312" w:hint="eastAsia"/>
          <w:color w:val="000000"/>
        </w:rPr>
        <w:t>仅木材家具、</w:t>
      </w:r>
      <w:r w:rsidR="00592FD9" w:rsidRPr="00592FD9">
        <w:rPr>
          <w:rFonts w:ascii="楷体_GB2312" w:eastAsia="楷体_GB2312" w:hint="eastAsia"/>
          <w:color w:val="000000"/>
        </w:rPr>
        <w:t>医药生物</w:t>
      </w:r>
      <w:r w:rsidR="00592FD9">
        <w:rPr>
          <w:rFonts w:ascii="楷体_GB2312" w:eastAsia="楷体_GB2312" w:hint="eastAsia"/>
          <w:color w:val="000000"/>
        </w:rPr>
        <w:t>、</w:t>
      </w:r>
      <w:r w:rsidR="00592FD9" w:rsidRPr="00592FD9">
        <w:rPr>
          <w:rFonts w:ascii="楷体_GB2312" w:eastAsia="楷体_GB2312" w:hint="eastAsia"/>
          <w:color w:val="000000"/>
        </w:rPr>
        <w:t>纺织服装</w:t>
      </w:r>
      <w:r w:rsidR="00592FD9">
        <w:rPr>
          <w:rFonts w:ascii="楷体_GB2312" w:eastAsia="楷体_GB2312" w:hint="eastAsia"/>
          <w:color w:val="000000"/>
        </w:rPr>
        <w:t>三个行业指数收正，其中</w:t>
      </w:r>
      <w:r w:rsidR="00592FD9" w:rsidRPr="00592FD9">
        <w:rPr>
          <w:rFonts w:ascii="楷体_GB2312" w:eastAsia="楷体_GB2312" w:hint="eastAsia"/>
          <w:color w:val="000000"/>
        </w:rPr>
        <w:t>木材家具</w:t>
      </w:r>
      <w:r w:rsidR="00592FD9">
        <w:rPr>
          <w:rFonts w:ascii="楷体_GB2312" w:eastAsia="楷体_GB2312" w:hint="eastAsia"/>
          <w:color w:val="000000"/>
        </w:rPr>
        <w:t>全月大涨7.16%，</w:t>
      </w:r>
      <w:r w:rsidR="00F0271F">
        <w:rPr>
          <w:rFonts w:ascii="楷体_GB2312" w:eastAsia="楷体_GB2312" w:hint="eastAsia"/>
          <w:color w:val="000000"/>
        </w:rPr>
        <w:t>，</w:t>
      </w:r>
      <w:r w:rsidR="00423E3D" w:rsidRPr="00592FD9">
        <w:rPr>
          <w:rFonts w:ascii="楷体_GB2312" w:eastAsia="楷体_GB2312" w:hint="eastAsia"/>
          <w:color w:val="000000"/>
        </w:rPr>
        <w:t>医药生物</w:t>
      </w:r>
      <w:r w:rsidR="00423E3D">
        <w:rPr>
          <w:rFonts w:ascii="楷体_GB2312" w:eastAsia="楷体_GB2312" w:hint="eastAsia"/>
          <w:color w:val="000000"/>
        </w:rPr>
        <w:t>、</w:t>
      </w:r>
      <w:r w:rsidR="00423E3D" w:rsidRPr="00592FD9">
        <w:rPr>
          <w:rFonts w:ascii="楷体_GB2312" w:eastAsia="楷体_GB2312" w:hint="eastAsia"/>
          <w:color w:val="000000"/>
        </w:rPr>
        <w:t>纺织服装</w:t>
      </w:r>
      <w:r w:rsidR="006A024A">
        <w:rPr>
          <w:rFonts w:ascii="楷体_GB2312" w:eastAsia="楷体_GB2312" w:hint="eastAsia"/>
          <w:color w:val="000000"/>
        </w:rPr>
        <w:t>分别</w:t>
      </w:r>
      <w:r w:rsidR="00423E3D">
        <w:rPr>
          <w:rFonts w:ascii="楷体_GB2312" w:eastAsia="楷体_GB2312" w:hint="eastAsia"/>
          <w:color w:val="000000"/>
        </w:rPr>
        <w:t>小幅上涨</w:t>
      </w:r>
      <w:r w:rsidR="00423E3D" w:rsidRPr="00423E3D">
        <w:rPr>
          <w:rFonts w:ascii="楷体_GB2312" w:eastAsia="楷体_GB2312"/>
          <w:color w:val="000000"/>
        </w:rPr>
        <w:t>0.81</w:t>
      </w:r>
      <w:r w:rsidR="00423E3D">
        <w:rPr>
          <w:rFonts w:ascii="楷体_GB2312" w:eastAsia="楷体_GB2312" w:hint="eastAsia"/>
          <w:color w:val="000000"/>
        </w:rPr>
        <w:t>%、</w:t>
      </w:r>
      <w:r w:rsidR="00423E3D" w:rsidRPr="00423E3D">
        <w:rPr>
          <w:rFonts w:ascii="楷体_GB2312" w:eastAsia="楷体_GB2312"/>
          <w:color w:val="000000"/>
        </w:rPr>
        <w:t>0.21</w:t>
      </w:r>
      <w:r w:rsidR="00423E3D">
        <w:rPr>
          <w:rFonts w:ascii="楷体_GB2312" w:eastAsia="楷体_GB2312" w:hint="eastAsia"/>
          <w:color w:val="000000"/>
        </w:rPr>
        <w:t>%。</w:t>
      </w:r>
      <w:r w:rsidR="0030702B">
        <w:rPr>
          <w:rFonts w:ascii="楷体_GB2312" w:eastAsia="楷体_GB2312" w:hint="eastAsia"/>
          <w:color w:val="000000"/>
        </w:rPr>
        <w:t>2013年的</w:t>
      </w:r>
      <w:r w:rsidR="006A0D08">
        <w:rPr>
          <w:rFonts w:ascii="楷体_GB2312" w:eastAsia="楷体_GB2312" w:hint="eastAsia"/>
          <w:color w:val="000000"/>
        </w:rPr>
        <w:t>表现强劲的</w:t>
      </w:r>
      <w:r w:rsidR="0030702B">
        <w:rPr>
          <w:rFonts w:ascii="楷体_GB2312" w:eastAsia="楷体_GB2312" w:hint="eastAsia"/>
          <w:color w:val="000000"/>
        </w:rPr>
        <w:t>热点板块</w:t>
      </w:r>
      <w:r w:rsidR="006A0D08">
        <w:rPr>
          <w:rFonts w:ascii="楷体_GB2312" w:eastAsia="楷体_GB2312" w:hint="eastAsia"/>
          <w:color w:val="000000"/>
        </w:rPr>
        <w:t>文化传播、信息技术</w:t>
      </w:r>
      <w:r w:rsidR="006A0D08">
        <w:rPr>
          <w:rFonts w:ascii="楷体_GB2312" w:eastAsia="楷体_GB2312" w:hint="eastAsia"/>
          <w:color w:val="000000"/>
        </w:rPr>
        <w:lastRenderedPageBreak/>
        <w:t>等</w:t>
      </w:r>
      <w:r w:rsidR="0030702B">
        <w:rPr>
          <w:rFonts w:ascii="楷体_GB2312" w:eastAsia="楷体_GB2312" w:hint="eastAsia"/>
          <w:color w:val="000000"/>
        </w:rPr>
        <w:t>板</w:t>
      </w:r>
      <w:r w:rsidR="006A0D08">
        <w:rPr>
          <w:rFonts w:ascii="楷体_GB2312" w:eastAsia="楷体_GB2312" w:hint="eastAsia"/>
          <w:color w:val="000000"/>
        </w:rPr>
        <w:t>块</w:t>
      </w:r>
      <w:r w:rsidR="0030702B">
        <w:rPr>
          <w:rFonts w:ascii="楷体_GB2312" w:eastAsia="楷体_GB2312" w:hint="eastAsia"/>
          <w:color w:val="000000"/>
        </w:rPr>
        <w:t>在12月迎来调整，和强周期板块一道成为12月市场双熊，</w:t>
      </w:r>
      <w:r w:rsidR="00CD1C91">
        <w:rPr>
          <w:rFonts w:ascii="楷体_GB2312" w:eastAsia="楷体_GB2312" w:hint="eastAsia"/>
          <w:color w:val="000000"/>
        </w:rPr>
        <w:t>大幅拖累</w:t>
      </w:r>
      <w:r w:rsidR="0030702B">
        <w:rPr>
          <w:rFonts w:ascii="楷体_GB2312" w:eastAsia="楷体_GB2312" w:hint="eastAsia"/>
          <w:color w:val="000000"/>
        </w:rPr>
        <w:t>股指</w:t>
      </w:r>
      <w:r w:rsidR="00CD1C91">
        <w:rPr>
          <w:rFonts w:ascii="楷体_GB2312" w:eastAsia="楷体_GB2312" w:hint="eastAsia"/>
          <w:color w:val="000000"/>
        </w:rPr>
        <w:t>表现。</w:t>
      </w:r>
      <w:r w:rsidR="00A064EF">
        <w:rPr>
          <w:rFonts w:ascii="楷体_GB2312" w:eastAsia="楷体_GB2312" w:hint="eastAsia"/>
          <w:color w:val="000000"/>
        </w:rPr>
        <w:t>跌幅最大的</w:t>
      </w:r>
      <w:r w:rsidR="00A064EF" w:rsidRPr="00A064EF">
        <w:rPr>
          <w:rFonts w:ascii="楷体_GB2312" w:eastAsia="楷体_GB2312" w:hint="eastAsia"/>
          <w:color w:val="000000"/>
        </w:rPr>
        <w:t>文化传播</w:t>
      </w:r>
      <w:r w:rsidR="00A064EF">
        <w:rPr>
          <w:rFonts w:ascii="楷体_GB2312" w:eastAsia="楷体_GB2312" w:hint="eastAsia"/>
          <w:color w:val="000000"/>
        </w:rPr>
        <w:t>和</w:t>
      </w:r>
      <w:r w:rsidR="00A064EF" w:rsidRPr="00A064EF">
        <w:rPr>
          <w:rFonts w:ascii="楷体_GB2312" w:eastAsia="楷体_GB2312" w:hint="eastAsia"/>
          <w:color w:val="000000"/>
        </w:rPr>
        <w:t>采掘行业</w:t>
      </w:r>
      <w:r w:rsidR="006A0D08">
        <w:rPr>
          <w:rFonts w:ascii="楷体_GB2312" w:eastAsia="楷体_GB2312" w:hint="eastAsia"/>
          <w:color w:val="000000"/>
        </w:rPr>
        <w:t>全月分别下跌</w:t>
      </w:r>
      <w:r w:rsidR="006A0D08" w:rsidRPr="006A0D08">
        <w:rPr>
          <w:rFonts w:ascii="楷体_GB2312" w:eastAsia="楷体_GB2312"/>
          <w:color w:val="000000"/>
        </w:rPr>
        <w:t>8.41</w:t>
      </w:r>
      <w:r w:rsidR="006A0D08">
        <w:rPr>
          <w:rFonts w:ascii="楷体_GB2312" w:eastAsia="楷体_GB2312" w:hint="eastAsia"/>
          <w:color w:val="000000"/>
        </w:rPr>
        <w:t>%、</w:t>
      </w:r>
      <w:r w:rsidR="006A0D08" w:rsidRPr="006A0D08">
        <w:rPr>
          <w:rFonts w:ascii="楷体_GB2312" w:eastAsia="楷体_GB2312"/>
          <w:color w:val="000000"/>
        </w:rPr>
        <w:t>7.94</w:t>
      </w:r>
      <w:r w:rsidR="006A0D08">
        <w:rPr>
          <w:rFonts w:ascii="楷体_GB2312" w:eastAsia="楷体_GB2312" w:hint="eastAsia"/>
          <w:color w:val="000000"/>
        </w:rPr>
        <w:t>%</w:t>
      </w:r>
      <w:r w:rsidR="00110B48">
        <w:rPr>
          <w:rFonts w:ascii="楷体_GB2312" w:eastAsia="楷体_GB2312" w:hint="eastAsia"/>
          <w:color w:val="000000"/>
        </w:rPr>
        <w:t>。</w:t>
      </w:r>
    </w:p>
    <w:p w:rsidR="00AA19C8" w:rsidRDefault="00AA19C8" w:rsidP="00CD1C91">
      <w:pPr>
        <w:ind w:leftChars="1350" w:left="2835" w:firstLineChars="202" w:firstLine="424"/>
        <w:rPr>
          <w:rFonts w:ascii="楷体_GB2312" w:eastAsia="楷体_GB2312"/>
          <w:color w:val="000000"/>
        </w:rPr>
      </w:pPr>
    </w:p>
    <w:p w:rsidR="0066380D" w:rsidRPr="00D721BC" w:rsidRDefault="005B5148" w:rsidP="0066380D">
      <w:pPr>
        <w:jc w:val="center"/>
        <w:rPr>
          <w:rFonts w:ascii="楷体_GB2312" w:eastAsia="楷体_GB2312"/>
          <w:color w:val="000000"/>
        </w:rPr>
      </w:pPr>
      <w:r>
        <w:rPr>
          <w:rFonts w:ascii="楷体_GB2312" w:eastAsia="楷体_GB2312" w:hint="eastAsia"/>
          <w:b/>
          <w:color w:val="000000"/>
        </w:rPr>
        <w:t>图</w:t>
      </w:r>
      <w:r w:rsidR="005578EC">
        <w:rPr>
          <w:rFonts w:ascii="楷体_GB2312" w:eastAsia="楷体_GB2312" w:hint="eastAsia"/>
          <w:b/>
          <w:color w:val="000000"/>
        </w:rPr>
        <w:t>3</w:t>
      </w:r>
      <w:r w:rsidR="00510490">
        <w:rPr>
          <w:rFonts w:ascii="楷体_GB2312" w:eastAsia="楷体_GB2312" w:hint="eastAsia"/>
          <w:b/>
          <w:color w:val="000000"/>
        </w:rPr>
        <w:t xml:space="preserve">  </w:t>
      </w:r>
      <w:r w:rsidR="0066380D" w:rsidRPr="00440C4B">
        <w:rPr>
          <w:rFonts w:ascii="楷体_GB2312" w:eastAsia="楷体_GB2312" w:hint="eastAsia"/>
          <w:b/>
          <w:color w:val="000000"/>
        </w:rPr>
        <w:t>201</w:t>
      </w:r>
      <w:r w:rsidR="00410D48">
        <w:rPr>
          <w:rFonts w:ascii="楷体_GB2312" w:eastAsia="楷体_GB2312" w:hint="eastAsia"/>
          <w:b/>
          <w:color w:val="000000"/>
        </w:rPr>
        <w:t>3</w:t>
      </w:r>
      <w:r w:rsidR="0066380D" w:rsidRPr="00440C4B">
        <w:rPr>
          <w:rFonts w:ascii="楷体_GB2312" w:eastAsia="楷体_GB2312" w:hint="eastAsia"/>
          <w:b/>
          <w:color w:val="000000"/>
        </w:rPr>
        <w:t>年</w:t>
      </w:r>
      <w:r w:rsidR="00765BEC">
        <w:rPr>
          <w:rFonts w:ascii="楷体_GB2312" w:eastAsia="楷体_GB2312" w:hint="eastAsia"/>
          <w:b/>
          <w:color w:val="000000"/>
        </w:rPr>
        <w:t>1</w:t>
      </w:r>
      <w:r w:rsidR="006A0D08">
        <w:rPr>
          <w:rFonts w:ascii="楷体_GB2312" w:eastAsia="楷体_GB2312" w:hint="eastAsia"/>
          <w:b/>
          <w:color w:val="000000"/>
        </w:rPr>
        <w:t>2</w:t>
      </w:r>
      <w:r w:rsidR="00EE4AB6">
        <w:rPr>
          <w:rFonts w:ascii="楷体_GB2312" w:eastAsia="楷体_GB2312" w:hint="eastAsia"/>
          <w:b/>
          <w:color w:val="000000"/>
        </w:rPr>
        <w:t>申万</w:t>
      </w:r>
      <w:r w:rsidR="001B448B">
        <w:rPr>
          <w:rFonts w:ascii="楷体_GB2312" w:eastAsia="楷体_GB2312" w:hint="eastAsia"/>
          <w:b/>
          <w:color w:val="000000"/>
        </w:rPr>
        <w:t>证监会行业</w:t>
      </w:r>
      <w:r w:rsidR="0066380D">
        <w:rPr>
          <w:rFonts w:ascii="楷体_GB2312" w:eastAsia="楷体_GB2312" w:hint="eastAsia"/>
          <w:b/>
          <w:color w:val="000000"/>
        </w:rPr>
        <w:t>指数</w:t>
      </w:r>
      <w:r w:rsidR="0066380D" w:rsidRPr="00440C4B">
        <w:rPr>
          <w:rFonts w:ascii="楷体_GB2312" w:eastAsia="楷体_GB2312" w:hint="eastAsia"/>
          <w:b/>
          <w:color w:val="000000"/>
        </w:rPr>
        <w:t>表现</w:t>
      </w:r>
      <w:r w:rsidR="00607663">
        <w:rPr>
          <w:rFonts w:ascii="楷体_GB2312" w:eastAsia="楷体_GB2312" w:hint="eastAsia"/>
          <w:b/>
          <w:color w:val="000000"/>
        </w:rPr>
        <w:t>（%）</w:t>
      </w:r>
    </w:p>
    <w:p w:rsidR="0093578A" w:rsidRDefault="007A2EB7" w:rsidP="001914BE">
      <w:pPr>
        <w:rPr>
          <w:rFonts w:ascii="楷体_GB2312" w:eastAsia="楷体_GB2312"/>
          <w:noProof/>
          <w:color w:val="000000"/>
        </w:rPr>
      </w:pPr>
      <w:r w:rsidRPr="007A2EB7">
        <w:rPr>
          <w:rFonts w:hint="eastAsia"/>
          <w:noProof/>
        </w:rPr>
        <w:drawing>
          <wp:inline distT="0" distB="0" distL="0" distR="0">
            <wp:extent cx="5759450" cy="1887521"/>
            <wp:effectExtent l="1905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srcRect/>
                    <a:stretch>
                      <a:fillRect/>
                    </a:stretch>
                  </pic:blipFill>
                  <pic:spPr bwMode="auto">
                    <a:xfrm>
                      <a:off x="0" y="0"/>
                      <a:ext cx="5759450" cy="1887521"/>
                    </a:xfrm>
                    <a:prstGeom prst="rect">
                      <a:avLst/>
                    </a:prstGeom>
                    <a:noFill/>
                    <a:ln w="9525">
                      <a:noFill/>
                      <a:miter lim="800000"/>
                      <a:headEnd/>
                      <a:tailEnd/>
                    </a:ln>
                  </pic:spPr>
                </pic:pic>
              </a:graphicData>
            </a:graphic>
          </wp:inline>
        </w:drawing>
      </w:r>
    </w:p>
    <w:p w:rsidR="0066380D" w:rsidRPr="00156066" w:rsidRDefault="0066380D" w:rsidP="001914BE">
      <w:pPr>
        <w:rPr>
          <w:rFonts w:ascii="楷体_GB2312" w:eastAsia="楷体_GB2312"/>
          <w:noProof/>
          <w:color w:val="000000"/>
        </w:rPr>
      </w:pPr>
      <w:r w:rsidRPr="00156066">
        <w:rPr>
          <w:rFonts w:ascii="楷体_GB2312" w:eastAsia="楷体_GB2312" w:hint="eastAsia"/>
          <w:noProof/>
          <w:color w:val="000000"/>
        </w:rPr>
        <w:t>数据来源：wind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7A4BCD" w:rsidRDefault="007A4BCD" w:rsidP="005B78A9">
      <w:pPr>
        <w:ind w:leftChars="1350" w:left="2835" w:firstLineChars="202" w:firstLine="424"/>
        <w:rPr>
          <w:rFonts w:ascii="楷体_GB2312" w:eastAsia="楷体_GB2312"/>
          <w:color w:val="000000"/>
        </w:rPr>
      </w:pPr>
    </w:p>
    <w:p w:rsidR="00A920DC" w:rsidRDefault="00E84D97" w:rsidP="00A920DC">
      <w:pPr>
        <w:ind w:leftChars="1350" w:left="2835" w:firstLineChars="202" w:firstLine="424"/>
        <w:rPr>
          <w:rFonts w:ascii="楷体_GB2312" w:eastAsia="楷体_GB2312"/>
          <w:color w:val="000000"/>
        </w:rPr>
      </w:pPr>
      <w:r>
        <w:rPr>
          <w:rFonts w:ascii="楷体_GB2312" w:eastAsia="楷体_GB2312" w:hint="eastAsia"/>
          <w:color w:val="000000"/>
        </w:rPr>
        <w:t>1</w:t>
      </w:r>
      <w:r w:rsidR="007A2EB7">
        <w:rPr>
          <w:rFonts w:ascii="楷体_GB2312" w:eastAsia="楷体_GB2312" w:hint="eastAsia"/>
          <w:color w:val="000000"/>
        </w:rPr>
        <w:t>2</w:t>
      </w:r>
      <w:r w:rsidR="00B35B0B">
        <w:rPr>
          <w:rFonts w:ascii="楷体_GB2312" w:eastAsia="楷体_GB2312" w:hint="eastAsia"/>
          <w:color w:val="000000"/>
        </w:rPr>
        <w:t>月债市</w:t>
      </w:r>
      <w:r w:rsidR="007A2EB7">
        <w:rPr>
          <w:rFonts w:ascii="楷体_GB2312" w:eastAsia="楷体_GB2312" w:hint="eastAsia"/>
          <w:color w:val="000000"/>
        </w:rPr>
        <w:t>维持调整趋势</w:t>
      </w:r>
      <w:r w:rsidR="00FA1DE7">
        <w:rPr>
          <w:rFonts w:ascii="楷体_GB2312" w:eastAsia="楷体_GB2312" w:hint="eastAsia"/>
          <w:color w:val="000000"/>
        </w:rPr>
        <w:t>，</w:t>
      </w:r>
      <w:r w:rsidR="008F1823">
        <w:rPr>
          <w:rFonts w:ascii="楷体_GB2312" w:eastAsia="楷体_GB2312" w:hint="eastAsia"/>
          <w:color w:val="000000"/>
        </w:rPr>
        <w:t>收益率曲线陡峭化上移</w:t>
      </w:r>
      <w:r w:rsidR="00F46810">
        <w:rPr>
          <w:rFonts w:ascii="楷体_GB2312" w:eastAsia="楷体_GB2312" w:hint="eastAsia"/>
          <w:color w:val="000000"/>
        </w:rPr>
        <w:t>。</w:t>
      </w:r>
      <w:r w:rsidR="005B78A9" w:rsidRPr="00C1523A">
        <w:rPr>
          <w:rFonts w:ascii="楷体_GB2312" w:eastAsia="楷体_GB2312" w:hint="eastAsia"/>
          <w:color w:val="000000"/>
        </w:rPr>
        <w:t>从价格指数来看，</w:t>
      </w:r>
      <w:r w:rsidR="001417EA">
        <w:rPr>
          <w:rFonts w:ascii="楷体_GB2312" w:eastAsia="楷体_GB2312" w:hint="eastAsia"/>
          <w:color w:val="000000"/>
        </w:rPr>
        <w:t>长期品种收益率大幅提升，中短期品种收益率回落。</w:t>
      </w:r>
      <w:r w:rsidR="005B78A9" w:rsidRPr="00C1523A">
        <w:rPr>
          <w:rFonts w:ascii="楷体_GB2312" w:eastAsia="楷体_GB2312" w:hint="eastAsia"/>
          <w:color w:val="000000"/>
        </w:rPr>
        <w:t>全月中证全债指数</w:t>
      </w:r>
      <w:r w:rsidR="00FA1DE7">
        <w:rPr>
          <w:rFonts w:ascii="楷体_GB2312" w:eastAsia="楷体_GB2312" w:hint="eastAsia"/>
          <w:color w:val="000000"/>
        </w:rPr>
        <w:t>大跌</w:t>
      </w:r>
      <w:r w:rsidR="00B10923">
        <w:rPr>
          <w:rFonts w:ascii="楷体_GB2312" w:eastAsia="楷体_GB2312" w:hint="eastAsia"/>
          <w:color w:val="000000"/>
        </w:rPr>
        <w:t>1.</w:t>
      </w:r>
      <w:r w:rsidR="001417EA">
        <w:rPr>
          <w:rFonts w:ascii="楷体_GB2312" w:eastAsia="楷体_GB2312" w:hint="eastAsia"/>
          <w:color w:val="000000"/>
        </w:rPr>
        <w:t>07</w:t>
      </w:r>
      <w:r w:rsidR="0093517B">
        <w:rPr>
          <w:rFonts w:ascii="楷体_GB2312" w:eastAsia="楷体_GB2312" w:hint="eastAsia"/>
          <w:color w:val="000000"/>
        </w:rPr>
        <w:t>%</w:t>
      </w:r>
      <w:r w:rsidR="005B78A9" w:rsidRPr="00C1523A">
        <w:rPr>
          <w:rFonts w:ascii="楷体_GB2312" w:eastAsia="楷体_GB2312" w:hint="eastAsia"/>
          <w:color w:val="000000"/>
        </w:rPr>
        <w:t>。利率债中</w:t>
      </w:r>
      <w:r w:rsidR="00D91CEA">
        <w:rPr>
          <w:rFonts w:ascii="楷体_GB2312" w:eastAsia="楷体_GB2312" w:hint="eastAsia"/>
          <w:color w:val="000000"/>
        </w:rPr>
        <w:t>，</w:t>
      </w:r>
      <w:r w:rsidR="00B10923" w:rsidRPr="00B10923">
        <w:rPr>
          <w:rFonts w:ascii="楷体_GB2312" w:eastAsia="楷体_GB2312" w:hint="eastAsia"/>
          <w:color w:val="000000"/>
        </w:rPr>
        <w:t>中证国债</w:t>
      </w:r>
      <w:r w:rsidR="00B10923">
        <w:rPr>
          <w:rFonts w:ascii="楷体_GB2312" w:eastAsia="楷体_GB2312" w:hint="eastAsia"/>
          <w:color w:val="000000"/>
        </w:rPr>
        <w:t>、</w:t>
      </w:r>
      <w:r w:rsidR="00B10923" w:rsidRPr="00B10923">
        <w:rPr>
          <w:rFonts w:ascii="楷体_GB2312" w:eastAsia="楷体_GB2312" w:hint="eastAsia"/>
          <w:color w:val="000000"/>
        </w:rPr>
        <w:t>中证金融债</w:t>
      </w:r>
      <w:r w:rsidR="00AC1F74">
        <w:rPr>
          <w:rFonts w:ascii="楷体_GB2312" w:eastAsia="楷体_GB2312" w:hint="eastAsia"/>
          <w:color w:val="000000"/>
        </w:rPr>
        <w:t>分别下跌</w:t>
      </w:r>
      <w:r w:rsidR="00AC1F74" w:rsidRPr="00AC1F74">
        <w:rPr>
          <w:rFonts w:ascii="楷体_GB2312" w:eastAsia="楷体_GB2312"/>
          <w:color w:val="000000"/>
        </w:rPr>
        <w:t>2.81</w:t>
      </w:r>
      <w:r w:rsidR="00AC1F74">
        <w:rPr>
          <w:rFonts w:ascii="楷体_GB2312" w:eastAsia="楷体_GB2312" w:hint="eastAsia"/>
          <w:color w:val="000000"/>
        </w:rPr>
        <w:t>%、</w:t>
      </w:r>
      <w:r w:rsidR="00AC1F74" w:rsidRPr="00AC1F74">
        <w:rPr>
          <w:rFonts w:ascii="楷体_GB2312" w:eastAsia="楷体_GB2312"/>
          <w:color w:val="000000"/>
        </w:rPr>
        <w:t>1.81</w:t>
      </w:r>
      <w:r w:rsidR="00AC1F74">
        <w:rPr>
          <w:rFonts w:ascii="楷体_GB2312" w:eastAsia="楷体_GB2312" w:hint="eastAsia"/>
          <w:color w:val="000000"/>
        </w:rPr>
        <w:t>%，期限结构较短的</w:t>
      </w:r>
      <w:r w:rsidR="00B10923" w:rsidRPr="00B10923">
        <w:rPr>
          <w:rFonts w:ascii="楷体_GB2312" w:eastAsia="楷体_GB2312" w:hint="eastAsia"/>
          <w:color w:val="000000"/>
        </w:rPr>
        <w:t>中证央票</w:t>
      </w:r>
      <w:r w:rsidR="00B10923">
        <w:rPr>
          <w:rFonts w:ascii="楷体_GB2312" w:eastAsia="楷体_GB2312" w:hint="eastAsia"/>
          <w:color w:val="000000"/>
        </w:rPr>
        <w:t>指数</w:t>
      </w:r>
      <w:r w:rsidR="00AC1F74">
        <w:rPr>
          <w:rFonts w:ascii="楷体_GB2312" w:eastAsia="楷体_GB2312" w:hint="eastAsia"/>
          <w:color w:val="000000"/>
        </w:rPr>
        <w:t>则逆市上涨1.19</w:t>
      </w:r>
      <w:r w:rsidR="00B10923">
        <w:rPr>
          <w:rFonts w:ascii="楷体_GB2312" w:eastAsia="楷体_GB2312" w:hint="eastAsia"/>
          <w:color w:val="000000"/>
        </w:rPr>
        <w:t>%</w:t>
      </w:r>
      <w:r w:rsidR="00AC1F74">
        <w:rPr>
          <w:rFonts w:ascii="楷体_GB2312" w:eastAsia="楷体_GB2312" w:hint="eastAsia"/>
          <w:color w:val="000000"/>
        </w:rPr>
        <w:t>。信用债表现较好</w:t>
      </w:r>
      <w:r w:rsidR="00D26557">
        <w:rPr>
          <w:rFonts w:ascii="楷体_GB2312" w:eastAsia="楷体_GB2312" w:hint="eastAsia"/>
          <w:color w:val="000000"/>
        </w:rPr>
        <w:t>，</w:t>
      </w:r>
      <w:r w:rsidR="0058574F">
        <w:rPr>
          <w:rFonts w:ascii="楷体_GB2312" w:eastAsia="楷体_GB2312" w:hint="eastAsia"/>
          <w:color w:val="000000"/>
        </w:rPr>
        <w:t>中证企业债、</w:t>
      </w:r>
      <w:r w:rsidR="00DA0CBD">
        <w:rPr>
          <w:rFonts w:ascii="楷体_GB2312" w:eastAsia="楷体_GB2312" w:hint="eastAsia"/>
          <w:color w:val="000000"/>
        </w:rPr>
        <w:t>中证公司债、</w:t>
      </w:r>
      <w:r w:rsidR="00A920DC">
        <w:rPr>
          <w:rFonts w:ascii="楷体_GB2312" w:eastAsia="楷体_GB2312" w:hint="eastAsia"/>
          <w:color w:val="000000"/>
        </w:rPr>
        <w:t>中证短融指数分别上涨</w:t>
      </w:r>
      <w:r w:rsidR="00A920DC" w:rsidRPr="00A920DC">
        <w:rPr>
          <w:rFonts w:ascii="楷体_GB2312" w:eastAsia="楷体_GB2312"/>
          <w:color w:val="000000"/>
        </w:rPr>
        <w:t>1.51</w:t>
      </w:r>
      <w:r w:rsidR="00A920DC">
        <w:rPr>
          <w:rFonts w:ascii="楷体_GB2312" w:eastAsia="楷体_GB2312" w:hint="eastAsia"/>
          <w:color w:val="000000"/>
        </w:rPr>
        <w:t>%、</w:t>
      </w:r>
      <w:r w:rsidR="00A920DC" w:rsidRPr="00A920DC">
        <w:rPr>
          <w:rFonts w:ascii="楷体_GB2312" w:eastAsia="楷体_GB2312"/>
          <w:color w:val="000000"/>
        </w:rPr>
        <w:t>2.94</w:t>
      </w:r>
      <w:r w:rsidR="00A920DC">
        <w:rPr>
          <w:rFonts w:ascii="楷体_GB2312" w:eastAsia="楷体_GB2312" w:hint="eastAsia"/>
          <w:color w:val="000000"/>
        </w:rPr>
        <w:t>%、</w:t>
      </w:r>
      <w:r w:rsidR="00A920DC" w:rsidRPr="00A920DC">
        <w:rPr>
          <w:rFonts w:ascii="楷体_GB2312" w:eastAsia="楷体_GB2312"/>
          <w:color w:val="000000"/>
        </w:rPr>
        <w:t>4.04</w:t>
      </w:r>
      <w:r w:rsidR="00A920DC">
        <w:rPr>
          <w:rFonts w:ascii="楷体_GB2312" w:eastAsia="楷体_GB2312" w:hint="eastAsia"/>
          <w:color w:val="000000"/>
        </w:rPr>
        <w:t>%，中证中期50指数下跌2.60%</w:t>
      </w:r>
    </w:p>
    <w:p w:rsidR="00AA19C8" w:rsidRDefault="00AA19C8" w:rsidP="00667DAD">
      <w:pPr>
        <w:ind w:leftChars="1350" w:left="2835" w:firstLineChars="196" w:firstLine="413"/>
        <w:rPr>
          <w:rFonts w:ascii="黑体" w:eastAsia="黑体" w:hAnsi="宋体-18030" w:cs="宋体-18030" w:hint="eastAsia"/>
          <w:b/>
          <w:bCs/>
          <w:color w:val="003366"/>
          <w:kern w:val="44"/>
          <w:szCs w:val="21"/>
        </w:rPr>
      </w:pPr>
    </w:p>
    <w:p w:rsidR="00B32EE1" w:rsidRPr="00D140B7" w:rsidRDefault="0006601F" w:rsidP="00667DAD">
      <w:pPr>
        <w:ind w:leftChars="1350" w:left="2835" w:firstLineChars="196" w:firstLine="413"/>
        <w:rPr>
          <w:rFonts w:ascii="黑体" w:eastAsia="黑体" w:hAnsi="宋体-18030" w:cs="宋体-18030"/>
          <w:b/>
          <w:bCs/>
          <w:color w:val="003366"/>
          <w:kern w:val="44"/>
          <w:szCs w:val="21"/>
        </w:rPr>
      </w:pPr>
      <w:r>
        <w:rPr>
          <w:rFonts w:ascii="黑体" w:eastAsia="黑体" w:hAnsi="宋体-18030" w:cs="宋体-18030" w:hint="eastAsia"/>
          <w:b/>
          <w:bCs/>
          <w:color w:val="003366"/>
          <w:kern w:val="44"/>
          <w:szCs w:val="21"/>
        </w:rPr>
        <w:t>12月基金市场仅货币市场基金收正</w:t>
      </w:r>
    </w:p>
    <w:p w:rsidR="0006601F" w:rsidRDefault="00411CB3" w:rsidP="007A4B7B">
      <w:pPr>
        <w:ind w:leftChars="1350" w:left="2835" w:firstLineChars="202" w:firstLine="424"/>
        <w:rPr>
          <w:rFonts w:ascii="楷体_GB2312" w:eastAsia="楷体_GB2312"/>
          <w:color w:val="000000"/>
        </w:rPr>
      </w:pPr>
      <w:r>
        <w:rPr>
          <w:rFonts w:ascii="楷体_GB2312" w:eastAsia="楷体_GB2312" w:hint="eastAsia"/>
          <w:color w:val="000000"/>
        </w:rPr>
        <w:t>1</w:t>
      </w:r>
      <w:r w:rsidR="0006601F">
        <w:rPr>
          <w:rFonts w:ascii="楷体_GB2312" w:eastAsia="楷体_GB2312" w:hint="eastAsia"/>
          <w:color w:val="000000"/>
        </w:rPr>
        <w:t>2</w:t>
      </w:r>
      <w:r w:rsidR="00233775" w:rsidRPr="00D140B7">
        <w:rPr>
          <w:rFonts w:ascii="楷体_GB2312" w:eastAsia="楷体_GB2312" w:hint="eastAsia"/>
          <w:color w:val="000000"/>
        </w:rPr>
        <w:t>月</w:t>
      </w:r>
      <w:r w:rsidR="0006601F">
        <w:rPr>
          <w:rFonts w:ascii="楷体_GB2312" w:eastAsia="楷体_GB2312" w:hint="eastAsia"/>
          <w:color w:val="000000"/>
        </w:rPr>
        <w:t>股债两市皆弱</w:t>
      </w:r>
      <w:r w:rsidR="00970252">
        <w:rPr>
          <w:rFonts w:ascii="楷体_GB2312" w:eastAsia="楷体_GB2312" w:hint="eastAsia"/>
          <w:color w:val="000000"/>
        </w:rPr>
        <w:t>，</w:t>
      </w:r>
      <w:r w:rsidR="0006601F">
        <w:rPr>
          <w:rFonts w:ascii="楷体_GB2312" w:eastAsia="楷体_GB2312" w:hint="eastAsia"/>
          <w:color w:val="000000"/>
        </w:rPr>
        <w:t>除货币市场基金外其他各类基金全部下行，其中指数型</w:t>
      </w:r>
      <w:r w:rsidR="00B35B0B">
        <w:rPr>
          <w:rFonts w:ascii="楷体_GB2312" w:eastAsia="楷体_GB2312" w:hint="eastAsia"/>
          <w:color w:val="000000"/>
        </w:rPr>
        <w:t>跌幅领先，商品型延续持续多月的跌幅继续探底。</w:t>
      </w:r>
      <w:r w:rsidR="0012674B">
        <w:rPr>
          <w:rFonts w:ascii="楷体_GB2312" w:eastAsia="楷体_GB2312" w:hint="eastAsia"/>
          <w:color w:val="000000"/>
        </w:rPr>
        <w:t>QDII受益美国市场的良好表现而</w:t>
      </w:r>
      <w:r w:rsidR="00B35B0B">
        <w:rPr>
          <w:rFonts w:ascii="楷体_GB2312" w:eastAsia="楷体_GB2312" w:hint="eastAsia"/>
          <w:color w:val="000000"/>
        </w:rPr>
        <w:t>整体</w:t>
      </w:r>
      <w:r w:rsidR="0012674B">
        <w:rPr>
          <w:rFonts w:ascii="楷体_GB2312" w:eastAsia="楷体_GB2312" w:hint="eastAsia"/>
          <w:color w:val="000000"/>
        </w:rPr>
        <w:t>表现抗跌。</w:t>
      </w:r>
    </w:p>
    <w:p w:rsidR="00AA19C8" w:rsidRDefault="00AA19C8" w:rsidP="00804862">
      <w:pPr>
        <w:jc w:val="center"/>
        <w:rPr>
          <w:rFonts w:ascii="楷体_GB2312" w:eastAsia="楷体_GB2312" w:hint="eastAsia"/>
          <w:b/>
          <w:color w:val="000000"/>
        </w:rPr>
      </w:pPr>
    </w:p>
    <w:p w:rsidR="00804862" w:rsidRDefault="005B5148" w:rsidP="00804862">
      <w:pPr>
        <w:jc w:val="center"/>
        <w:rPr>
          <w:rFonts w:ascii="楷体_GB2312" w:eastAsia="楷体_GB2312"/>
          <w:b/>
          <w:color w:val="000000"/>
        </w:rPr>
      </w:pPr>
      <w:r w:rsidRPr="00D743CA">
        <w:rPr>
          <w:rFonts w:ascii="楷体_GB2312" w:eastAsia="楷体_GB2312" w:hint="eastAsia"/>
          <w:b/>
          <w:color w:val="000000"/>
        </w:rPr>
        <w:t>图3</w:t>
      </w:r>
      <w:r w:rsidR="003E58A0">
        <w:rPr>
          <w:rFonts w:ascii="楷体_GB2312" w:eastAsia="楷体_GB2312" w:hint="eastAsia"/>
          <w:b/>
          <w:color w:val="000000"/>
        </w:rPr>
        <w:t xml:space="preserve"> </w:t>
      </w:r>
      <w:r w:rsidR="00804862" w:rsidRPr="00D743CA">
        <w:rPr>
          <w:rFonts w:ascii="楷体_GB2312" w:eastAsia="楷体_GB2312" w:hint="eastAsia"/>
          <w:b/>
          <w:color w:val="000000"/>
        </w:rPr>
        <w:t>201</w:t>
      </w:r>
      <w:r w:rsidR="00FE615A">
        <w:rPr>
          <w:rFonts w:ascii="楷体_GB2312" w:eastAsia="楷体_GB2312" w:hint="eastAsia"/>
          <w:b/>
          <w:color w:val="000000"/>
        </w:rPr>
        <w:t>3</w:t>
      </w:r>
      <w:r w:rsidR="00804862" w:rsidRPr="00D743CA">
        <w:rPr>
          <w:rFonts w:ascii="楷体_GB2312" w:eastAsia="楷体_GB2312" w:hint="eastAsia"/>
          <w:b/>
          <w:color w:val="000000"/>
        </w:rPr>
        <w:t>年</w:t>
      </w:r>
      <w:r w:rsidR="00765BEC">
        <w:rPr>
          <w:rFonts w:ascii="楷体_GB2312" w:eastAsia="楷体_GB2312" w:hint="eastAsia"/>
          <w:b/>
          <w:color w:val="000000"/>
        </w:rPr>
        <w:t>1</w:t>
      </w:r>
      <w:r w:rsidR="00046606">
        <w:rPr>
          <w:rFonts w:ascii="楷体_GB2312" w:eastAsia="楷体_GB2312" w:hint="eastAsia"/>
          <w:b/>
          <w:color w:val="000000"/>
        </w:rPr>
        <w:t>2月</w:t>
      </w:r>
      <w:r w:rsidR="00804862" w:rsidRPr="00D743CA">
        <w:rPr>
          <w:rFonts w:ascii="楷体_GB2312" w:eastAsia="楷体_GB2312" w:hint="eastAsia"/>
          <w:b/>
          <w:color w:val="000000"/>
        </w:rPr>
        <w:t>各类型基金平均业绩表现</w:t>
      </w:r>
    </w:p>
    <w:p w:rsidR="00804862" w:rsidRDefault="00046606" w:rsidP="001914BE">
      <w:pPr>
        <w:jc w:val="left"/>
        <w:rPr>
          <w:rFonts w:ascii="楷体_GB2312" w:eastAsia="楷体_GB2312"/>
          <w:noProof/>
          <w:color w:val="000000"/>
        </w:rPr>
      </w:pPr>
      <w:r w:rsidRPr="00046606">
        <w:rPr>
          <w:rFonts w:hint="eastAsia"/>
          <w:noProof/>
        </w:rPr>
        <w:drawing>
          <wp:inline distT="0" distB="0" distL="0" distR="0">
            <wp:extent cx="5986780" cy="2156460"/>
            <wp:effectExtent l="1905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5986780" cy="2156460"/>
                    </a:xfrm>
                    <a:prstGeom prst="rect">
                      <a:avLst/>
                    </a:prstGeom>
                    <a:noFill/>
                    <a:ln w="9525">
                      <a:noFill/>
                      <a:miter lim="800000"/>
                      <a:headEnd/>
                      <a:tailEnd/>
                    </a:ln>
                  </pic:spPr>
                </pic:pic>
              </a:graphicData>
            </a:graphic>
          </wp:inline>
        </w:drawing>
      </w:r>
      <w:r w:rsidRPr="00046606">
        <w:rPr>
          <w:rFonts w:hint="eastAsia"/>
        </w:rPr>
        <w:t xml:space="preserve"> </w:t>
      </w:r>
      <w:r w:rsidR="00804862" w:rsidRPr="00D743CA">
        <w:rPr>
          <w:rFonts w:ascii="楷体_GB2312" w:eastAsia="楷体_GB2312" w:hint="eastAsia"/>
          <w:noProof/>
          <w:color w:val="000000"/>
        </w:rPr>
        <w:t>数据来源：wind</w:t>
      </w:r>
      <w:r w:rsidR="00827583" w:rsidRPr="00D743CA">
        <w:rPr>
          <w:rFonts w:ascii="楷体_GB2312" w:eastAsia="楷体_GB2312" w:hint="eastAsia"/>
          <w:noProof/>
          <w:color w:val="000000"/>
        </w:rPr>
        <w:t>，</w:t>
      </w:r>
      <w:r w:rsidR="00804862" w:rsidRPr="00D743CA">
        <w:rPr>
          <w:rFonts w:ascii="楷体_GB2312" w:eastAsia="楷体_GB2312" w:hint="eastAsia"/>
          <w:noProof/>
          <w:color w:val="000000"/>
        </w:rPr>
        <w:t>上海证券基金评价研究中心</w:t>
      </w:r>
    </w:p>
    <w:p w:rsidR="00FD56C0" w:rsidRPr="00D743CA" w:rsidRDefault="0022495E" w:rsidP="001914BE">
      <w:pPr>
        <w:jc w:val="left"/>
        <w:rPr>
          <w:rFonts w:ascii="楷体_GB2312" w:eastAsia="楷体_GB2312"/>
          <w:noProof/>
          <w:color w:val="000000"/>
        </w:rPr>
      </w:pPr>
      <w:r>
        <w:rPr>
          <w:rFonts w:ascii="楷体_GB2312" w:eastAsia="楷体_GB2312" w:hint="eastAsia"/>
          <w:noProof/>
          <w:color w:val="000000"/>
        </w:rPr>
        <w:t>注：不包括分级基金中的结构化份额（</w:t>
      </w:r>
      <w:r w:rsidR="00FD56C0">
        <w:rPr>
          <w:rFonts w:ascii="楷体_GB2312" w:eastAsia="楷体_GB2312" w:hint="eastAsia"/>
          <w:noProof/>
          <w:color w:val="000000"/>
        </w:rPr>
        <w:t>稳健份额和杠杆份额）</w:t>
      </w:r>
    </w:p>
    <w:p w:rsidR="003C0276" w:rsidRDefault="003C0276" w:rsidP="00831030">
      <w:pPr>
        <w:ind w:leftChars="1350" w:left="2835" w:firstLineChars="196" w:firstLine="413"/>
        <w:rPr>
          <w:rFonts w:ascii="黑体" w:eastAsia="黑体" w:hAnsi="宋体-18030" w:cs="宋体-18030"/>
          <w:b/>
          <w:bCs/>
          <w:color w:val="003366"/>
          <w:kern w:val="44"/>
          <w:szCs w:val="21"/>
        </w:rPr>
      </w:pPr>
    </w:p>
    <w:p w:rsidR="00831030" w:rsidRPr="0082176D" w:rsidRDefault="00831030" w:rsidP="00831030">
      <w:pPr>
        <w:ind w:leftChars="1350" w:left="2835" w:firstLineChars="196" w:firstLine="413"/>
        <w:rPr>
          <w:rFonts w:ascii="黑体" w:eastAsia="黑体" w:hAnsi="宋体-18030" w:cs="宋体-18030"/>
          <w:b/>
          <w:bCs/>
          <w:color w:val="003366"/>
          <w:kern w:val="44"/>
          <w:szCs w:val="21"/>
        </w:rPr>
      </w:pPr>
      <w:r w:rsidRPr="0082176D">
        <w:rPr>
          <w:rFonts w:ascii="黑体" w:eastAsia="黑体" w:hAnsi="宋体-18030" w:cs="宋体-18030" w:hint="eastAsia"/>
          <w:b/>
          <w:bCs/>
          <w:color w:val="003366"/>
          <w:kern w:val="44"/>
          <w:szCs w:val="21"/>
        </w:rPr>
        <w:lastRenderedPageBreak/>
        <w:t>影响市场的信息</w:t>
      </w:r>
      <w:r w:rsidR="00873401" w:rsidRPr="0082176D">
        <w:rPr>
          <w:rFonts w:ascii="黑体" w:eastAsia="黑体" w:hAnsi="宋体-18030" w:cs="宋体-18030" w:hint="eastAsia"/>
          <w:b/>
          <w:bCs/>
          <w:color w:val="003366"/>
          <w:kern w:val="44"/>
          <w:szCs w:val="21"/>
        </w:rPr>
        <w:t>和数据</w:t>
      </w:r>
    </w:p>
    <w:p w:rsidR="009E50D4" w:rsidRDefault="009E50D4" w:rsidP="00254CD8">
      <w:pPr>
        <w:ind w:leftChars="1350" w:left="2835" w:firstLineChars="202" w:firstLine="424"/>
        <w:rPr>
          <w:rFonts w:ascii="楷体_GB2312" w:eastAsia="楷体_GB2312" w:hAnsi="宋体" w:cs="宋体" w:hint="eastAsia"/>
          <w:kern w:val="0"/>
          <w:szCs w:val="21"/>
        </w:rPr>
      </w:pPr>
      <w:r w:rsidRPr="0082176D">
        <w:rPr>
          <w:rFonts w:ascii="楷体_GB2312" w:eastAsia="楷体_GB2312" w:hAnsi="宋体" w:cs="宋体" w:hint="eastAsia"/>
          <w:kern w:val="0"/>
          <w:szCs w:val="21"/>
        </w:rPr>
        <w:t>12月12日盟统计局数</w:t>
      </w:r>
      <w:r w:rsidRPr="00061D3C">
        <w:rPr>
          <w:rFonts w:ascii="楷体_GB2312" w:eastAsia="楷体_GB2312" w:hAnsi="宋体" w:cs="宋体" w:hint="eastAsia"/>
          <w:kern w:val="0"/>
          <w:szCs w:val="21"/>
        </w:rPr>
        <w:t>据显示</w:t>
      </w:r>
      <w:hyperlink r:id="rId17" w:tgtFrame="_blank" w:history="1">
        <w:r w:rsidRPr="00C25622">
          <w:rPr>
            <w:rFonts w:ascii="楷体_GB2312" w:eastAsia="楷体_GB2312" w:hAnsi="宋体" w:cs="宋体" w:hint="eastAsia"/>
            <w:kern w:val="0"/>
            <w:szCs w:val="21"/>
          </w:rPr>
          <w:t>欧元</w:t>
        </w:r>
      </w:hyperlink>
      <w:r w:rsidRPr="00D20971">
        <w:rPr>
          <w:rFonts w:ascii="楷体_GB2312" w:eastAsia="楷体_GB2312" w:hAnsi="宋体" w:cs="宋体" w:hint="eastAsia"/>
          <w:kern w:val="0"/>
          <w:szCs w:val="21"/>
        </w:rPr>
        <w:t>区10月工业产出大幅下降</w:t>
      </w:r>
      <w:r w:rsidRPr="009E50D4">
        <w:rPr>
          <w:rFonts w:ascii="楷体_GB2312" w:eastAsia="楷体_GB2312" w:hAnsi="宋体" w:cs="宋体" w:hint="eastAsia"/>
          <w:kern w:val="0"/>
          <w:szCs w:val="21"/>
        </w:rPr>
        <w:t> </w:t>
      </w:r>
      <w:r w:rsidRPr="009E50D4">
        <w:rPr>
          <w:rFonts w:ascii="楷体_GB2312" w:eastAsia="楷体_GB2312" w:hAnsi="宋体" w:cs="宋体" w:hint="eastAsia"/>
          <w:kern w:val="0"/>
          <w:szCs w:val="21"/>
        </w:rPr>
        <w:t>1.1%，创2012年9月来最大降幅</w:t>
      </w:r>
      <w:r w:rsidR="00D958F6">
        <w:rPr>
          <w:rFonts w:ascii="楷体_GB2312" w:eastAsia="楷体_GB2312" w:hAnsi="宋体" w:cs="宋体" w:hint="eastAsia"/>
          <w:kern w:val="0"/>
          <w:szCs w:val="21"/>
        </w:rPr>
        <w:t>；</w:t>
      </w:r>
    </w:p>
    <w:p w:rsidR="00254CD8" w:rsidRDefault="00254CD8" w:rsidP="00254CD8">
      <w:pPr>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12月19日欧盟委员会数据显示</w:t>
      </w:r>
      <w:r w:rsidRPr="000843BF">
        <w:rPr>
          <w:rFonts w:ascii="楷体_GB2312" w:eastAsia="楷体_GB2312" w:hAnsi="宋体" w:cs="宋体" w:hint="eastAsia"/>
          <w:kern w:val="0"/>
          <w:szCs w:val="21"/>
        </w:rPr>
        <w:t>欧元区12月消费者信心指数回升至-13.6，改善幅度好于预期</w:t>
      </w:r>
      <w:r>
        <w:rPr>
          <w:rFonts w:ascii="楷体_GB2312" w:eastAsia="楷体_GB2312" w:hAnsi="宋体" w:cs="宋体" w:hint="eastAsia"/>
          <w:kern w:val="0"/>
          <w:szCs w:val="21"/>
        </w:rPr>
        <w:t>；</w:t>
      </w:r>
    </w:p>
    <w:p w:rsidR="00E87998" w:rsidRPr="0082176D" w:rsidRDefault="00254CD8" w:rsidP="00E87998">
      <w:pPr>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12月17日</w:t>
      </w:r>
      <w:hyperlink r:id="rId18" w:tgtFrame="_blank" w:history="1">
        <w:r w:rsidRPr="0082176D">
          <w:rPr>
            <w:rFonts w:ascii="楷体_GB2312" w:eastAsia="楷体_GB2312" w:hAnsi="宋体" w:cs="宋体" w:hint="eastAsia"/>
            <w:kern w:val="0"/>
            <w:szCs w:val="21"/>
          </w:rPr>
          <w:t>美联储</w:t>
        </w:r>
      </w:hyperlink>
      <w:r w:rsidRPr="001F034C">
        <w:rPr>
          <w:rFonts w:ascii="楷体_GB2312" w:eastAsia="楷体_GB2312" w:hAnsi="宋体" w:cs="宋体" w:hint="eastAsia"/>
          <w:kern w:val="0"/>
          <w:szCs w:val="21"/>
        </w:rPr>
        <w:t>(FED) 决定开始缩减大规模</w:t>
      </w:r>
      <w:hyperlink r:id="rId19" w:tgtFrame="_blank" w:history="1">
        <w:r w:rsidRPr="0082176D">
          <w:rPr>
            <w:rFonts w:ascii="楷体_GB2312" w:eastAsia="楷体_GB2312" w:hAnsi="宋体" w:cs="宋体" w:hint="eastAsia"/>
            <w:kern w:val="0"/>
            <w:szCs w:val="21"/>
          </w:rPr>
          <w:t>债券</w:t>
        </w:r>
      </w:hyperlink>
      <w:r w:rsidRPr="001F034C">
        <w:rPr>
          <w:rFonts w:ascii="楷体_GB2312" w:eastAsia="楷体_GB2312" w:hAnsi="宋体" w:cs="宋体" w:hint="eastAsia"/>
          <w:kern w:val="0"/>
          <w:szCs w:val="21"/>
        </w:rPr>
        <w:t>购买计划</w:t>
      </w:r>
      <w:r w:rsidR="00D958F6">
        <w:rPr>
          <w:rFonts w:ascii="楷体_GB2312" w:eastAsia="楷体_GB2312" w:hAnsi="宋体" w:cs="宋体" w:hint="eastAsia"/>
          <w:kern w:val="0"/>
          <w:szCs w:val="21"/>
        </w:rPr>
        <w:t>；</w:t>
      </w:r>
    </w:p>
    <w:p w:rsidR="000327E3" w:rsidRPr="0082176D" w:rsidRDefault="00254CD8" w:rsidP="00E87998">
      <w:pPr>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12月19日美国</w:t>
      </w:r>
      <w:r w:rsidRPr="001F034C">
        <w:rPr>
          <w:rFonts w:ascii="楷体_GB2312" w:eastAsia="楷体_GB2312" w:hAnsi="宋体" w:cs="宋体" w:hint="eastAsia"/>
          <w:kern w:val="0"/>
          <w:szCs w:val="21"/>
        </w:rPr>
        <w:t>美国商务部向上修正美国第三季度经济增速，至增长4.1%，升幅触及近两年来高位</w:t>
      </w:r>
      <w:r w:rsidR="00D958F6">
        <w:rPr>
          <w:rFonts w:ascii="楷体_GB2312" w:eastAsia="楷体_GB2312" w:hAnsi="宋体" w:cs="宋体" w:hint="eastAsia"/>
          <w:kern w:val="0"/>
          <w:szCs w:val="21"/>
        </w:rPr>
        <w:t>；</w:t>
      </w:r>
    </w:p>
    <w:p w:rsidR="002D6C88" w:rsidRPr="0082176D" w:rsidRDefault="002D6C88" w:rsidP="00C71869">
      <w:pPr>
        <w:ind w:leftChars="1350" w:left="2835" w:firstLineChars="202" w:firstLine="424"/>
        <w:rPr>
          <w:rFonts w:ascii="楷体_GB2312" w:eastAsia="楷体_GB2312" w:hAnsi="宋体" w:cs="宋体" w:hint="eastAsia"/>
          <w:kern w:val="0"/>
          <w:szCs w:val="21"/>
        </w:rPr>
      </w:pPr>
      <w:r w:rsidRPr="0082176D">
        <w:rPr>
          <w:rFonts w:ascii="楷体_GB2312" w:eastAsia="楷体_GB2312" w:hAnsi="宋体" w:cs="宋体" w:hint="eastAsia"/>
          <w:kern w:val="0"/>
          <w:szCs w:val="21"/>
        </w:rPr>
        <w:t>12月份市场再度出现资金紧张局面，银行间和交易所短期拆借利率急速上升。</w:t>
      </w:r>
      <w:r>
        <w:rPr>
          <w:rFonts w:ascii="楷体_GB2312" w:eastAsia="楷体_GB2312" w:hAnsi="宋体" w:cs="宋体" w:hint="eastAsia"/>
          <w:kern w:val="0"/>
          <w:szCs w:val="21"/>
        </w:rPr>
        <w:t>19日央行</w:t>
      </w:r>
      <w:r w:rsidRPr="00680DD3">
        <w:rPr>
          <w:rFonts w:ascii="楷体_GB2312" w:eastAsia="楷体_GB2312" w:hAnsi="宋体" w:cs="宋体" w:hint="eastAsia"/>
          <w:kern w:val="0"/>
          <w:szCs w:val="21"/>
        </w:rPr>
        <w:t>在其官方微博称，近期已据市场流动性状况通过SLO(短期流动性调节工具)，向市场适度注入流动性</w:t>
      </w:r>
      <w:r w:rsidR="00D958F6">
        <w:rPr>
          <w:rFonts w:ascii="楷体_GB2312" w:eastAsia="楷体_GB2312" w:hAnsi="宋体" w:cs="宋体" w:hint="eastAsia"/>
          <w:kern w:val="0"/>
          <w:szCs w:val="21"/>
        </w:rPr>
        <w:t>；</w:t>
      </w:r>
    </w:p>
    <w:p w:rsidR="000D518A" w:rsidRPr="0082176D" w:rsidRDefault="000D518A" w:rsidP="000D518A">
      <w:pPr>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12月7日</w:t>
      </w:r>
      <w:r w:rsidR="003866C5">
        <w:rPr>
          <w:rFonts w:ascii="楷体_GB2312" w:eastAsia="楷体_GB2312" w:hAnsi="宋体" w:cs="宋体" w:hint="eastAsia"/>
          <w:kern w:val="0"/>
          <w:szCs w:val="21"/>
        </w:rPr>
        <w:t>，</w:t>
      </w:r>
      <w:r>
        <w:rPr>
          <w:rFonts w:ascii="楷体_GB2312" w:eastAsia="楷体_GB2312" w:hAnsi="宋体" w:cs="宋体" w:hint="eastAsia"/>
          <w:kern w:val="0"/>
          <w:szCs w:val="21"/>
        </w:rPr>
        <w:t>统计局数据显示，中国</w:t>
      </w:r>
      <w:r w:rsidRPr="00C218C7">
        <w:rPr>
          <w:rFonts w:ascii="楷体_GB2312" w:eastAsia="楷体_GB2312" w:hAnsi="宋体" w:cs="宋体" w:hint="eastAsia"/>
          <w:kern w:val="0"/>
          <w:szCs w:val="21"/>
        </w:rPr>
        <w:t>11月规模以上工业企业利润年率上升9.7%，较10月增速大幅回落5</w:t>
      </w:r>
      <w:r>
        <w:rPr>
          <w:rFonts w:ascii="楷体_GB2312" w:eastAsia="楷体_GB2312" w:hAnsi="宋体" w:cs="宋体" w:hint="eastAsia"/>
          <w:kern w:val="0"/>
          <w:szCs w:val="21"/>
        </w:rPr>
        <w:t>.</w:t>
      </w:r>
      <w:r w:rsidRPr="00C218C7">
        <w:rPr>
          <w:rFonts w:ascii="楷体_GB2312" w:eastAsia="楷体_GB2312" w:hAnsi="宋体" w:cs="宋体" w:hint="eastAsia"/>
          <w:kern w:val="0"/>
          <w:szCs w:val="21"/>
        </w:rPr>
        <w:t>4%</w:t>
      </w:r>
      <w:r w:rsidR="00D958F6">
        <w:rPr>
          <w:rFonts w:ascii="楷体_GB2312" w:eastAsia="楷体_GB2312" w:hAnsi="宋体" w:cs="宋体" w:hint="eastAsia"/>
          <w:kern w:val="0"/>
          <w:szCs w:val="21"/>
        </w:rPr>
        <w:t>；</w:t>
      </w:r>
    </w:p>
    <w:p w:rsidR="00C541D6" w:rsidRDefault="00C541D6" w:rsidP="00C71869">
      <w:pPr>
        <w:ind w:leftChars="1350" w:left="2835" w:firstLineChars="202" w:firstLine="424"/>
        <w:rPr>
          <w:rFonts w:ascii="楷体_GB2312" w:eastAsia="楷体_GB2312" w:hAnsi="宋体" w:cs="宋体" w:hint="eastAsia"/>
          <w:kern w:val="0"/>
          <w:szCs w:val="21"/>
        </w:rPr>
      </w:pPr>
      <w:r w:rsidRPr="0082176D">
        <w:rPr>
          <w:rFonts w:ascii="楷体_GB2312" w:eastAsia="楷体_GB2312" w:hAnsi="宋体" w:cs="宋体" w:hint="eastAsia"/>
          <w:kern w:val="0"/>
          <w:szCs w:val="21"/>
        </w:rPr>
        <w:t>12月8日，</w:t>
      </w:r>
      <w:r w:rsidRPr="008B5490">
        <w:rPr>
          <w:rFonts w:ascii="楷体_GB2312" w:eastAsia="楷体_GB2312" w:hAnsi="宋体" w:cs="宋体" w:hint="eastAsia"/>
          <w:kern w:val="0"/>
          <w:szCs w:val="21"/>
        </w:rPr>
        <w:t>中国海关数据显示</w:t>
      </w:r>
      <w:r w:rsidR="003866C5">
        <w:rPr>
          <w:rFonts w:ascii="楷体_GB2312" w:eastAsia="楷体_GB2312" w:hAnsi="宋体" w:cs="宋体" w:hint="eastAsia"/>
          <w:kern w:val="0"/>
          <w:szCs w:val="21"/>
        </w:rPr>
        <w:t>，</w:t>
      </w:r>
      <w:r w:rsidRPr="008B5490">
        <w:rPr>
          <w:rFonts w:ascii="楷体_GB2312" w:eastAsia="楷体_GB2312" w:hAnsi="宋体" w:cs="宋体" w:hint="eastAsia"/>
          <w:kern w:val="0"/>
          <w:szCs w:val="21"/>
        </w:rPr>
        <w:t>中国11月贸易顺差扩大至338亿美元，创2009年1月以来最高，水平出口同比增长12.7%</w:t>
      </w:r>
      <w:r w:rsidR="00D958F6">
        <w:rPr>
          <w:rFonts w:ascii="楷体_GB2312" w:eastAsia="楷体_GB2312" w:hAnsi="宋体" w:cs="宋体" w:hint="eastAsia"/>
          <w:kern w:val="0"/>
          <w:szCs w:val="21"/>
        </w:rPr>
        <w:t>；</w:t>
      </w:r>
    </w:p>
    <w:p w:rsidR="003D6B9D" w:rsidRDefault="003D6B9D" w:rsidP="00C71869">
      <w:pPr>
        <w:ind w:leftChars="1350" w:left="2835" w:firstLineChars="202" w:firstLine="424"/>
        <w:rPr>
          <w:rFonts w:ascii="楷体_GB2312" w:eastAsia="楷体_GB2312" w:hAnsi="宋体" w:cs="宋体" w:hint="eastAsia"/>
          <w:kern w:val="0"/>
          <w:szCs w:val="21"/>
        </w:rPr>
      </w:pPr>
      <w:r w:rsidRPr="0082176D">
        <w:rPr>
          <w:rFonts w:ascii="楷体_GB2312" w:eastAsia="楷体_GB2312" w:hAnsi="宋体" w:cs="宋体" w:hint="eastAsia"/>
          <w:kern w:val="0"/>
          <w:szCs w:val="21"/>
        </w:rPr>
        <w:t>12月9日，</w:t>
      </w:r>
      <w:r w:rsidRPr="008B5490">
        <w:rPr>
          <w:rFonts w:ascii="楷体_GB2312" w:eastAsia="楷体_GB2312" w:hAnsi="宋体" w:cs="宋体" w:hint="eastAsia"/>
          <w:kern w:val="0"/>
          <w:szCs w:val="21"/>
        </w:rPr>
        <w:t>统计局数据显示，</w:t>
      </w:r>
      <w:r w:rsidR="003866C5">
        <w:rPr>
          <w:rFonts w:ascii="楷体_GB2312" w:eastAsia="楷体_GB2312" w:hAnsi="宋体" w:cs="宋体" w:hint="eastAsia"/>
          <w:kern w:val="0"/>
          <w:szCs w:val="21"/>
        </w:rPr>
        <w:t>中国</w:t>
      </w:r>
      <w:r w:rsidRPr="008B5490">
        <w:rPr>
          <w:rFonts w:ascii="楷体_GB2312" w:eastAsia="楷体_GB2312" w:hAnsi="宋体" w:cs="宋体" w:hint="eastAsia"/>
          <w:kern w:val="0"/>
          <w:szCs w:val="21"/>
        </w:rPr>
        <w:t>11月CPI</w:t>
      </w:r>
      <w:r>
        <w:rPr>
          <w:rFonts w:ascii="楷体_GB2312" w:eastAsia="楷体_GB2312" w:hAnsi="宋体" w:cs="宋体" w:hint="eastAsia"/>
          <w:kern w:val="0"/>
          <w:szCs w:val="21"/>
        </w:rPr>
        <w:t>较去年同期的涨幅有所收窄，有效缓解投资者对通胀的担忧</w:t>
      </w:r>
      <w:r w:rsidR="00D958F6">
        <w:rPr>
          <w:rFonts w:ascii="楷体_GB2312" w:eastAsia="楷体_GB2312" w:hAnsi="宋体" w:cs="宋体" w:hint="eastAsia"/>
          <w:kern w:val="0"/>
          <w:szCs w:val="21"/>
        </w:rPr>
        <w:t>；</w:t>
      </w:r>
    </w:p>
    <w:p w:rsidR="003D6B9D" w:rsidRDefault="00D80D3B" w:rsidP="00C71869">
      <w:pPr>
        <w:ind w:leftChars="1350" w:left="2835" w:firstLineChars="202" w:firstLine="424"/>
        <w:rPr>
          <w:rFonts w:ascii="楷体_GB2312" w:eastAsia="楷体_GB2312" w:hAnsi="宋体" w:cs="宋体" w:hint="eastAsia"/>
          <w:kern w:val="0"/>
          <w:szCs w:val="21"/>
        </w:rPr>
      </w:pPr>
      <w:r w:rsidRPr="00205366">
        <w:rPr>
          <w:rFonts w:ascii="楷体_GB2312" w:eastAsia="楷体_GB2312" w:hAnsi="宋体" w:cs="宋体" w:hint="eastAsia"/>
          <w:kern w:val="0"/>
          <w:szCs w:val="21"/>
        </w:rPr>
        <w:t>12月10日</w:t>
      </w:r>
      <w:r w:rsidRPr="0082176D">
        <w:rPr>
          <w:rFonts w:ascii="楷体_GB2312" w:eastAsia="楷体_GB2312" w:hAnsi="宋体" w:cs="宋体" w:hint="eastAsia"/>
          <w:kern w:val="0"/>
          <w:szCs w:val="21"/>
        </w:rPr>
        <w:t>，</w:t>
      </w:r>
      <w:r w:rsidRPr="00205366">
        <w:rPr>
          <w:rFonts w:ascii="楷体_GB2312" w:eastAsia="楷体_GB2312" w:hAnsi="宋体" w:cs="宋体" w:hint="eastAsia"/>
          <w:kern w:val="0"/>
          <w:szCs w:val="21"/>
        </w:rPr>
        <w:t>统计局数据显示，</w:t>
      </w:r>
      <w:r w:rsidR="003866C5">
        <w:rPr>
          <w:rFonts w:ascii="楷体_GB2312" w:eastAsia="楷体_GB2312" w:hAnsi="宋体" w:cs="宋体" w:hint="eastAsia"/>
          <w:kern w:val="0"/>
          <w:szCs w:val="21"/>
        </w:rPr>
        <w:t>中国</w:t>
      </w:r>
      <w:r w:rsidRPr="00205366">
        <w:rPr>
          <w:rFonts w:ascii="楷体_GB2312" w:eastAsia="楷体_GB2312" w:hAnsi="宋体" w:cs="宋体" w:hint="eastAsia"/>
          <w:kern w:val="0"/>
          <w:szCs w:val="21"/>
        </w:rPr>
        <w:t>11月规模以上工业增加值较去年同期增长10.0%</w:t>
      </w:r>
      <w:r>
        <w:rPr>
          <w:rFonts w:ascii="楷体_GB2312" w:eastAsia="楷体_GB2312" w:hAnsi="宋体" w:cs="宋体" w:hint="eastAsia"/>
          <w:kern w:val="0"/>
          <w:szCs w:val="21"/>
        </w:rPr>
        <w:t>；</w:t>
      </w:r>
    </w:p>
    <w:p w:rsidR="000D518A" w:rsidRDefault="000D518A" w:rsidP="00C71869">
      <w:pPr>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2014年1月1日</w:t>
      </w:r>
      <w:r w:rsidR="003866C5">
        <w:rPr>
          <w:rFonts w:ascii="楷体_GB2312" w:eastAsia="楷体_GB2312" w:hAnsi="宋体" w:cs="宋体" w:hint="eastAsia"/>
          <w:kern w:val="0"/>
          <w:szCs w:val="21"/>
        </w:rPr>
        <w:t>，</w:t>
      </w:r>
      <w:r w:rsidRPr="0082176D">
        <w:rPr>
          <w:rFonts w:ascii="楷体_GB2312" w:eastAsia="楷体_GB2312" w:hAnsi="宋体" w:cs="宋体" w:hint="eastAsia"/>
          <w:kern w:val="0"/>
          <w:szCs w:val="21"/>
        </w:rPr>
        <w:t>统计局数据显示，中国</w:t>
      </w:r>
      <w:r w:rsidR="003866C5" w:rsidRPr="0082176D">
        <w:rPr>
          <w:rFonts w:ascii="楷体_GB2312" w:eastAsia="楷体_GB2312" w:hAnsi="宋体" w:cs="宋体" w:hint="eastAsia"/>
          <w:kern w:val="0"/>
          <w:szCs w:val="21"/>
        </w:rPr>
        <w:t>12月</w:t>
      </w:r>
      <w:r w:rsidRPr="0082176D">
        <w:rPr>
          <w:rFonts w:ascii="楷体_GB2312" w:eastAsia="楷体_GB2312" w:hAnsi="宋体" w:cs="宋体" w:hint="eastAsia"/>
          <w:kern w:val="0"/>
          <w:szCs w:val="21"/>
        </w:rPr>
        <w:t>制造业采购经理指数（PMI）为51.0%，比上月回落0.4个百分点，高于全年均值0.2个百分点，连续15个月位于临界点以上。</w:t>
      </w:r>
      <w:r w:rsidR="0082176D" w:rsidRPr="0082176D">
        <w:rPr>
          <w:rFonts w:ascii="楷体_GB2312" w:eastAsia="楷体_GB2312" w:hAnsi="宋体" w:cs="宋体" w:hint="eastAsia"/>
          <w:kern w:val="0"/>
          <w:szCs w:val="21"/>
        </w:rPr>
        <w:t>中国</w:t>
      </w:r>
      <w:r w:rsidR="003866C5">
        <w:rPr>
          <w:rFonts w:ascii="楷体_GB2312" w:eastAsia="楷体_GB2312" w:hAnsi="宋体" w:cs="宋体" w:hint="eastAsia"/>
          <w:kern w:val="0"/>
          <w:szCs w:val="21"/>
        </w:rPr>
        <w:t>12月</w:t>
      </w:r>
      <w:r w:rsidR="0082176D" w:rsidRPr="0082176D">
        <w:rPr>
          <w:rFonts w:ascii="楷体_GB2312" w:eastAsia="楷体_GB2312" w:hAnsi="宋体" w:cs="宋体" w:hint="eastAsia"/>
          <w:kern w:val="0"/>
          <w:szCs w:val="21"/>
        </w:rPr>
        <w:t>非制造业商务活动指数为54.6%，比上月回落1.4个百分点。</w:t>
      </w:r>
    </w:p>
    <w:p w:rsidR="00804862" w:rsidRPr="007C1C3D" w:rsidRDefault="006C336F" w:rsidP="001D34AE">
      <w:pPr>
        <w:ind w:firstLineChars="1000" w:firstLine="2811"/>
        <w:rPr>
          <w:rFonts w:ascii="黑体" w:eastAsia="黑体" w:hAnsi="宋体-18030" w:cs="宋体-18030"/>
          <w:b/>
          <w:bCs/>
          <w:color w:val="000000"/>
          <w:kern w:val="44"/>
          <w:sz w:val="28"/>
          <w:szCs w:val="28"/>
        </w:rPr>
      </w:pPr>
      <w:r w:rsidRPr="007C1C3D">
        <w:rPr>
          <w:rFonts w:ascii="黑体" w:eastAsia="黑体" w:hAnsi="宋体-18030" w:cs="宋体-18030" w:hint="eastAsia"/>
          <w:b/>
          <w:bCs/>
          <w:color w:val="000000"/>
          <w:kern w:val="44"/>
          <w:sz w:val="28"/>
          <w:szCs w:val="28"/>
        </w:rPr>
        <w:t>基金投资策略</w:t>
      </w:r>
      <w:r w:rsidR="00F80EE4" w:rsidRPr="007C1C3D">
        <w:rPr>
          <w:rFonts w:ascii="黑体" w:eastAsia="黑体" w:hAnsi="宋体-18030" w:cs="宋体-18030" w:hint="eastAsia"/>
          <w:b/>
          <w:bCs/>
          <w:color w:val="000000"/>
          <w:kern w:val="44"/>
          <w:sz w:val="28"/>
          <w:szCs w:val="28"/>
        </w:rPr>
        <w:t xml:space="preserve"> </w:t>
      </w:r>
    </w:p>
    <w:p w:rsidR="00474106" w:rsidRPr="007C1C3D" w:rsidRDefault="00D958F6" w:rsidP="00286C20">
      <w:pPr>
        <w:ind w:leftChars="1350" w:left="2835" w:firstLineChars="196" w:firstLine="413"/>
        <w:rPr>
          <w:rFonts w:ascii="黑体" w:eastAsia="黑体" w:hAnsi="宋体-18030" w:cs="宋体-18030"/>
          <w:b/>
          <w:bCs/>
          <w:color w:val="003366"/>
          <w:kern w:val="44"/>
          <w:szCs w:val="21"/>
        </w:rPr>
      </w:pPr>
      <w:r w:rsidRPr="007C1C3D">
        <w:rPr>
          <w:rFonts w:ascii="黑体" w:eastAsia="黑体" w:hAnsi="宋体-18030" w:cs="宋体-18030" w:hint="eastAsia"/>
          <w:b/>
          <w:bCs/>
          <w:color w:val="003366"/>
          <w:kern w:val="44"/>
          <w:szCs w:val="21"/>
        </w:rPr>
        <w:t xml:space="preserve"> </w:t>
      </w:r>
      <w:r w:rsidR="00286C20" w:rsidRPr="007C1C3D">
        <w:rPr>
          <w:rFonts w:ascii="黑体" w:eastAsia="黑体" w:hAnsi="宋体-18030" w:cs="宋体-18030" w:hint="eastAsia"/>
          <w:b/>
          <w:bCs/>
          <w:color w:val="003366"/>
          <w:kern w:val="44"/>
          <w:szCs w:val="21"/>
        </w:rPr>
        <w:t>“经济增长减弱”和“政策推进”</w:t>
      </w:r>
      <w:r>
        <w:rPr>
          <w:rFonts w:ascii="黑体" w:eastAsia="黑体" w:hAnsi="宋体-18030" w:cs="宋体-18030" w:hint="eastAsia"/>
          <w:b/>
          <w:bCs/>
          <w:color w:val="003366"/>
          <w:kern w:val="44"/>
          <w:szCs w:val="21"/>
        </w:rPr>
        <w:t>继续主导市场演绎</w:t>
      </w:r>
    </w:p>
    <w:p w:rsidR="003866C5" w:rsidRPr="007C1C3D" w:rsidRDefault="003866C5" w:rsidP="009F47BF">
      <w:pPr>
        <w:ind w:leftChars="1350" w:left="2835" w:firstLineChars="202" w:firstLine="424"/>
        <w:rPr>
          <w:rFonts w:ascii="楷体_GB2312" w:eastAsia="楷体_GB2312" w:hAnsi="宋体" w:cs="宋体" w:hint="eastAsia"/>
          <w:kern w:val="0"/>
          <w:szCs w:val="21"/>
        </w:rPr>
      </w:pPr>
      <w:r w:rsidRPr="007C1C3D">
        <w:rPr>
          <w:rFonts w:ascii="楷体_GB2312" w:eastAsia="楷体_GB2312" w:hAnsi="宋体" w:cs="宋体" w:hint="eastAsia"/>
          <w:kern w:val="0"/>
          <w:szCs w:val="21"/>
        </w:rPr>
        <w:t>当前欧元区信息显示欧元区债务危机对市场的影响或许已经在今年有所缓解，但市场人</w:t>
      </w:r>
      <w:r>
        <w:rPr>
          <w:rFonts w:ascii="楷体_GB2312" w:eastAsia="楷体_GB2312" w:hAnsi="宋体" w:cs="宋体" w:hint="eastAsia"/>
          <w:kern w:val="0"/>
          <w:szCs w:val="21"/>
        </w:rPr>
        <w:t>士认为</w:t>
      </w:r>
      <w:r w:rsidRPr="00BF13D8">
        <w:rPr>
          <w:rFonts w:ascii="楷体_GB2312" w:eastAsia="楷体_GB2312" w:hAnsi="宋体" w:cs="宋体" w:hint="eastAsia"/>
          <w:kern w:val="0"/>
          <w:szCs w:val="21"/>
        </w:rPr>
        <w:t>2014年欧元区或面临反欧洲一体化政治力量的干扰，这使得欧元区国家实现结构性改革更为困难。</w:t>
      </w:r>
      <w:r>
        <w:rPr>
          <w:rFonts w:ascii="楷体_GB2312" w:eastAsia="楷体_GB2312" w:hAnsi="宋体" w:cs="宋体" w:hint="eastAsia"/>
          <w:kern w:val="0"/>
          <w:szCs w:val="21"/>
        </w:rPr>
        <w:t>更多的人相信2014年全球经济的希望将在美国，在摆脱美国的政治僵局之后，美国</w:t>
      </w:r>
      <w:r w:rsidR="00842E7E">
        <w:rPr>
          <w:rFonts w:ascii="楷体_GB2312" w:eastAsia="楷体_GB2312" w:hAnsi="宋体" w:cs="宋体" w:hint="eastAsia"/>
          <w:kern w:val="0"/>
          <w:szCs w:val="21"/>
        </w:rPr>
        <w:t>经济</w:t>
      </w:r>
      <w:r>
        <w:rPr>
          <w:rFonts w:ascii="楷体_GB2312" w:eastAsia="楷体_GB2312" w:hAnsi="宋体" w:cs="宋体" w:hint="eastAsia"/>
          <w:kern w:val="0"/>
          <w:szCs w:val="21"/>
        </w:rPr>
        <w:t>有望加快增长，</w:t>
      </w:r>
      <w:r w:rsidR="00842E7E">
        <w:rPr>
          <w:rFonts w:ascii="楷体_GB2312" w:eastAsia="楷体_GB2312" w:hAnsi="宋体" w:cs="宋体" w:hint="eastAsia"/>
          <w:kern w:val="0"/>
          <w:szCs w:val="21"/>
        </w:rPr>
        <w:t>但良好的经济使得美国迈开</w:t>
      </w:r>
      <w:r w:rsidR="00842E7E" w:rsidRPr="001F034C">
        <w:rPr>
          <w:rFonts w:ascii="楷体_GB2312" w:eastAsia="楷体_GB2312" w:hAnsi="宋体" w:cs="宋体" w:hint="eastAsia"/>
          <w:kern w:val="0"/>
          <w:szCs w:val="21"/>
        </w:rPr>
        <w:t>缩减QE</w:t>
      </w:r>
      <w:r w:rsidR="00842E7E">
        <w:rPr>
          <w:rFonts w:ascii="楷体_GB2312" w:eastAsia="楷体_GB2312" w:hAnsi="宋体" w:cs="宋体" w:hint="eastAsia"/>
          <w:kern w:val="0"/>
          <w:szCs w:val="21"/>
        </w:rPr>
        <w:t>步伐，</w:t>
      </w:r>
      <w:r w:rsidR="00F81A04">
        <w:rPr>
          <w:rFonts w:ascii="楷体_GB2312" w:eastAsia="楷体_GB2312" w:hAnsi="宋体" w:cs="宋体" w:hint="eastAsia"/>
          <w:kern w:val="0"/>
          <w:szCs w:val="21"/>
        </w:rPr>
        <w:t>但美国缩减和退出QE的力度和步伐将影响全球市场稳定。</w:t>
      </w:r>
    </w:p>
    <w:p w:rsidR="002D376D" w:rsidRPr="007C1C3D" w:rsidRDefault="00AB2E96" w:rsidP="00B53654">
      <w:pPr>
        <w:ind w:leftChars="1350" w:left="2835" w:firstLineChars="202" w:firstLine="424"/>
        <w:rPr>
          <w:rFonts w:ascii="楷体_GB2312" w:eastAsia="楷体_GB2312" w:hAnsi="宋体" w:cs="宋体"/>
          <w:kern w:val="0"/>
          <w:szCs w:val="21"/>
        </w:rPr>
      </w:pPr>
      <w:r w:rsidRPr="007C1C3D">
        <w:rPr>
          <w:rFonts w:ascii="楷体_GB2312" w:eastAsia="楷体_GB2312" w:hAnsi="宋体" w:cs="宋体" w:hint="eastAsia"/>
          <w:kern w:val="0"/>
          <w:szCs w:val="21"/>
        </w:rPr>
        <w:t>美国缩减QE</w:t>
      </w:r>
      <w:r w:rsidR="00B53654" w:rsidRPr="007C1C3D">
        <w:rPr>
          <w:rFonts w:ascii="楷体_GB2312" w:eastAsia="楷体_GB2312" w:hAnsi="宋体" w:cs="宋体" w:hint="eastAsia"/>
          <w:kern w:val="0"/>
          <w:szCs w:val="21"/>
        </w:rPr>
        <w:t>使得</w:t>
      </w:r>
      <w:r w:rsidRPr="007C1C3D">
        <w:rPr>
          <w:rFonts w:ascii="楷体_GB2312" w:eastAsia="楷体_GB2312" w:hAnsi="宋体" w:cs="宋体" w:hint="eastAsia"/>
          <w:kern w:val="0"/>
          <w:szCs w:val="21"/>
        </w:rPr>
        <w:t>中国在内的新兴市场仍然面临资金流出</w:t>
      </w:r>
      <w:r w:rsidR="00941315" w:rsidRPr="007C1C3D">
        <w:rPr>
          <w:rFonts w:ascii="楷体_GB2312" w:eastAsia="楷体_GB2312" w:hAnsi="宋体" w:cs="宋体" w:hint="eastAsia"/>
          <w:kern w:val="0"/>
          <w:szCs w:val="21"/>
        </w:rPr>
        <w:t>压力。此外，当前</w:t>
      </w:r>
      <w:r w:rsidR="006A2A31" w:rsidRPr="007C1C3D">
        <w:rPr>
          <w:rFonts w:ascii="楷体_GB2312" w:eastAsia="楷体_GB2312" w:hAnsi="宋体" w:cs="宋体" w:hint="eastAsia"/>
          <w:kern w:val="0"/>
          <w:szCs w:val="21"/>
        </w:rPr>
        <w:t>数据</w:t>
      </w:r>
      <w:r w:rsidR="002D376D" w:rsidRPr="007C1C3D">
        <w:rPr>
          <w:rFonts w:ascii="楷体_GB2312" w:eastAsia="楷体_GB2312" w:hAnsi="宋体" w:cs="宋体" w:hint="eastAsia"/>
          <w:kern w:val="0"/>
          <w:szCs w:val="21"/>
        </w:rPr>
        <w:t>显示中国经济</w:t>
      </w:r>
      <w:r w:rsidR="007B31B6" w:rsidRPr="007C1C3D">
        <w:rPr>
          <w:rFonts w:ascii="楷体_GB2312" w:eastAsia="楷体_GB2312" w:hAnsi="宋体" w:cs="宋体" w:hint="eastAsia"/>
          <w:kern w:val="0"/>
          <w:szCs w:val="21"/>
        </w:rPr>
        <w:t>仍然面临巨大</w:t>
      </w:r>
      <w:r w:rsidR="009F26DF" w:rsidRPr="007C1C3D">
        <w:rPr>
          <w:rFonts w:ascii="楷体_GB2312" w:eastAsia="楷体_GB2312" w:hAnsi="宋体" w:cs="宋体" w:hint="eastAsia"/>
          <w:kern w:val="0"/>
          <w:szCs w:val="21"/>
        </w:rPr>
        <w:t>挑战，经济增长势头有减弱</w:t>
      </w:r>
      <w:r w:rsidR="00C87D9B" w:rsidRPr="007C1C3D">
        <w:rPr>
          <w:rFonts w:ascii="楷体_GB2312" w:eastAsia="楷体_GB2312" w:hAnsi="宋体" w:cs="宋体" w:hint="eastAsia"/>
          <w:kern w:val="0"/>
          <w:szCs w:val="21"/>
        </w:rPr>
        <w:t>危险</w:t>
      </w:r>
      <w:r w:rsidR="009F26DF" w:rsidRPr="007C1C3D">
        <w:rPr>
          <w:rFonts w:ascii="楷体_GB2312" w:eastAsia="楷体_GB2312" w:hAnsi="宋体" w:cs="宋体" w:hint="eastAsia"/>
          <w:kern w:val="0"/>
          <w:szCs w:val="21"/>
        </w:rPr>
        <w:t>，</w:t>
      </w:r>
      <w:r w:rsidR="00B53654" w:rsidRPr="007C1C3D">
        <w:rPr>
          <w:rFonts w:ascii="楷体_GB2312" w:eastAsia="楷体_GB2312" w:hAnsi="宋体" w:cs="宋体" w:hint="eastAsia"/>
          <w:kern w:val="0"/>
          <w:szCs w:val="21"/>
        </w:rPr>
        <w:t>这种迹象甚至逐渐明显。由于政府去杠杆化决心不改，</w:t>
      </w:r>
      <w:r w:rsidR="009F26DF" w:rsidRPr="007C1C3D">
        <w:rPr>
          <w:rFonts w:ascii="楷体_GB2312" w:eastAsia="楷体_GB2312" w:hAnsi="宋体" w:cs="宋体" w:hint="eastAsia"/>
          <w:kern w:val="0"/>
          <w:szCs w:val="21"/>
        </w:rPr>
        <w:t>市场资金偏紧的局面将在未来一段市场继续维持，这对权益市场形成巨大压力。</w:t>
      </w:r>
      <w:r w:rsidR="00B54CFF">
        <w:rPr>
          <w:rFonts w:ascii="楷体_GB2312" w:eastAsia="楷体_GB2312" w:hAnsi="宋体" w:cs="宋体" w:hint="eastAsia"/>
          <w:kern w:val="0"/>
          <w:szCs w:val="21"/>
        </w:rPr>
        <w:t>但改革步伐</w:t>
      </w:r>
      <w:r w:rsidR="00290A0F">
        <w:rPr>
          <w:rFonts w:ascii="楷体_GB2312" w:eastAsia="楷体_GB2312" w:hAnsi="宋体" w:cs="宋体" w:hint="eastAsia"/>
          <w:kern w:val="0"/>
          <w:szCs w:val="21"/>
        </w:rPr>
        <w:t>在加速推进，政策热点将不断涌现。</w:t>
      </w:r>
      <w:r w:rsidR="000B69C4" w:rsidRPr="007C1C3D">
        <w:rPr>
          <w:rFonts w:ascii="楷体_GB2312" w:eastAsia="楷体_GB2312" w:hAnsi="宋体" w:cs="宋体" w:hint="eastAsia"/>
          <w:kern w:val="0"/>
          <w:szCs w:val="21"/>
        </w:rPr>
        <w:t>整体来看，</w:t>
      </w:r>
      <w:r w:rsidR="007C1C3D">
        <w:rPr>
          <w:rFonts w:ascii="楷体_GB2312" w:eastAsia="楷体_GB2312" w:hAnsi="宋体" w:cs="宋体" w:hint="eastAsia"/>
          <w:kern w:val="0"/>
          <w:szCs w:val="21"/>
        </w:rPr>
        <w:t>我们维持上期判断，</w:t>
      </w:r>
      <w:r w:rsidR="000B69C4" w:rsidRPr="007C1C3D">
        <w:rPr>
          <w:rFonts w:ascii="楷体_GB2312" w:eastAsia="楷体_GB2312" w:hAnsi="宋体" w:cs="宋体" w:hint="eastAsia"/>
          <w:kern w:val="0"/>
          <w:szCs w:val="21"/>
        </w:rPr>
        <w:t>短期市场或在“经济</w:t>
      </w:r>
      <w:r w:rsidR="00C87D9B" w:rsidRPr="007C1C3D">
        <w:rPr>
          <w:rFonts w:ascii="楷体_GB2312" w:eastAsia="楷体_GB2312" w:hAnsi="宋体" w:cs="宋体" w:hint="eastAsia"/>
          <w:kern w:val="0"/>
          <w:szCs w:val="21"/>
        </w:rPr>
        <w:t>增长减弱</w:t>
      </w:r>
      <w:r w:rsidR="000B69C4" w:rsidRPr="007C1C3D">
        <w:rPr>
          <w:rFonts w:ascii="楷体_GB2312" w:eastAsia="楷体_GB2312" w:hAnsi="宋体" w:cs="宋体" w:hint="eastAsia"/>
          <w:kern w:val="0"/>
          <w:szCs w:val="21"/>
        </w:rPr>
        <w:t>”和“政策推进”两种力量之间震荡</w:t>
      </w:r>
      <w:r w:rsidR="005A024A" w:rsidRPr="007C1C3D">
        <w:rPr>
          <w:rFonts w:ascii="楷体_GB2312" w:eastAsia="楷体_GB2312" w:hAnsi="宋体" w:cs="宋体" w:hint="eastAsia"/>
          <w:kern w:val="0"/>
          <w:szCs w:val="21"/>
        </w:rPr>
        <w:t>，结构性机会将频繁出现</w:t>
      </w:r>
      <w:r w:rsidR="000B69C4" w:rsidRPr="007C1C3D">
        <w:rPr>
          <w:rFonts w:ascii="楷体_GB2312" w:eastAsia="楷体_GB2312" w:hAnsi="宋体" w:cs="宋体" w:hint="eastAsia"/>
          <w:kern w:val="0"/>
          <w:szCs w:val="21"/>
        </w:rPr>
        <w:t>。</w:t>
      </w:r>
    </w:p>
    <w:p w:rsidR="00CD7632" w:rsidRPr="009B555E" w:rsidRDefault="00E22B59" w:rsidP="00286C20">
      <w:pPr>
        <w:ind w:leftChars="1350" w:left="2835" w:firstLineChars="196" w:firstLine="413"/>
        <w:rPr>
          <w:rFonts w:ascii="黑体" w:eastAsia="黑体" w:hAnsi="宋体-18030" w:cs="宋体-18030"/>
          <w:b/>
          <w:bCs/>
          <w:color w:val="003366"/>
          <w:kern w:val="44"/>
          <w:szCs w:val="21"/>
        </w:rPr>
      </w:pPr>
      <w:r>
        <w:rPr>
          <w:rFonts w:ascii="黑体" w:eastAsia="黑体" w:hAnsi="宋体-18030" w:cs="宋体-18030" w:hint="eastAsia"/>
          <w:b/>
          <w:bCs/>
          <w:color w:val="003366"/>
          <w:kern w:val="44"/>
          <w:szCs w:val="21"/>
        </w:rPr>
        <w:t>基金配置重在</w:t>
      </w:r>
      <w:r w:rsidR="004A634E">
        <w:rPr>
          <w:rFonts w:ascii="黑体" w:eastAsia="黑体" w:hAnsi="宋体-18030" w:cs="宋体-18030" w:hint="eastAsia"/>
          <w:b/>
          <w:bCs/>
          <w:color w:val="003366"/>
          <w:kern w:val="44"/>
          <w:szCs w:val="21"/>
        </w:rPr>
        <w:t>行业把握能力和选股能力</w:t>
      </w:r>
    </w:p>
    <w:p w:rsidR="001B6499" w:rsidRPr="009B555E" w:rsidRDefault="009B555E" w:rsidP="001B6499">
      <w:pPr>
        <w:ind w:leftChars="1350" w:left="2835" w:firstLineChars="202" w:firstLine="424"/>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我们认为，本月市场演绎基础未发生改变，</w:t>
      </w:r>
      <w:r w:rsidR="002C106C">
        <w:rPr>
          <w:rFonts w:ascii="楷体_GB2312" w:eastAsia="楷体_GB2312" w:hAnsi="宋体" w:cs="宋体" w:hint="eastAsia"/>
          <w:color w:val="000000"/>
          <w:kern w:val="0"/>
          <w:szCs w:val="21"/>
        </w:rPr>
        <w:t>“</w:t>
      </w:r>
      <w:r w:rsidR="00547B23" w:rsidRPr="009B555E">
        <w:rPr>
          <w:rFonts w:ascii="楷体_GB2312" w:eastAsia="楷体_GB2312" w:hAnsi="宋体" w:cs="宋体" w:hint="eastAsia"/>
          <w:color w:val="000000"/>
          <w:kern w:val="0"/>
          <w:szCs w:val="21"/>
        </w:rPr>
        <w:t>经济</w:t>
      </w:r>
      <w:r w:rsidR="00C87D9B" w:rsidRPr="009B555E">
        <w:rPr>
          <w:rFonts w:ascii="楷体_GB2312" w:eastAsia="楷体_GB2312" w:hAnsi="宋体" w:cs="宋体" w:hint="eastAsia"/>
          <w:kern w:val="0"/>
          <w:szCs w:val="21"/>
        </w:rPr>
        <w:t>增长减弱</w:t>
      </w:r>
      <w:r w:rsidR="002C106C">
        <w:rPr>
          <w:rFonts w:ascii="楷体_GB2312" w:eastAsia="楷体_GB2312" w:hAnsi="宋体" w:cs="宋体" w:hint="eastAsia"/>
          <w:color w:val="000000"/>
          <w:kern w:val="0"/>
          <w:szCs w:val="21"/>
        </w:rPr>
        <w:t>”和“政策推进”将继续主导市场</w:t>
      </w:r>
      <w:r w:rsidR="002C106C">
        <w:rPr>
          <w:rFonts w:ascii="楷体_GB2312" w:eastAsia="楷体_GB2312" w:hAnsi="宋体" w:cs="宋体" w:hint="eastAsia"/>
          <w:kern w:val="0"/>
          <w:szCs w:val="21"/>
        </w:rPr>
        <w:t>演绎</w:t>
      </w:r>
      <w:r w:rsidR="0080356E" w:rsidRPr="009B555E">
        <w:rPr>
          <w:rFonts w:ascii="楷体_GB2312" w:eastAsia="楷体_GB2312" w:hAnsi="宋体" w:cs="宋体" w:hint="eastAsia"/>
          <w:color w:val="000000"/>
          <w:kern w:val="0"/>
          <w:szCs w:val="21"/>
        </w:rPr>
        <w:t>，</w:t>
      </w:r>
      <w:r w:rsidR="00547B23" w:rsidRPr="009B555E">
        <w:rPr>
          <w:rFonts w:ascii="楷体_GB2312" w:eastAsia="楷体_GB2312" w:hAnsi="宋体" w:cs="宋体" w:hint="eastAsia"/>
          <w:color w:val="000000"/>
          <w:kern w:val="0"/>
          <w:szCs w:val="21"/>
        </w:rPr>
        <w:t>建议中低风险投资者本月</w:t>
      </w:r>
      <w:r w:rsidR="002C106C">
        <w:rPr>
          <w:rFonts w:ascii="楷体_GB2312" w:eastAsia="楷体_GB2312" w:hAnsi="宋体" w:cs="宋体" w:hint="eastAsia"/>
          <w:color w:val="000000"/>
          <w:kern w:val="0"/>
          <w:szCs w:val="21"/>
        </w:rPr>
        <w:t>继续</w:t>
      </w:r>
      <w:r w:rsidR="00547B23" w:rsidRPr="009B555E">
        <w:rPr>
          <w:rFonts w:ascii="楷体_GB2312" w:eastAsia="楷体_GB2312" w:hAnsi="宋体" w:cs="宋体" w:hint="eastAsia"/>
          <w:color w:val="000000"/>
          <w:kern w:val="0"/>
          <w:szCs w:val="21"/>
        </w:rPr>
        <w:t>适当控制组合风险，回避市场调整压力，</w:t>
      </w:r>
      <w:r w:rsidR="001B6499" w:rsidRPr="009B555E">
        <w:rPr>
          <w:rFonts w:ascii="楷体_GB2312" w:eastAsia="楷体_GB2312" w:hAnsi="宋体" w:cs="宋体" w:hint="eastAsia"/>
          <w:color w:val="000000"/>
          <w:kern w:val="0"/>
          <w:szCs w:val="21"/>
        </w:rPr>
        <w:t>等待更好时机的到来。</w:t>
      </w:r>
      <w:r w:rsidR="00547B23" w:rsidRPr="009B555E">
        <w:rPr>
          <w:rFonts w:ascii="楷体_GB2312" w:eastAsia="楷体_GB2312" w:hAnsi="宋体" w:cs="宋体" w:hint="eastAsia"/>
          <w:color w:val="000000"/>
          <w:kern w:val="0"/>
          <w:szCs w:val="21"/>
        </w:rPr>
        <w:t>建议高风险偏好者</w:t>
      </w:r>
      <w:r w:rsidR="002C106C">
        <w:rPr>
          <w:rFonts w:ascii="楷体_GB2312" w:eastAsia="楷体_GB2312" w:hAnsi="宋体" w:cs="宋体" w:hint="eastAsia"/>
          <w:color w:val="000000"/>
          <w:kern w:val="0"/>
          <w:szCs w:val="21"/>
        </w:rPr>
        <w:t>保持</w:t>
      </w:r>
      <w:r w:rsidR="001B6499" w:rsidRPr="009B555E">
        <w:rPr>
          <w:rFonts w:ascii="楷体_GB2312" w:eastAsia="楷体_GB2312" w:hAnsi="宋体" w:cs="宋体" w:hint="eastAsia"/>
          <w:color w:val="000000"/>
          <w:kern w:val="0"/>
          <w:szCs w:val="21"/>
        </w:rPr>
        <w:t>市场关注度，积极把握政策推进所带来的丰富结构性</w:t>
      </w:r>
      <w:r w:rsidR="001B6499" w:rsidRPr="009B555E">
        <w:rPr>
          <w:rFonts w:ascii="楷体_GB2312" w:eastAsia="楷体_GB2312" w:hAnsi="宋体" w:cs="宋体" w:hint="eastAsia"/>
          <w:color w:val="000000"/>
          <w:kern w:val="0"/>
          <w:szCs w:val="21"/>
        </w:rPr>
        <w:lastRenderedPageBreak/>
        <w:t>投资机会。</w:t>
      </w:r>
    </w:p>
    <w:p w:rsidR="00D96BA1" w:rsidRDefault="0080356E" w:rsidP="001E2CE9">
      <w:pPr>
        <w:ind w:leftChars="1350" w:left="2835" w:firstLineChars="202" w:firstLine="424"/>
        <w:rPr>
          <w:rFonts w:ascii="楷体_GB2312" w:eastAsia="楷体_GB2312" w:hAnsi="宋体" w:cs="宋体" w:hint="eastAsia"/>
          <w:kern w:val="0"/>
          <w:szCs w:val="21"/>
        </w:rPr>
      </w:pPr>
      <w:r w:rsidRPr="001D4266">
        <w:rPr>
          <w:rFonts w:ascii="楷体_GB2312" w:eastAsia="楷体_GB2312" w:hAnsi="宋体" w:cs="宋体" w:hint="eastAsia"/>
          <w:kern w:val="0"/>
          <w:szCs w:val="21"/>
        </w:rPr>
        <w:t>权益类基金方面，</w:t>
      </w:r>
      <w:r w:rsidR="001D4266" w:rsidRPr="001D4266">
        <w:rPr>
          <w:rFonts w:ascii="楷体_GB2312" w:eastAsia="楷体_GB2312" w:hAnsi="宋体" w:cs="宋体" w:hint="eastAsia"/>
          <w:kern w:val="0"/>
          <w:szCs w:val="21"/>
        </w:rPr>
        <w:t>考虑到经济和流动性对市场的巨大压力，短期主板市场仍然难有表现，</w:t>
      </w:r>
      <w:r w:rsidR="001E2CE9">
        <w:rPr>
          <w:rFonts w:ascii="楷体_GB2312" w:eastAsia="楷体_GB2312" w:hAnsi="宋体" w:cs="宋体" w:hint="eastAsia"/>
          <w:kern w:val="0"/>
          <w:szCs w:val="21"/>
        </w:rPr>
        <w:t>市场风格演绎仍将以成长板块为主，</w:t>
      </w:r>
      <w:r w:rsidR="001F3351" w:rsidRPr="001D4266">
        <w:rPr>
          <w:rFonts w:ascii="楷体_GB2312" w:eastAsia="楷体_GB2312" w:hAnsi="宋体" w:cs="宋体" w:hint="eastAsia"/>
          <w:kern w:val="0"/>
          <w:szCs w:val="21"/>
        </w:rPr>
        <w:t>市场投资机会仍将</w:t>
      </w:r>
      <w:r w:rsidR="001D4266" w:rsidRPr="001D4266">
        <w:rPr>
          <w:rFonts w:ascii="楷体_GB2312" w:eastAsia="楷体_GB2312" w:hAnsi="宋体" w:cs="宋体" w:hint="eastAsia"/>
          <w:kern w:val="0"/>
          <w:szCs w:val="21"/>
        </w:rPr>
        <w:t>为由</w:t>
      </w:r>
      <w:r w:rsidR="001F3351" w:rsidRPr="001D4266">
        <w:rPr>
          <w:rFonts w:ascii="楷体_GB2312" w:eastAsia="楷体_GB2312" w:hAnsi="宋体" w:cs="宋体" w:hint="eastAsia"/>
          <w:kern w:val="0"/>
          <w:szCs w:val="21"/>
        </w:rPr>
        <w:t>政策主导</w:t>
      </w:r>
      <w:r w:rsidR="001D4266" w:rsidRPr="001D4266">
        <w:rPr>
          <w:rFonts w:ascii="楷体_GB2312" w:eastAsia="楷体_GB2312" w:hAnsi="宋体" w:cs="宋体" w:hint="eastAsia"/>
          <w:kern w:val="0"/>
          <w:szCs w:val="21"/>
        </w:rPr>
        <w:t>的结构性机会</w:t>
      </w:r>
      <w:r w:rsidR="001F3351" w:rsidRPr="001D4266">
        <w:rPr>
          <w:rFonts w:ascii="楷体_GB2312" w:eastAsia="楷体_GB2312" w:hAnsi="宋体" w:cs="宋体" w:hint="eastAsia"/>
          <w:kern w:val="0"/>
          <w:szCs w:val="21"/>
        </w:rPr>
        <w:t>，建议投资者继续沿着政策方向精选投资灵活、行业把握能力强的成长类绩优基金，把握主题性投资机会。</w:t>
      </w:r>
      <w:r w:rsidR="004A634E">
        <w:rPr>
          <w:rFonts w:ascii="楷体_GB2312" w:eastAsia="楷体_GB2312" w:hAnsi="宋体" w:cs="宋体" w:hint="eastAsia"/>
          <w:kern w:val="0"/>
          <w:szCs w:val="21"/>
        </w:rPr>
        <w:t>另一方面，弱市背景下，投资收益主要源于个股的表现，建议投资</w:t>
      </w:r>
      <w:r w:rsidR="0098168F">
        <w:rPr>
          <w:rFonts w:ascii="楷体_GB2312" w:eastAsia="楷体_GB2312" w:hAnsi="宋体" w:cs="宋体" w:hint="eastAsia"/>
          <w:kern w:val="0"/>
          <w:szCs w:val="21"/>
        </w:rPr>
        <w:t>积极</w:t>
      </w:r>
      <w:r w:rsidR="004A634E">
        <w:rPr>
          <w:rFonts w:ascii="楷体_GB2312" w:eastAsia="楷体_GB2312" w:hAnsi="宋体" w:cs="宋体" w:hint="eastAsia"/>
          <w:kern w:val="0"/>
          <w:szCs w:val="21"/>
        </w:rPr>
        <w:t>关注选股能力更强的绩优基金</w:t>
      </w:r>
      <w:r w:rsidR="001E2CE9">
        <w:rPr>
          <w:rFonts w:ascii="楷体_GB2312" w:eastAsia="楷体_GB2312" w:hAnsi="宋体" w:cs="宋体" w:hint="eastAsia"/>
          <w:kern w:val="0"/>
          <w:szCs w:val="21"/>
        </w:rPr>
        <w:t>。</w:t>
      </w:r>
      <w:r w:rsidR="004A634E">
        <w:rPr>
          <w:rFonts w:ascii="楷体_GB2312" w:eastAsia="楷体_GB2312" w:hAnsi="宋体" w:cs="宋体" w:hint="eastAsia"/>
          <w:kern w:val="0"/>
          <w:szCs w:val="21"/>
        </w:rPr>
        <w:t>此外，</w:t>
      </w:r>
      <w:r w:rsidR="00A93615">
        <w:rPr>
          <w:rFonts w:ascii="楷体_GB2312" w:eastAsia="楷体_GB2312" w:hAnsi="宋体" w:cs="宋体" w:hint="eastAsia"/>
          <w:kern w:val="0"/>
          <w:szCs w:val="21"/>
        </w:rPr>
        <w:t>创业板走势向好，但我们坚持认为，当前的高估值决定</w:t>
      </w:r>
      <w:r w:rsidR="00A93615" w:rsidRPr="001E2CE9">
        <w:rPr>
          <w:rFonts w:ascii="楷体_GB2312" w:eastAsia="楷体_GB2312" w:hAnsi="宋体" w:cs="宋体" w:hint="eastAsia"/>
          <w:kern w:val="0"/>
          <w:szCs w:val="21"/>
        </w:rPr>
        <w:t>创业板风险远大于机会</w:t>
      </w:r>
      <w:r w:rsidR="004A634E">
        <w:rPr>
          <w:rFonts w:ascii="楷体_GB2312" w:eastAsia="楷体_GB2312" w:hAnsi="宋体" w:cs="宋体" w:hint="eastAsia"/>
          <w:kern w:val="0"/>
          <w:szCs w:val="21"/>
        </w:rPr>
        <w:t>，建议投资者对相应基金保持谨慎。</w:t>
      </w:r>
    </w:p>
    <w:p w:rsidR="006C3313" w:rsidRPr="002C106C" w:rsidRDefault="0080356E" w:rsidP="00D05AD8">
      <w:pPr>
        <w:ind w:leftChars="1350" w:left="2835" w:firstLineChars="202" w:firstLine="424"/>
        <w:rPr>
          <w:rFonts w:ascii="楷体_GB2312" w:eastAsia="楷体_GB2312" w:hAnsi="宋体" w:cs="宋体"/>
          <w:kern w:val="0"/>
          <w:szCs w:val="21"/>
        </w:rPr>
      </w:pPr>
      <w:r w:rsidRPr="002C106C">
        <w:rPr>
          <w:rFonts w:ascii="楷体_GB2312" w:eastAsia="楷体_GB2312" w:hAnsi="宋体" w:cs="宋体" w:hint="eastAsia"/>
          <w:kern w:val="0"/>
          <w:szCs w:val="21"/>
        </w:rPr>
        <w:t>固定收益率基金方面，</w:t>
      </w:r>
      <w:r w:rsidR="006C3313" w:rsidRPr="002C106C">
        <w:rPr>
          <w:rFonts w:ascii="楷体_GB2312" w:eastAsia="楷体_GB2312" w:hAnsi="宋体" w:cs="宋体" w:hint="eastAsia"/>
          <w:kern w:val="0"/>
          <w:szCs w:val="21"/>
        </w:rPr>
        <w:t>我们</w:t>
      </w:r>
      <w:r w:rsidR="002C106C">
        <w:rPr>
          <w:rFonts w:ascii="楷体_GB2312" w:eastAsia="楷体_GB2312" w:hAnsi="宋体" w:cs="宋体" w:hint="eastAsia"/>
          <w:kern w:val="0"/>
          <w:szCs w:val="21"/>
        </w:rPr>
        <w:t>维持上月判断，</w:t>
      </w:r>
      <w:r w:rsidR="006C3313" w:rsidRPr="002C106C">
        <w:rPr>
          <w:rFonts w:ascii="楷体_GB2312" w:eastAsia="楷体_GB2312" w:hAnsi="宋体" w:cs="宋体" w:hint="eastAsia"/>
          <w:kern w:val="0"/>
          <w:szCs w:val="21"/>
        </w:rPr>
        <w:t>预期市场资金有望维持偏紧的局面，</w:t>
      </w:r>
      <w:r w:rsidR="00D05AD8" w:rsidRPr="002C106C">
        <w:rPr>
          <w:rFonts w:ascii="楷体_GB2312" w:eastAsia="楷体_GB2312" w:hAnsi="宋体" w:cs="宋体" w:hint="eastAsia"/>
          <w:kern w:val="0"/>
          <w:szCs w:val="21"/>
        </w:rPr>
        <w:t>且</w:t>
      </w:r>
      <w:r w:rsidR="006C3313" w:rsidRPr="002C106C">
        <w:rPr>
          <w:rFonts w:ascii="楷体_GB2312" w:eastAsia="楷体_GB2312" w:hAnsi="宋体" w:cs="宋体" w:hint="eastAsia"/>
          <w:kern w:val="0"/>
          <w:szCs w:val="21"/>
        </w:rPr>
        <w:t>宏观经济</w:t>
      </w:r>
      <w:r w:rsidR="00C87D9B" w:rsidRPr="002C106C">
        <w:rPr>
          <w:rFonts w:ascii="楷体_GB2312" w:eastAsia="楷体_GB2312" w:hAnsi="宋体" w:cs="宋体" w:hint="eastAsia"/>
          <w:kern w:val="0"/>
          <w:szCs w:val="21"/>
        </w:rPr>
        <w:t>的增长和通胀上行</w:t>
      </w:r>
      <w:r w:rsidR="00D05AD8" w:rsidRPr="002C106C">
        <w:rPr>
          <w:rFonts w:ascii="楷体_GB2312" w:eastAsia="楷体_GB2312" w:hAnsi="宋体" w:cs="宋体" w:hint="eastAsia"/>
          <w:kern w:val="0"/>
          <w:szCs w:val="21"/>
        </w:rPr>
        <w:t>或支撑债券市场收益率抬升，</w:t>
      </w:r>
      <w:r w:rsidR="006C3313" w:rsidRPr="002C106C">
        <w:rPr>
          <w:rFonts w:ascii="楷体_GB2312" w:eastAsia="楷体_GB2312" w:hAnsi="宋体" w:cs="宋体" w:hint="eastAsia"/>
          <w:kern w:val="0"/>
          <w:szCs w:val="21"/>
        </w:rPr>
        <w:t>建议投资者在认清风险的情况下可适当参与债券型基金的投资。鉴于当前</w:t>
      </w:r>
      <w:r w:rsidR="00812FE3" w:rsidRPr="002C106C">
        <w:rPr>
          <w:rFonts w:ascii="楷体_GB2312" w:eastAsia="楷体_GB2312" w:hAnsi="宋体" w:cs="宋体" w:hint="eastAsia"/>
          <w:kern w:val="0"/>
          <w:szCs w:val="21"/>
        </w:rPr>
        <w:t>债券市场收益率中枢维持在历史高位水平，</w:t>
      </w:r>
      <w:r w:rsidR="006C3313" w:rsidRPr="002C106C">
        <w:rPr>
          <w:rFonts w:ascii="楷体_GB2312" w:eastAsia="楷体_GB2312" w:hAnsi="宋体" w:cs="宋体" w:hint="eastAsia"/>
          <w:kern w:val="0"/>
          <w:szCs w:val="21"/>
        </w:rPr>
        <w:t>信用利差处于近三年来的较高水平</w:t>
      </w:r>
      <w:r w:rsidR="00812FE3" w:rsidRPr="002C106C">
        <w:rPr>
          <w:rFonts w:ascii="楷体_GB2312" w:eastAsia="楷体_GB2312" w:hAnsi="宋体" w:cs="宋体" w:hint="eastAsia"/>
          <w:kern w:val="0"/>
          <w:szCs w:val="21"/>
        </w:rPr>
        <w:t>，当前</w:t>
      </w:r>
      <w:r w:rsidR="006C3313" w:rsidRPr="002C106C">
        <w:rPr>
          <w:rFonts w:ascii="楷体_GB2312" w:eastAsia="楷体_GB2312" w:hAnsi="宋体" w:cs="宋体" w:hint="eastAsia"/>
          <w:kern w:val="0"/>
          <w:szCs w:val="21"/>
        </w:rPr>
        <w:t>宏观经济的复苏释放了部分信用风险，</w:t>
      </w:r>
      <w:r w:rsidR="00812FE3" w:rsidRPr="002C106C">
        <w:rPr>
          <w:rFonts w:ascii="楷体_GB2312" w:eastAsia="楷体_GB2312" w:hAnsi="宋体" w:cs="宋体" w:hint="eastAsia"/>
          <w:kern w:val="0"/>
          <w:szCs w:val="21"/>
        </w:rPr>
        <w:t>此外，我们对经济复苏持有较高的信心，经济形势向好则有利于债券市场信用利差扩大，</w:t>
      </w:r>
      <w:r w:rsidR="006C3313" w:rsidRPr="002C106C">
        <w:rPr>
          <w:rFonts w:ascii="楷体_GB2312" w:eastAsia="楷体_GB2312" w:hAnsi="宋体" w:cs="宋体" w:hint="eastAsia"/>
          <w:kern w:val="0"/>
          <w:szCs w:val="21"/>
        </w:rPr>
        <w:t>建议具有一定风险承受能力的投资者关注以高收益信用债为主要投资标的的债券型基金；</w:t>
      </w:r>
      <w:r w:rsidR="001365B3" w:rsidRPr="002C106C">
        <w:rPr>
          <w:rFonts w:ascii="楷体_GB2312" w:eastAsia="楷体_GB2312" w:hAnsi="宋体" w:cs="宋体" w:hint="eastAsia"/>
          <w:kern w:val="0"/>
          <w:szCs w:val="21"/>
        </w:rPr>
        <w:t>建议保守型投资者积极关注市场资金价格持续高企背景下货币市场基金的良好投资机会。</w:t>
      </w:r>
    </w:p>
    <w:p w:rsidR="00973833" w:rsidRDefault="00556FDE" w:rsidP="00F1222E">
      <w:pPr>
        <w:ind w:leftChars="1350" w:left="2835" w:firstLineChars="202" w:firstLine="424"/>
        <w:rPr>
          <w:rFonts w:ascii="楷体_GB2312" w:eastAsia="楷体_GB2312" w:hAnsi="宋体" w:cs="宋体"/>
          <w:kern w:val="0"/>
          <w:szCs w:val="21"/>
        </w:rPr>
      </w:pPr>
      <w:r w:rsidRPr="002C106C">
        <w:rPr>
          <w:rFonts w:ascii="楷体_GB2312" w:eastAsia="楷体_GB2312" w:hAnsi="宋体" w:cs="宋体" w:hint="eastAsia"/>
          <w:kern w:val="0"/>
          <w:szCs w:val="21"/>
        </w:rPr>
        <w:t>QDII方面，</w:t>
      </w:r>
      <w:r w:rsidR="00F1222E" w:rsidRPr="002C106C">
        <w:rPr>
          <w:rFonts w:ascii="楷体_GB2312" w:eastAsia="楷体_GB2312" w:hAnsi="宋体" w:cs="宋体" w:hint="eastAsia"/>
          <w:kern w:val="0"/>
          <w:szCs w:val="21"/>
        </w:rPr>
        <w:t>我们</w:t>
      </w:r>
      <w:r w:rsidR="002C106C">
        <w:rPr>
          <w:rFonts w:ascii="楷体_GB2312" w:eastAsia="楷体_GB2312" w:hAnsi="宋体" w:cs="宋体" w:hint="eastAsia"/>
          <w:kern w:val="0"/>
          <w:szCs w:val="21"/>
        </w:rPr>
        <w:t>维持上月判断，</w:t>
      </w:r>
      <w:r w:rsidR="00F1222E" w:rsidRPr="002C106C">
        <w:rPr>
          <w:rFonts w:ascii="楷体_GB2312" w:eastAsia="楷体_GB2312" w:hAnsi="宋体" w:cs="宋体" w:hint="eastAsia"/>
          <w:kern w:val="0"/>
          <w:szCs w:val="21"/>
        </w:rPr>
        <w:t>仍然看好经济复苏背景下成熟市场的引擎作用，建议投资者侧重于关注基金中主要投资发达国家股票市场，尤其是欧元区市场的QDII，适当回避主要投资新兴市场的QDII所面临的金融波动风险。此外，整体上当前的复苏形势仍然较为脆弱，而短期经济趋于乐观使得美元持续走强，这给以美元计价大宗商品带来巨大调整压力，建议投资者回避资源品、商品类QDII。</w:t>
      </w:r>
    </w:p>
    <w:p w:rsidR="00A808D3" w:rsidRPr="004C1094" w:rsidRDefault="00A3457F" w:rsidP="00985115">
      <w:pPr>
        <w:pageBreakBefore/>
        <w:ind w:leftChars="1350" w:left="2835" w:firstLine="420"/>
        <w:rPr>
          <w:rFonts w:ascii="黑体" w:eastAsia="黑体" w:hAnsi="宋体-18030" w:cs="宋体-18030"/>
          <w:b/>
          <w:bCs/>
          <w:color w:val="000000"/>
          <w:kern w:val="44"/>
          <w:sz w:val="28"/>
          <w:szCs w:val="28"/>
        </w:rPr>
      </w:pPr>
      <w:r w:rsidRPr="004C1094">
        <w:rPr>
          <w:rFonts w:ascii="黑体" w:eastAsia="黑体" w:hAnsi="宋体-18030" w:cs="宋体-18030" w:hint="eastAsia"/>
          <w:b/>
          <w:bCs/>
          <w:color w:val="000000"/>
          <w:kern w:val="44"/>
          <w:sz w:val="28"/>
          <w:szCs w:val="28"/>
        </w:rPr>
        <w:lastRenderedPageBreak/>
        <w:t>基金组合推荐</w:t>
      </w:r>
    </w:p>
    <w:p w:rsidR="00F11C7F" w:rsidRPr="004C1094" w:rsidRDefault="00031764" w:rsidP="00100C8A">
      <w:pPr>
        <w:ind w:leftChars="1350" w:left="2835" w:firstLine="420"/>
        <w:rPr>
          <w:rFonts w:ascii="楷体_GB2312" w:eastAsia="楷体_GB2312"/>
          <w:noProof/>
        </w:rPr>
      </w:pPr>
      <w:r w:rsidRPr="004C1094">
        <w:rPr>
          <w:rFonts w:ascii="楷体_GB2312" w:eastAsia="楷体_GB2312" w:hint="eastAsia"/>
          <w:noProof/>
        </w:rPr>
        <w:t>具体到组合构建上，</w:t>
      </w:r>
      <w:r w:rsidR="005C2E50" w:rsidRPr="004C1094">
        <w:rPr>
          <w:rFonts w:ascii="楷体_GB2312" w:eastAsia="楷体_GB2312" w:hint="eastAsia"/>
          <w:noProof/>
        </w:rPr>
        <w:t>我们在“</w:t>
      </w:r>
      <w:r w:rsidR="0030540B" w:rsidRPr="0030540B">
        <w:rPr>
          <w:rFonts w:ascii="楷体_GB2312" w:eastAsia="楷体_GB2312" w:hint="eastAsia"/>
          <w:noProof/>
        </w:rPr>
        <w:t>兼顾行业把握能力和选股能力</w:t>
      </w:r>
      <w:r w:rsidR="005C2E50" w:rsidRPr="004C1094">
        <w:rPr>
          <w:rFonts w:ascii="楷体_GB2312" w:eastAsia="楷体_GB2312" w:hint="eastAsia"/>
          <w:noProof/>
        </w:rPr>
        <w:t>”的基金投资策略指引下</w:t>
      </w:r>
      <w:r w:rsidR="00A3457F" w:rsidRPr="004C1094">
        <w:rPr>
          <w:rFonts w:ascii="楷体_GB2312" w:eastAsia="楷体_GB2312" w:hint="eastAsia"/>
          <w:noProof/>
        </w:rPr>
        <w:t>，充分考虑资产配置、行业结构、投资风格分散化原则，</w:t>
      </w:r>
      <w:r w:rsidR="00100C8A" w:rsidRPr="004C1094">
        <w:rPr>
          <w:rFonts w:ascii="楷体_GB2312" w:eastAsia="楷体_GB2312" w:hint="eastAsia"/>
          <w:noProof/>
        </w:rPr>
        <w:t>构建投资组合</w:t>
      </w:r>
      <w:r w:rsidR="00A3457F" w:rsidRPr="004C1094">
        <w:rPr>
          <w:rFonts w:ascii="楷体_GB2312" w:eastAsia="楷体_GB2312" w:hint="eastAsia"/>
          <w:noProof/>
        </w:rPr>
        <w:t>以供投资参考。</w:t>
      </w:r>
      <w:r w:rsidR="006268E3">
        <w:rPr>
          <w:rFonts w:ascii="楷体_GB2312" w:eastAsia="楷体_GB2312" w:hint="eastAsia"/>
          <w:noProof/>
        </w:rPr>
        <w:t>本期</w:t>
      </w:r>
      <w:r w:rsidR="002034E5">
        <w:rPr>
          <w:rFonts w:ascii="楷体_GB2312" w:eastAsia="楷体_GB2312" w:hint="eastAsia"/>
          <w:noProof/>
        </w:rPr>
        <w:t>稳健型组合中的天弘永利B调整为建信货币</w:t>
      </w:r>
      <w:r w:rsidR="001F50E0" w:rsidRPr="004C1094">
        <w:rPr>
          <w:rFonts w:ascii="楷体_GB2312" w:eastAsia="楷体_GB2312" w:hint="eastAsia"/>
          <w:noProof/>
        </w:rPr>
        <w:t>。</w:t>
      </w:r>
    </w:p>
    <w:p w:rsidR="005B5148" w:rsidRDefault="005B5148" w:rsidP="00031764">
      <w:pPr>
        <w:ind w:leftChars="1350" w:left="2835" w:firstLine="420"/>
        <w:rPr>
          <w:rFonts w:ascii="楷体_GB2312" w:eastAsia="楷体_GB2312"/>
          <w:noProof/>
          <w:color w:val="000000"/>
        </w:rPr>
      </w:pPr>
      <w:r>
        <w:rPr>
          <w:rFonts w:ascii="楷体_GB2312" w:eastAsia="楷体_GB2312" w:hint="eastAsia"/>
          <w:b/>
          <w:color w:val="000000"/>
        </w:rPr>
        <w:t>表</w:t>
      </w:r>
      <w:r w:rsidRPr="00440C4B">
        <w:rPr>
          <w:rFonts w:ascii="楷体_GB2312" w:eastAsia="楷体_GB2312" w:hint="eastAsia"/>
          <w:b/>
          <w:color w:val="000000"/>
        </w:rPr>
        <w:t>1</w:t>
      </w:r>
      <w:r>
        <w:rPr>
          <w:rFonts w:ascii="楷体_GB2312" w:eastAsia="楷体_GB2312" w:hint="eastAsia"/>
          <w:b/>
          <w:color w:val="000000"/>
        </w:rPr>
        <w:t>上海证券基金评价研究中心基金组合</w:t>
      </w:r>
    </w:p>
    <w:tbl>
      <w:tblPr>
        <w:tblW w:w="5000" w:type="pct"/>
        <w:jc w:val="center"/>
        <w:tblLook w:val="0000"/>
      </w:tblPr>
      <w:tblGrid>
        <w:gridCol w:w="1737"/>
        <w:gridCol w:w="903"/>
        <w:gridCol w:w="709"/>
        <w:gridCol w:w="1736"/>
        <w:gridCol w:w="903"/>
        <w:gridCol w:w="659"/>
        <w:gridCol w:w="1831"/>
        <w:gridCol w:w="808"/>
      </w:tblGrid>
      <w:tr w:rsidR="005B5148" w:rsidRPr="005B5148">
        <w:trPr>
          <w:trHeight w:val="285"/>
          <w:jc w:val="center"/>
        </w:trPr>
        <w:tc>
          <w:tcPr>
            <w:tcW w:w="1421" w:type="pct"/>
            <w:gridSpan w:val="2"/>
            <w:tcBorders>
              <w:top w:val="single" w:sz="4" w:space="0" w:color="auto"/>
              <w:left w:val="single" w:sz="4" w:space="0" w:color="auto"/>
              <w:right w:val="single" w:sz="4" w:space="0" w:color="000000"/>
            </w:tcBorders>
            <w:shd w:val="clear" w:color="auto" w:fill="0000FF"/>
            <w:noWrap/>
            <w:vAlign w:val="bottom"/>
          </w:tcPr>
          <w:p w:rsidR="005B5148" w:rsidRPr="00604445" w:rsidRDefault="005B5148" w:rsidP="005B5148">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积极型组合</w:t>
            </w:r>
          </w:p>
        </w:tc>
        <w:tc>
          <w:tcPr>
            <w:tcW w:w="382"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5B5148" w:rsidRPr="005B5148" w:rsidRDefault="005B5148" w:rsidP="005B5148">
            <w:pPr>
              <w:widowControl/>
              <w:jc w:val="center"/>
              <w:rPr>
                <w:rFonts w:ascii="宋体" w:hAnsi="宋体" w:cs="宋体"/>
                <w:kern w:val="0"/>
                <w:sz w:val="18"/>
                <w:szCs w:val="18"/>
              </w:rPr>
            </w:pPr>
          </w:p>
        </w:tc>
        <w:tc>
          <w:tcPr>
            <w:tcW w:w="1421" w:type="pct"/>
            <w:gridSpan w:val="2"/>
            <w:tcBorders>
              <w:top w:val="single" w:sz="4" w:space="0" w:color="auto"/>
              <w:left w:val="single" w:sz="4" w:space="0" w:color="auto"/>
              <w:right w:val="single" w:sz="4" w:space="0" w:color="000000"/>
            </w:tcBorders>
            <w:shd w:val="clear" w:color="auto" w:fill="0000FF"/>
            <w:noWrap/>
            <w:vAlign w:val="bottom"/>
          </w:tcPr>
          <w:p w:rsidR="005B5148" w:rsidRPr="00604445" w:rsidRDefault="005B5148" w:rsidP="005B5148">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35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5B5148" w:rsidRPr="005B5148" w:rsidRDefault="005B5148" w:rsidP="005B5148">
            <w:pPr>
              <w:widowControl/>
              <w:jc w:val="center"/>
              <w:rPr>
                <w:rFonts w:ascii="宋体" w:hAnsi="宋体" w:cs="宋体"/>
                <w:kern w:val="0"/>
                <w:sz w:val="18"/>
                <w:szCs w:val="18"/>
              </w:rPr>
            </w:pPr>
          </w:p>
        </w:tc>
        <w:tc>
          <w:tcPr>
            <w:tcW w:w="1421" w:type="pct"/>
            <w:gridSpan w:val="2"/>
            <w:tcBorders>
              <w:top w:val="single" w:sz="4" w:space="0" w:color="auto"/>
              <w:left w:val="single" w:sz="4" w:space="0" w:color="auto"/>
              <w:right w:val="single" w:sz="4" w:space="0" w:color="000000"/>
            </w:tcBorders>
            <w:shd w:val="clear" w:color="auto" w:fill="0000FF"/>
            <w:noWrap/>
            <w:vAlign w:val="bottom"/>
          </w:tcPr>
          <w:p w:rsidR="005B5148" w:rsidRPr="00604445" w:rsidRDefault="005B5148" w:rsidP="005B5148">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5B5148" w:rsidRPr="005B5148">
        <w:trPr>
          <w:trHeight w:val="285"/>
          <w:jc w:val="center"/>
        </w:trPr>
        <w:tc>
          <w:tcPr>
            <w:tcW w:w="935" w:type="pct"/>
            <w:tcBorders>
              <w:bottom w:val="single" w:sz="8" w:space="0" w:color="auto"/>
              <w:right w:val="single" w:sz="8" w:space="0" w:color="auto"/>
            </w:tcBorders>
            <w:shd w:val="clear" w:color="auto" w:fill="D9D9D9"/>
            <w:noWrap/>
            <w:vAlign w:val="bottom"/>
          </w:tcPr>
          <w:p w:rsidR="005B5148" w:rsidRPr="005B5148" w:rsidRDefault="005B5148" w:rsidP="005B5148">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86" w:type="pct"/>
            <w:tcBorders>
              <w:left w:val="single" w:sz="8" w:space="0" w:color="auto"/>
              <w:bottom w:val="single" w:sz="8" w:space="0" w:color="auto"/>
              <w:right w:val="single" w:sz="8" w:space="0" w:color="auto"/>
            </w:tcBorders>
            <w:shd w:val="clear" w:color="auto" w:fill="D9D9D9"/>
            <w:noWrap/>
            <w:vAlign w:val="bottom"/>
          </w:tcPr>
          <w:p w:rsidR="005B5148" w:rsidRPr="005B5148" w:rsidRDefault="005B5148" w:rsidP="005B5148">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82" w:type="pct"/>
            <w:vMerge/>
            <w:tcBorders>
              <w:top w:val="single" w:sz="4" w:space="0" w:color="auto"/>
              <w:left w:val="single" w:sz="8" w:space="0" w:color="auto"/>
              <w:bottom w:val="single" w:sz="4" w:space="0" w:color="000000"/>
            </w:tcBorders>
            <w:vAlign w:val="center"/>
          </w:tcPr>
          <w:p w:rsidR="005B5148" w:rsidRPr="005B5148" w:rsidRDefault="005B5148" w:rsidP="005B5148">
            <w:pPr>
              <w:widowControl/>
              <w:jc w:val="left"/>
              <w:rPr>
                <w:rFonts w:ascii="宋体" w:hAnsi="宋体" w:cs="宋体"/>
                <w:kern w:val="0"/>
                <w:sz w:val="18"/>
                <w:szCs w:val="18"/>
              </w:rPr>
            </w:pPr>
          </w:p>
        </w:tc>
        <w:tc>
          <w:tcPr>
            <w:tcW w:w="935" w:type="pct"/>
            <w:tcBorders>
              <w:bottom w:val="single" w:sz="8" w:space="0" w:color="auto"/>
              <w:right w:val="single" w:sz="8" w:space="0" w:color="auto"/>
            </w:tcBorders>
            <w:shd w:val="clear" w:color="auto" w:fill="D9D9D9"/>
            <w:noWrap/>
            <w:vAlign w:val="bottom"/>
          </w:tcPr>
          <w:p w:rsidR="005B5148" w:rsidRPr="005B5148" w:rsidRDefault="005B5148" w:rsidP="005B5148">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86" w:type="pct"/>
            <w:tcBorders>
              <w:left w:val="single" w:sz="8" w:space="0" w:color="auto"/>
              <w:bottom w:val="single" w:sz="8" w:space="0" w:color="auto"/>
              <w:right w:val="single" w:sz="8" w:space="0" w:color="auto"/>
            </w:tcBorders>
            <w:shd w:val="clear" w:color="auto" w:fill="D9D9D9"/>
            <w:noWrap/>
            <w:vAlign w:val="bottom"/>
          </w:tcPr>
          <w:p w:rsidR="005B5148" w:rsidRPr="005B5148" w:rsidRDefault="005B5148" w:rsidP="005B5148">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55" w:type="pct"/>
            <w:vMerge/>
            <w:tcBorders>
              <w:top w:val="single" w:sz="4" w:space="0" w:color="auto"/>
              <w:left w:val="single" w:sz="8" w:space="0" w:color="auto"/>
              <w:bottom w:val="single" w:sz="4" w:space="0" w:color="000000"/>
            </w:tcBorders>
            <w:vAlign w:val="center"/>
          </w:tcPr>
          <w:p w:rsidR="005B5148" w:rsidRPr="005B5148" w:rsidRDefault="005B5148" w:rsidP="005B5148">
            <w:pPr>
              <w:widowControl/>
              <w:jc w:val="left"/>
              <w:rPr>
                <w:rFonts w:ascii="宋体" w:hAnsi="宋体" w:cs="宋体"/>
                <w:kern w:val="0"/>
                <w:sz w:val="18"/>
                <w:szCs w:val="18"/>
              </w:rPr>
            </w:pPr>
          </w:p>
        </w:tc>
        <w:tc>
          <w:tcPr>
            <w:tcW w:w="986" w:type="pct"/>
            <w:tcBorders>
              <w:bottom w:val="single" w:sz="8" w:space="0" w:color="auto"/>
              <w:right w:val="single" w:sz="8" w:space="0" w:color="auto"/>
            </w:tcBorders>
            <w:shd w:val="clear" w:color="auto" w:fill="D9D9D9"/>
            <w:noWrap/>
            <w:vAlign w:val="bottom"/>
          </w:tcPr>
          <w:p w:rsidR="005B5148" w:rsidRPr="005B5148" w:rsidRDefault="005B5148" w:rsidP="005B5148">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35" w:type="pct"/>
            <w:tcBorders>
              <w:left w:val="single" w:sz="8" w:space="0" w:color="auto"/>
              <w:bottom w:val="single" w:sz="8" w:space="0" w:color="auto"/>
              <w:right w:val="single" w:sz="8" w:space="0" w:color="auto"/>
            </w:tcBorders>
            <w:shd w:val="clear" w:color="auto" w:fill="D9D9D9"/>
            <w:noWrap/>
            <w:vAlign w:val="bottom"/>
          </w:tcPr>
          <w:p w:rsidR="005B5148" w:rsidRPr="005B5148" w:rsidRDefault="005B5148" w:rsidP="005B5148">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485E6F" w:rsidRPr="005B5148">
        <w:trPr>
          <w:trHeight w:val="285"/>
          <w:jc w:val="center"/>
        </w:trPr>
        <w:tc>
          <w:tcPr>
            <w:tcW w:w="935" w:type="pct"/>
            <w:tcBorders>
              <w:top w:val="single" w:sz="8" w:space="0" w:color="auto"/>
              <w:left w:val="single" w:sz="4" w:space="0" w:color="auto"/>
              <w:bottom w:val="single" w:sz="4" w:space="0" w:color="auto"/>
              <w:right w:val="single" w:sz="4" w:space="0" w:color="auto"/>
            </w:tcBorders>
            <w:shd w:val="clear" w:color="auto" w:fill="auto"/>
            <w:noWrap/>
            <w:vAlign w:val="bottom"/>
          </w:tcPr>
          <w:p w:rsidR="00485E6F" w:rsidRPr="00CA345B" w:rsidRDefault="00485E6F" w:rsidP="00CA345B">
            <w:pPr>
              <w:jc w:val="center"/>
              <w:rPr>
                <w:rFonts w:ascii="宋体" w:hAnsi="宋体" w:cs="宋体"/>
                <w:sz w:val="18"/>
                <w:szCs w:val="18"/>
              </w:rPr>
            </w:pPr>
            <w:r>
              <w:rPr>
                <w:rFonts w:hint="eastAsia"/>
                <w:sz w:val="18"/>
                <w:szCs w:val="18"/>
              </w:rPr>
              <w:t>银河成长</w:t>
            </w:r>
          </w:p>
        </w:tc>
        <w:tc>
          <w:tcPr>
            <w:tcW w:w="486" w:type="pct"/>
            <w:tcBorders>
              <w:top w:val="single" w:sz="8" w:space="0" w:color="auto"/>
              <w:left w:val="nil"/>
              <w:bottom w:val="single" w:sz="4" w:space="0" w:color="auto"/>
              <w:right w:val="single" w:sz="4" w:space="0" w:color="auto"/>
            </w:tcBorders>
            <w:shd w:val="clear" w:color="auto" w:fill="auto"/>
            <w:noWrap/>
            <w:vAlign w:val="bottom"/>
          </w:tcPr>
          <w:p w:rsidR="00485E6F" w:rsidRPr="005B5148" w:rsidRDefault="00485E6F" w:rsidP="005B5148">
            <w:pPr>
              <w:widowControl/>
              <w:jc w:val="center"/>
              <w:rPr>
                <w:rFonts w:ascii="宋体" w:hAnsi="宋体" w:cs="宋体"/>
                <w:kern w:val="0"/>
                <w:sz w:val="18"/>
                <w:szCs w:val="18"/>
              </w:rPr>
            </w:pPr>
            <w:r>
              <w:rPr>
                <w:rFonts w:ascii="宋体" w:hAnsi="宋体" w:cs="宋体" w:hint="eastAsia"/>
                <w:kern w:val="0"/>
                <w:sz w:val="18"/>
                <w:szCs w:val="18"/>
              </w:rPr>
              <w:t>4</w:t>
            </w:r>
            <w:r w:rsidRPr="005B5148">
              <w:rPr>
                <w:rFonts w:ascii="宋体" w:hAnsi="宋体" w:cs="宋体" w:hint="eastAsia"/>
                <w:kern w:val="0"/>
                <w:sz w:val="18"/>
                <w:szCs w:val="18"/>
              </w:rPr>
              <w:t>0%</w:t>
            </w:r>
          </w:p>
        </w:tc>
        <w:tc>
          <w:tcPr>
            <w:tcW w:w="382" w:type="pct"/>
            <w:vMerge/>
            <w:tcBorders>
              <w:top w:val="single" w:sz="8" w:space="0" w:color="auto"/>
              <w:left w:val="single" w:sz="4" w:space="0" w:color="auto"/>
              <w:bottom w:val="single" w:sz="4" w:space="0" w:color="000000"/>
              <w:right w:val="single" w:sz="4" w:space="0" w:color="auto"/>
            </w:tcBorders>
            <w:vAlign w:val="center"/>
          </w:tcPr>
          <w:p w:rsidR="00485E6F" w:rsidRPr="005B5148" w:rsidRDefault="00485E6F" w:rsidP="005B5148">
            <w:pPr>
              <w:widowControl/>
              <w:jc w:val="left"/>
              <w:rPr>
                <w:rFonts w:ascii="宋体" w:hAnsi="宋体" w:cs="宋体"/>
                <w:kern w:val="0"/>
                <w:sz w:val="18"/>
                <w:szCs w:val="18"/>
              </w:rPr>
            </w:pPr>
          </w:p>
        </w:tc>
        <w:tc>
          <w:tcPr>
            <w:tcW w:w="935" w:type="pct"/>
            <w:tcBorders>
              <w:top w:val="single" w:sz="8" w:space="0" w:color="auto"/>
              <w:left w:val="nil"/>
              <w:bottom w:val="single" w:sz="4" w:space="0" w:color="auto"/>
              <w:right w:val="single" w:sz="4" w:space="0" w:color="auto"/>
            </w:tcBorders>
            <w:shd w:val="clear" w:color="auto" w:fill="auto"/>
            <w:noWrap/>
            <w:vAlign w:val="bottom"/>
          </w:tcPr>
          <w:p w:rsidR="00485E6F" w:rsidRPr="005B5148" w:rsidRDefault="00485E6F" w:rsidP="005B5148">
            <w:pPr>
              <w:widowControl/>
              <w:jc w:val="center"/>
              <w:rPr>
                <w:rFonts w:ascii="宋体" w:hAnsi="宋体" w:cs="宋体"/>
                <w:kern w:val="0"/>
                <w:sz w:val="18"/>
                <w:szCs w:val="18"/>
              </w:rPr>
            </w:pPr>
            <w:r>
              <w:rPr>
                <w:rFonts w:ascii="宋体" w:hAnsi="宋体" w:cs="宋体" w:hint="eastAsia"/>
                <w:kern w:val="0"/>
                <w:sz w:val="18"/>
                <w:szCs w:val="18"/>
              </w:rPr>
              <w:t>嘉实精选</w:t>
            </w:r>
          </w:p>
        </w:tc>
        <w:tc>
          <w:tcPr>
            <w:tcW w:w="486" w:type="pct"/>
            <w:tcBorders>
              <w:top w:val="single" w:sz="8" w:space="0" w:color="auto"/>
              <w:left w:val="nil"/>
              <w:bottom w:val="single" w:sz="4" w:space="0" w:color="auto"/>
              <w:right w:val="single" w:sz="4" w:space="0" w:color="auto"/>
            </w:tcBorders>
            <w:shd w:val="clear" w:color="auto" w:fill="auto"/>
            <w:noWrap/>
            <w:vAlign w:val="bottom"/>
          </w:tcPr>
          <w:p w:rsidR="00485E6F" w:rsidRPr="005B5148" w:rsidRDefault="00485E6F" w:rsidP="005B5148">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355" w:type="pct"/>
            <w:vMerge/>
            <w:tcBorders>
              <w:top w:val="single" w:sz="8" w:space="0" w:color="auto"/>
              <w:left w:val="single" w:sz="4" w:space="0" w:color="auto"/>
              <w:bottom w:val="single" w:sz="4" w:space="0" w:color="000000"/>
              <w:right w:val="single" w:sz="4" w:space="0" w:color="auto"/>
            </w:tcBorders>
            <w:vAlign w:val="center"/>
          </w:tcPr>
          <w:p w:rsidR="00485E6F" w:rsidRPr="005B5148" w:rsidRDefault="00485E6F" w:rsidP="005B5148">
            <w:pPr>
              <w:widowControl/>
              <w:jc w:val="left"/>
              <w:rPr>
                <w:rFonts w:ascii="宋体" w:hAnsi="宋体" w:cs="宋体"/>
                <w:kern w:val="0"/>
                <w:sz w:val="18"/>
                <w:szCs w:val="18"/>
              </w:rPr>
            </w:pPr>
          </w:p>
        </w:tc>
        <w:tc>
          <w:tcPr>
            <w:tcW w:w="986" w:type="pct"/>
            <w:tcBorders>
              <w:top w:val="single" w:sz="8" w:space="0" w:color="auto"/>
              <w:left w:val="nil"/>
              <w:bottom w:val="single" w:sz="4" w:space="0" w:color="auto"/>
              <w:right w:val="single" w:sz="4" w:space="0" w:color="auto"/>
            </w:tcBorders>
            <w:shd w:val="clear" w:color="auto" w:fill="auto"/>
            <w:noWrap/>
            <w:vAlign w:val="bottom"/>
          </w:tcPr>
          <w:p w:rsidR="00485E6F" w:rsidRPr="00E86A04" w:rsidRDefault="0030540B" w:rsidP="008B1474">
            <w:pPr>
              <w:widowControl/>
              <w:jc w:val="center"/>
              <w:rPr>
                <w:rFonts w:ascii="宋体" w:hAnsi="宋体" w:cs="宋体"/>
                <w:kern w:val="0"/>
                <w:sz w:val="18"/>
                <w:szCs w:val="18"/>
              </w:rPr>
            </w:pPr>
            <w:r>
              <w:rPr>
                <w:rFonts w:ascii="宋体" w:hAnsi="宋体" w:cs="宋体" w:hint="eastAsia"/>
                <w:kern w:val="0"/>
                <w:sz w:val="18"/>
                <w:szCs w:val="18"/>
              </w:rPr>
              <w:t>建信货币</w:t>
            </w:r>
          </w:p>
        </w:tc>
        <w:tc>
          <w:tcPr>
            <w:tcW w:w="435" w:type="pct"/>
            <w:tcBorders>
              <w:top w:val="single" w:sz="8" w:space="0" w:color="auto"/>
              <w:left w:val="nil"/>
              <w:bottom w:val="single" w:sz="4" w:space="0" w:color="auto"/>
              <w:right w:val="single" w:sz="4" w:space="0" w:color="auto"/>
            </w:tcBorders>
            <w:shd w:val="clear" w:color="auto" w:fill="auto"/>
            <w:noWrap/>
            <w:vAlign w:val="bottom"/>
          </w:tcPr>
          <w:p w:rsidR="00485E6F" w:rsidRPr="005B5148" w:rsidRDefault="00485E6F" w:rsidP="00E86A04">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7A2D23" w:rsidRPr="005B5148">
        <w:trPr>
          <w:trHeight w:val="285"/>
          <w:jc w:val="center"/>
        </w:trPr>
        <w:tc>
          <w:tcPr>
            <w:tcW w:w="935" w:type="pct"/>
            <w:tcBorders>
              <w:top w:val="nil"/>
              <w:left w:val="single" w:sz="4" w:space="0" w:color="auto"/>
              <w:bottom w:val="single" w:sz="4" w:space="0" w:color="auto"/>
              <w:right w:val="single" w:sz="4" w:space="0" w:color="auto"/>
            </w:tcBorders>
            <w:shd w:val="clear" w:color="auto" w:fill="auto"/>
            <w:noWrap/>
            <w:vAlign w:val="bottom"/>
          </w:tcPr>
          <w:p w:rsidR="007A2D23" w:rsidRPr="00CA345B" w:rsidRDefault="007A2D23" w:rsidP="004F3B1D">
            <w:pPr>
              <w:jc w:val="center"/>
              <w:rPr>
                <w:rFonts w:ascii="宋体" w:hAnsi="宋体" w:cs="宋体"/>
                <w:sz w:val="18"/>
                <w:szCs w:val="18"/>
              </w:rPr>
            </w:pPr>
            <w:r w:rsidRPr="00375D93">
              <w:rPr>
                <w:rFonts w:hint="eastAsia"/>
                <w:sz w:val="18"/>
                <w:szCs w:val="18"/>
              </w:rPr>
              <w:t>添富价值</w:t>
            </w:r>
          </w:p>
        </w:tc>
        <w:tc>
          <w:tcPr>
            <w:tcW w:w="486" w:type="pct"/>
            <w:tcBorders>
              <w:top w:val="nil"/>
              <w:left w:val="nil"/>
              <w:bottom w:val="single" w:sz="4" w:space="0" w:color="auto"/>
              <w:right w:val="single" w:sz="4" w:space="0" w:color="auto"/>
            </w:tcBorders>
            <w:shd w:val="clear" w:color="auto" w:fill="auto"/>
            <w:noWrap/>
            <w:vAlign w:val="bottom"/>
          </w:tcPr>
          <w:p w:rsidR="007A2D23" w:rsidRPr="005B5148" w:rsidRDefault="007A2D23" w:rsidP="005B5148">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382" w:type="pct"/>
            <w:vMerge/>
            <w:tcBorders>
              <w:top w:val="single" w:sz="4" w:space="0" w:color="auto"/>
              <w:left w:val="single" w:sz="4" w:space="0" w:color="auto"/>
              <w:bottom w:val="single" w:sz="4" w:space="0" w:color="000000"/>
              <w:right w:val="single" w:sz="4" w:space="0" w:color="auto"/>
            </w:tcBorders>
            <w:vAlign w:val="center"/>
          </w:tcPr>
          <w:p w:rsidR="007A2D23" w:rsidRPr="005B5148" w:rsidRDefault="007A2D23" w:rsidP="005B5148">
            <w:pPr>
              <w:widowControl/>
              <w:jc w:val="left"/>
              <w:rPr>
                <w:rFonts w:ascii="宋体" w:hAnsi="宋体" w:cs="宋体"/>
                <w:kern w:val="0"/>
                <w:sz w:val="18"/>
                <w:szCs w:val="18"/>
              </w:rPr>
            </w:pPr>
          </w:p>
        </w:tc>
        <w:tc>
          <w:tcPr>
            <w:tcW w:w="935" w:type="pct"/>
            <w:tcBorders>
              <w:top w:val="nil"/>
              <w:left w:val="nil"/>
              <w:bottom w:val="single" w:sz="4" w:space="0" w:color="auto"/>
              <w:right w:val="single" w:sz="4" w:space="0" w:color="auto"/>
            </w:tcBorders>
            <w:shd w:val="clear" w:color="auto" w:fill="auto"/>
            <w:noWrap/>
            <w:vAlign w:val="bottom"/>
          </w:tcPr>
          <w:p w:rsidR="007A2D23" w:rsidRPr="00E86A04" w:rsidRDefault="007A2D23" w:rsidP="00E86A04">
            <w:pPr>
              <w:widowControl/>
              <w:jc w:val="center"/>
              <w:rPr>
                <w:rFonts w:ascii="宋体" w:hAnsi="宋体" w:cs="宋体"/>
                <w:kern w:val="0"/>
                <w:sz w:val="18"/>
                <w:szCs w:val="18"/>
              </w:rPr>
            </w:pPr>
            <w:r w:rsidRPr="00E86A04">
              <w:rPr>
                <w:rFonts w:ascii="宋体" w:hAnsi="宋体" w:cs="宋体" w:hint="eastAsia"/>
                <w:kern w:val="0"/>
                <w:sz w:val="18"/>
                <w:szCs w:val="18"/>
              </w:rPr>
              <w:t>添富价值</w:t>
            </w:r>
          </w:p>
        </w:tc>
        <w:tc>
          <w:tcPr>
            <w:tcW w:w="486" w:type="pct"/>
            <w:tcBorders>
              <w:top w:val="nil"/>
              <w:left w:val="nil"/>
              <w:bottom w:val="single" w:sz="4" w:space="0" w:color="auto"/>
              <w:right w:val="single" w:sz="4" w:space="0" w:color="auto"/>
            </w:tcBorders>
            <w:shd w:val="clear" w:color="auto" w:fill="auto"/>
            <w:noWrap/>
            <w:vAlign w:val="bottom"/>
          </w:tcPr>
          <w:p w:rsidR="007A2D23" w:rsidRPr="005B5148" w:rsidRDefault="007A2D23" w:rsidP="005B5148">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355" w:type="pct"/>
            <w:vMerge/>
            <w:tcBorders>
              <w:top w:val="single" w:sz="4" w:space="0" w:color="auto"/>
              <w:left w:val="single" w:sz="4" w:space="0" w:color="auto"/>
              <w:bottom w:val="single" w:sz="4" w:space="0" w:color="000000"/>
              <w:right w:val="single" w:sz="4" w:space="0" w:color="auto"/>
            </w:tcBorders>
            <w:vAlign w:val="center"/>
          </w:tcPr>
          <w:p w:rsidR="007A2D23" w:rsidRPr="005B5148" w:rsidRDefault="007A2D23" w:rsidP="005B5148">
            <w:pPr>
              <w:widowControl/>
              <w:jc w:val="left"/>
              <w:rPr>
                <w:rFonts w:ascii="宋体" w:hAnsi="宋体" w:cs="宋体"/>
                <w:kern w:val="0"/>
                <w:sz w:val="18"/>
                <w:szCs w:val="18"/>
              </w:rPr>
            </w:pPr>
          </w:p>
        </w:tc>
        <w:tc>
          <w:tcPr>
            <w:tcW w:w="986" w:type="pct"/>
            <w:tcBorders>
              <w:top w:val="nil"/>
              <w:left w:val="nil"/>
              <w:bottom w:val="single" w:sz="4" w:space="0" w:color="auto"/>
              <w:right w:val="single" w:sz="4" w:space="0" w:color="auto"/>
            </w:tcBorders>
            <w:shd w:val="clear" w:color="auto" w:fill="auto"/>
            <w:noWrap/>
            <w:vAlign w:val="bottom"/>
          </w:tcPr>
          <w:p w:rsidR="007A2D23" w:rsidRPr="005B5148" w:rsidRDefault="007A2D23" w:rsidP="005B5148">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435" w:type="pct"/>
            <w:tcBorders>
              <w:top w:val="nil"/>
              <w:left w:val="nil"/>
              <w:bottom w:val="single" w:sz="4" w:space="0" w:color="auto"/>
              <w:right w:val="single" w:sz="4" w:space="0" w:color="auto"/>
            </w:tcBorders>
            <w:shd w:val="clear" w:color="auto" w:fill="auto"/>
            <w:noWrap/>
            <w:vAlign w:val="bottom"/>
          </w:tcPr>
          <w:p w:rsidR="007A2D23" w:rsidRPr="005B5148" w:rsidRDefault="007A2D23" w:rsidP="005B5148">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580BE7" w:rsidRPr="005B5148">
        <w:trPr>
          <w:trHeight w:val="285"/>
          <w:jc w:val="center"/>
        </w:trPr>
        <w:tc>
          <w:tcPr>
            <w:tcW w:w="935" w:type="pct"/>
            <w:tcBorders>
              <w:top w:val="nil"/>
              <w:left w:val="single" w:sz="4" w:space="0" w:color="auto"/>
              <w:bottom w:val="single" w:sz="4" w:space="0" w:color="auto"/>
              <w:right w:val="single" w:sz="4" w:space="0" w:color="auto"/>
            </w:tcBorders>
            <w:shd w:val="clear" w:color="auto" w:fill="auto"/>
            <w:noWrap/>
            <w:vAlign w:val="bottom"/>
          </w:tcPr>
          <w:p w:rsidR="00580BE7" w:rsidRPr="005B5148" w:rsidRDefault="00E86A04" w:rsidP="00E86A04">
            <w:pPr>
              <w:jc w:val="center"/>
              <w:rPr>
                <w:rFonts w:ascii="宋体" w:hAnsi="宋体" w:cs="宋体"/>
                <w:kern w:val="0"/>
                <w:sz w:val="18"/>
                <w:szCs w:val="18"/>
              </w:rPr>
            </w:pPr>
            <w:r w:rsidRPr="00E86A04">
              <w:rPr>
                <w:rFonts w:hint="eastAsia"/>
                <w:sz w:val="18"/>
                <w:szCs w:val="18"/>
              </w:rPr>
              <w:t>富国天惠</w:t>
            </w:r>
          </w:p>
        </w:tc>
        <w:tc>
          <w:tcPr>
            <w:tcW w:w="486" w:type="pct"/>
            <w:tcBorders>
              <w:top w:val="nil"/>
              <w:left w:val="nil"/>
              <w:bottom w:val="single" w:sz="4" w:space="0" w:color="auto"/>
              <w:right w:val="single" w:sz="4" w:space="0" w:color="auto"/>
            </w:tcBorders>
            <w:shd w:val="clear" w:color="auto" w:fill="auto"/>
            <w:noWrap/>
            <w:vAlign w:val="bottom"/>
          </w:tcPr>
          <w:p w:rsidR="00580BE7" w:rsidRPr="005B5148" w:rsidRDefault="00580BE7" w:rsidP="005B5148">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382" w:type="pct"/>
            <w:vMerge/>
            <w:tcBorders>
              <w:top w:val="single" w:sz="4" w:space="0" w:color="auto"/>
              <w:left w:val="single" w:sz="4" w:space="0" w:color="auto"/>
              <w:bottom w:val="single" w:sz="4" w:space="0" w:color="000000"/>
              <w:right w:val="single" w:sz="4" w:space="0" w:color="auto"/>
            </w:tcBorders>
            <w:vAlign w:val="center"/>
          </w:tcPr>
          <w:p w:rsidR="00580BE7" w:rsidRPr="005B5148" w:rsidRDefault="00580BE7" w:rsidP="005B5148">
            <w:pPr>
              <w:widowControl/>
              <w:jc w:val="left"/>
              <w:rPr>
                <w:rFonts w:ascii="宋体" w:hAnsi="宋体" w:cs="宋体"/>
                <w:kern w:val="0"/>
                <w:sz w:val="18"/>
                <w:szCs w:val="18"/>
              </w:rPr>
            </w:pPr>
          </w:p>
        </w:tc>
        <w:tc>
          <w:tcPr>
            <w:tcW w:w="935" w:type="pct"/>
            <w:tcBorders>
              <w:top w:val="nil"/>
              <w:left w:val="nil"/>
              <w:bottom w:val="single" w:sz="4" w:space="0" w:color="auto"/>
              <w:right w:val="single" w:sz="4" w:space="0" w:color="auto"/>
            </w:tcBorders>
            <w:shd w:val="clear" w:color="auto" w:fill="auto"/>
            <w:noWrap/>
            <w:vAlign w:val="bottom"/>
          </w:tcPr>
          <w:p w:rsidR="00580BE7" w:rsidRPr="00E86A04" w:rsidRDefault="00BF0E3B" w:rsidP="00E86A04">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486" w:type="pct"/>
            <w:tcBorders>
              <w:top w:val="nil"/>
              <w:left w:val="nil"/>
              <w:bottom w:val="single" w:sz="4" w:space="0" w:color="auto"/>
              <w:right w:val="single" w:sz="4" w:space="0" w:color="auto"/>
            </w:tcBorders>
            <w:shd w:val="clear" w:color="auto" w:fill="auto"/>
            <w:noWrap/>
            <w:vAlign w:val="bottom"/>
          </w:tcPr>
          <w:p w:rsidR="00580BE7" w:rsidRPr="005B5148" w:rsidRDefault="00580BE7" w:rsidP="005B5148">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355" w:type="pct"/>
            <w:vMerge/>
            <w:tcBorders>
              <w:top w:val="single" w:sz="4" w:space="0" w:color="auto"/>
              <w:left w:val="single" w:sz="4" w:space="0" w:color="auto"/>
              <w:bottom w:val="single" w:sz="4" w:space="0" w:color="000000"/>
              <w:right w:val="single" w:sz="4" w:space="0" w:color="auto"/>
            </w:tcBorders>
            <w:vAlign w:val="center"/>
          </w:tcPr>
          <w:p w:rsidR="00580BE7" w:rsidRPr="005B5148" w:rsidRDefault="00580BE7" w:rsidP="005B5148">
            <w:pPr>
              <w:widowControl/>
              <w:jc w:val="left"/>
              <w:rPr>
                <w:rFonts w:ascii="宋体" w:hAnsi="宋体" w:cs="宋体"/>
                <w:kern w:val="0"/>
                <w:sz w:val="18"/>
                <w:szCs w:val="18"/>
              </w:rPr>
            </w:pPr>
          </w:p>
        </w:tc>
        <w:tc>
          <w:tcPr>
            <w:tcW w:w="986" w:type="pct"/>
            <w:tcBorders>
              <w:top w:val="nil"/>
              <w:left w:val="nil"/>
              <w:bottom w:val="single" w:sz="4" w:space="0" w:color="auto"/>
              <w:right w:val="single" w:sz="4" w:space="0" w:color="auto"/>
            </w:tcBorders>
            <w:shd w:val="clear" w:color="auto" w:fill="auto"/>
            <w:noWrap/>
            <w:vAlign w:val="bottom"/>
          </w:tcPr>
          <w:p w:rsidR="00580BE7" w:rsidRPr="0017543C" w:rsidRDefault="00580BE7" w:rsidP="001E1514">
            <w:pPr>
              <w:widowControl/>
              <w:jc w:val="center"/>
              <w:rPr>
                <w:rFonts w:ascii="宋体" w:hAnsi="宋体" w:cs="宋体"/>
                <w:kern w:val="0"/>
                <w:sz w:val="18"/>
                <w:szCs w:val="18"/>
              </w:rPr>
            </w:pPr>
            <w:r>
              <w:rPr>
                <w:rFonts w:ascii="宋体" w:hAnsi="宋体" w:cs="宋体" w:hint="eastAsia"/>
                <w:kern w:val="0"/>
                <w:sz w:val="18"/>
                <w:szCs w:val="18"/>
              </w:rPr>
              <w:t>广发货币B</w:t>
            </w:r>
          </w:p>
        </w:tc>
        <w:tc>
          <w:tcPr>
            <w:tcW w:w="435" w:type="pct"/>
            <w:tcBorders>
              <w:top w:val="nil"/>
              <w:left w:val="nil"/>
              <w:bottom w:val="single" w:sz="4" w:space="0" w:color="auto"/>
              <w:right w:val="single" w:sz="4" w:space="0" w:color="auto"/>
            </w:tcBorders>
            <w:shd w:val="clear" w:color="auto" w:fill="auto"/>
            <w:noWrap/>
            <w:vAlign w:val="bottom"/>
          </w:tcPr>
          <w:p w:rsidR="00580BE7" w:rsidRPr="005B5148" w:rsidRDefault="00580BE7" w:rsidP="005B5148">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bl>
    <w:p w:rsidR="005B5148" w:rsidRDefault="005B5148" w:rsidP="005B5148">
      <w:pPr>
        <w:ind w:firstLineChars="1300" w:firstLine="2730"/>
        <w:rPr>
          <w:rFonts w:ascii="楷体_GB2312" w:eastAsia="楷体_GB2312"/>
          <w:noProof/>
          <w:color w:val="000000"/>
        </w:rPr>
      </w:pPr>
      <w:r w:rsidRPr="00156066">
        <w:rPr>
          <w:rFonts w:ascii="楷体_GB2312" w:eastAsia="楷体_GB2312" w:hint="eastAsia"/>
          <w:noProof/>
          <w:color w:val="000000"/>
        </w:rPr>
        <w:t>数据来源：上海证券基金评价研究中心</w:t>
      </w:r>
    </w:p>
    <w:p w:rsidR="00CA345B" w:rsidRDefault="007E1665" w:rsidP="00CA345B">
      <w:pPr>
        <w:ind w:leftChars="1350" w:left="2835" w:firstLine="420"/>
        <w:rPr>
          <w:rFonts w:ascii="楷体_GB2312" w:eastAsia="楷体_GB2312" w:hint="eastAsia"/>
          <w:noProof/>
          <w:color w:val="000000"/>
        </w:rPr>
      </w:pPr>
      <w:r>
        <w:rPr>
          <w:rFonts w:ascii="楷体_GB2312" w:eastAsia="楷体_GB2312" w:hint="eastAsia"/>
          <w:b/>
          <w:noProof/>
          <w:color w:val="FF0000"/>
        </w:rPr>
        <w:t>银河成长</w:t>
      </w:r>
      <w:r w:rsidR="00CA345B" w:rsidRPr="00882609">
        <w:rPr>
          <w:rFonts w:ascii="楷体_GB2312" w:eastAsia="楷体_GB2312" w:hint="eastAsia"/>
          <w:b/>
          <w:noProof/>
          <w:color w:val="FF0000"/>
        </w:rPr>
        <w:t>：</w:t>
      </w:r>
      <w:r w:rsidR="00AA61A4">
        <w:rPr>
          <w:rFonts w:ascii="楷体_GB2312" w:eastAsia="楷体_GB2312" w:hint="eastAsia"/>
          <w:noProof/>
          <w:color w:val="000000"/>
        </w:rPr>
        <w:t>当前投资风格转向小盘成长</w:t>
      </w:r>
      <w:r w:rsidR="00BB7663">
        <w:rPr>
          <w:rFonts w:ascii="楷体_GB2312" w:eastAsia="楷体_GB2312" w:hint="eastAsia"/>
          <w:noProof/>
          <w:color w:val="000000"/>
        </w:rPr>
        <w:t>，</w:t>
      </w:r>
      <w:r w:rsidR="00AA61A4">
        <w:rPr>
          <w:rFonts w:ascii="楷体_GB2312" w:eastAsia="楷体_GB2312" w:hint="eastAsia"/>
          <w:noProof/>
          <w:color w:val="000000"/>
        </w:rPr>
        <w:t>资产结构稳定，</w:t>
      </w:r>
      <w:r>
        <w:rPr>
          <w:rFonts w:ascii="楷体_GB2312" w:eastAsia="楷体_GB2312" w:hint="eastAsia"/>
          <w:noProof/>
          <w:color w:val="000000"/>
        </w:rPr>
        <w:t>选证能力尤为突出，持续赢得上海证券选证能力</w:t>
      </w:r>
      <w:r w:rsidR="003D45D2">
        <w:rPr>
          <w:rFonts w:ascii="楷体_GB2312" w:eastAsia="楷体_GB2312" w:hint="eastAsia"/>
          <w:noProof/>
          <w:color w:val="000000"/>
        </w:rPr>
        <w:t>四</w:t>
      </w:r>
      <w:r>
        <w:rPr>
          <w:rFonts w:ascii="楷体_GB2312" w:eastAsia="楷体_GB2312" w:hint="eastAsia"/>
          <w:noProof/>
          <w:color w:val="000000"/>
        </w:rPr>
        <w:t>星评级。基金业绩持续稳定，组合风险收益配比效果突出</w:t>
      </w:r>
      <w:r w:rsidR="00CA345B" w:rsidRPr="00CE5716">
        <w:rPr>
          <w:rFonts w:ascii="楷体_GB2312" w:eastAsia="楷体_GB2312" w:hint="eastAsia"/>
          <w:noProof/>
          <w:color w:val="000000"/>
        </w:rPr>
        <w:t>。</w:t>
      </w:r>
    </w:p>
    <w:p w:rsidR="00D112F3" w:rsidRDefault="00D112F3" w:rsidP="00D112F3">
      <w:pPr>
        <w:ind w:leftChars="1350" w:left="2835" w:firstLine="420"/>
        <w:rPr>
          <w:rFonts w:ascii="楷体_GB2312" w:eastAsia="楷体_GB2312"/>
          <w:noProof/>
          <w:color w:val="000000"/>
        </w:rPr>
      </w:pPr>
      <w:r>
        <w:rPr>
          <w:rFonts w:ascii="楷体_GB2312" w:eastAsia="楷体_GB2312" w:hint="eastAsia"/>
          <w:b/>
          <w:noProof/>
          <w:color w:val="FF0000"/>
        </w:rPr>
        <w:t>富国天惠</w:t>
      </w:r>
      <w:r w:rsidRPr="00A3457F">
        <w:rPr>
          <w:rFonts w:ascii="楷体_GB2312" w:eastAsia="楷体_GB2312" w:hint="eastAsia"/>
          <w:b/>
          <w:noProof/>
          <w:color w:val="FF0000"/>
        </w:rPr>
        <w:t>：</w:t>
      </w:r>
      <w:r w:rsidRPr="009439A1">
        <w:rPr>
          <w:rFonts w:ascii="楷体_GB2312" w:eastAsia="楷体_GB2312" w:hint="eastAsia"/>
          <w:noProof/>
          <w:color w:val="000000"/>
        </w:rPr>
        <w:t>该基金</w:t>
      </w:r>
      <w:r>
        <w:rPr>
          <w:rFonts w:ascii="楷体_GB2312" w:eastAsia="楷体_GB2312" w:hint="eastAsia"/>
          <w:noProof/>
          <w:color w:val="000000"/>
        </w:rPr>
        <w:t>长期业绩优于短期，风险收益配比效果出色。2013年</w:t>
      </w:r>
      <w:r w:rsidR="00E15FF7">
        <w:rPr>
          <w:rFonts w:ascii="楷体_GB2312" w:eastAsia="楷体_GB2312" w:hint="eastAsia"/>
          <w:noProof/>
          <w:color w:val="000000"/>
        </w:rPr>
        <w:t>三</w:t>
      </w:r>
      <w:r>
        <w:rPr>
          <w:rFonts w:ascii="楷体_GB2312" w:eastAsia="楷体_GB2312" w:hint="eastAsia"/>
          <w:noProof/>
          <w:color w:val="000000"/>
        </w:rPr>
        <w:t>季度末</w:t>
      </w:r>
      <w:r w:rsidR="00E15FF7">
        <w:rPr>
          <w:rFonts w:ascii="楷体_GB2312" w:eastAsia="楷体_GB2312" w:hint="eastAsia"/>
          <w:noProof/>
          <w:color w:val="000000"/>
        </w:rPr>
        <w:t>基金股票持仓达</w:t>
      </w:r>
      <w:r>
        <w:rPr>
          <w:rFonts w:ascii="楷体_GB2312" w:eastAsia="楷体_GB2312" w:hint="eastAsia"/>
          <w:noProof/>
          <w:color w:val="000000"/>
        </w:rPr>
        <w:t>9</w:t>
      </w:r>
      <w:r w:rsidR="00E15FF7">
        <w:rPr>
          <w:rFonts w:ascii="楷体_GB2312" w:eastAsia="楷体_GB2312" w:hint="eastAsia"/>
          <w:noProof/>
          <w:color w:val="000000"/>
        </w:rPr>
        <w:t>4</w:t>
      </w:r>
      <w:r>
        <w:rPr>
          <w:rFonts w:ascii="楷体_GB2312" w:eastAsia="楷体_GB2312" w:hint="eastAsia"/>
          <w:noProof/>
          <w:color w:val="000000"/>
        </w:rPr>
        <w:t>%，行业结构上侧重配置批发零售、房地产和信</w:t>
      </w:r>
      <w:r w:rsidRPr="00156DE0">
        <w:rPr>
          <w:rFonts w:ascii="楷体_GB2312" w:eastAsia="楷体_GB2312" w:hint="eastAsia"/>
          <w:noProof/>
          <w:color w:val="000000"/>
        </w:rPr>
        <w:t>息技术。基金经理</w:t>
      </w:r>
      <w:r w:rsidR="00E15FF7">
        <w:rPr>
          <w:rFonts w:ascii="楷体_GB2312" w:eastAsia="楷体_GB2312" w:hint="eastAsia"/>
          <w:noProof/>
          <w:color w:val="000000"/>
        </w:rPr>
        <w:t>从事基金管理经验近10年，具备丰富的基金投资经验</w:t>
      </w:r>
      <w:r>
        <w:rPr>
          <w:rFonts w:ascii="楷体_GB2312" w:eastAsia="楷体_GB2312" w:hint="eastAsia"/>
          <w:noProof/>
          <w:color w:val="000000"/>
        </w:rPr>
        <w:t>。</w:t>
      </w:r>
    </w:p>
    <w:p w:rsidR="00331B97" w:rsidRDefault="00331B97" w:rsidP="00331B97">
      <w:pPr>
        <w:ind w:leftChars="1350" w:left="2835" w:firstLine="420"/>
        <w:rPr>
          <w:rFonts w:ascii="楷体_GB2312" w:eastAsia="楷体_GB2312"/>
          <w:noProof/>
          <w:color w:val="000000"/>
        </w:rPr>
      </w:pPr>
      <w:r>
        <w:rPr>
          <w:rFonts w:ascii="楷体_GB2312" w:eastAsia="楷体_GB2312" w:hint="eastAsia"/>
          <w:b/>
          <w:noProof/>
          <w:color w:val="FF0000"/>
        </w:rPr>
        <w:t>添富价值</w:t>
      </w:r>
      <w:r w:rsidRPr="00874105">
        <w:rPr>
          <w:rFonts w:ascii="楷体_GB2312" w:eastAsia="楷体_GB2312" w:hint="eastAsia"/>
          <w:b/>
          <w:noProof/>
          <w:color w:val="FF0000"/>
        </w:rPr>
        <w:t>：</w:t>
      </w:r>
      <w:r w:rsidRPr="00E80209">
        <w:rPr>
          <w:rFonts w:ascii="楷体_GB2312" w:eastAsia="楷体_GB2312" w:hint="eastAsia"/>
          <w:noProof/>
          <w:color w:val="000000"/>
        </w:rPr>
        <w:t>该基金</w:t>
      </w:r>
      <w:r>
        <w:rPr>
          <w:rFonts w:ascii="楷体_GB2312" w:eastAsia="楷体_GB2312" w:hint="eastAsia"/>
          <w:noProof/>
          <w:color w:val="000000"/>
        </w:rPr>
        <w:t>保持充分投资，2011年以来股票仓位保持在90%左右高位，基金行业结构调整灵活，对市场结构性机会把握能力出色，选证能力和综合评级均获最高五星评级。基金经理稳定，投资风格和策略延续性强，历史管理绩效出色且稳定性强。</w:t>
      </w:r>
    </w:p>
    <w:p w:rsidR="00CA345B" w:rsidRPr="00CA345B" w:rsidRDefault="00100C8A" w:rsidP="00CA345B">
      <w:pPr>
        <w:ind w:leftChars="1350" w:left="2835" w:firstLine="420"/>
        <w:rPr>
          <w:rFonts w:ascii="楷体_GB2312" w:eastAsia="楷体_GB2312"/>
          <w:noProof/>
        </w:rPr>
      </w:pPr>
      <w:r>
        <w:rPr>
          <w:rFonts w:ascii="楷体_GB2312" w:eastAsia="楷体_GB2312" w:hint="eastAsia"/>
          <w:b/>
          <w:noProof/>
          <w:color w:val="FF0000"/>
        </w:rPr>
        <w:t>嘉实精选</w:t>
      </w:r>
      <w:r w:rsidR="00A3457F" w:rsidRPr="00A3457F">
        <w:rPr>
          <w:rFonts w:ascii="楷体_GB2312" w:eastAsia="楷体_GB2312" w:hint="eastAsia"/>
          <w:b/>
          <w:noProof/>
          <w:color w:val="FF0000"/>
        </w:rPr>
        <w:t>：</w:t>
      </w:r>
      <w:r w:rsidR="00A90593">
        <w:rPr>
          <w:rFonts w:ascii="楷体_GB2312" w:eastAsia="楷体_GB2312" w:hint="eastAsia"/>
          <w:noProof/>
        </w:rPr>
        <w:t>该基金强调自下而上精选个股。基金管理人</w:t>
      </w:r>
      <w:r w:rsidR="00E338F0">
        <w:rPr>
          <w:rFonts w:ascii="楷体_GB2312" w:eastAsia="楷体_GB2312" w:hint="eastAsia"/>
          <w:noProof/>
        </w:rPr>
        <w:t>在中小盘成长股的投资上具有独到的见解，</w:t>
      </w:r>
      <w:r w:rsidR="00A90593">
        <w:rPr>
          <w:rFonts w:ascii="楷体_GB2312" w:eastAsia="楷体_GB2312" w:hint="eastAsia"/>
          <w:noProof/>
        </w:rPr>
        <w:t>具有较强的市场热点把握能力。</w:t>
      </w:r>
      <w:r w:rsidR="00E36BCE">
        <w:rPr>
          <w:rFonts w:ascii="楷体_GB2312" w:eastAsia="楷体_GB2312" w:hint="eastAsia"/>
          <w:noProof/>
        </w:rPr>
        <w:t>基金择时能力和选证能力均优</w:t>
      </w:r>
      <w:r w:rsidR="00A90593" w:rsidRPr="00A90593">
        <w:rPr>
          <w:rFonts w:ascii="楷体_GB2312" w:eastAsia="楷体_GB2312" w:hint="eastAsia"/>
          <w:noProof/>
        </w:rPr>
        <w:t>，</w:t>
      </w:r>
      <w:r w:rsidR="00E36BCE">
        <w:rPr>
          <w:rFonts w:ascii="楷体_GB2312" w:eastAsia="楷体_GB2312" w:hint="eastAsia"/>
          <w:noProof/>
        </w:rPr>
        <w:t>综合实力突出</w:t>
      </w:r>
      <w:r w:rsidR="00A90593">
        <w:rPr>
          <w:rFonts w:ascii="楷体_GB2312" w:eastAsia="楷体_GB2312" w:hint="eastAsia"/>
          <w:noProof/>
        </w:rPr>
        <w:t>。</w:t>
      </w:r>
    </w:p>
    <w:p w:rsidR="002A372B" w:rsidRDefault="00BF0E3B" w:rsidP="005B219D">
      <w:pPr>
        <w:ind w:leftChars="1350" w:left="2835" w:firstLine="420"/>
        <w:rPr>
          <w:rFonts w:ascii="楷体_GB2312" w:eastAsia="楷体_GB2312" w:hint="eastAsia"/>
          <w:noProof/>
        </w:rPr>
      </w:pPr>
      <w:r>
        <w:rPr>
          <w:rFonts w:ascii="楷体_GB2312" w:eastAsia="楷体_GB2312" w:hint="eastAsia"/>
          <w:b/>
          <w:noProof/>
          <w:color w:val="FF0000"/>
        </w:rPr>
        <w:t>天弘永利B</w:t>
      </w:r>
      <w:r w:rsidR="005B219D">
        <w:rPr>
          <w:rFonts w:ascii="楷体_GB2312" w:eastAsia="楷体_GB2312" w:hint="eastAsia"/>
          <w:b/>
          <w:noProof/>
          <w:color w:val="FF0000"/>
        </w:rPr>
        <w:t>：</w:t>
      </w:r>
      <w:r w:rsidR="00726EB2" w:rsidRPr="00316D63">
        <w:rPr>
          <w:rFonts w:ascii="楷体_GB2312" w:eastAsia="楷体_GB2312" w:hint="eastAsia"/>
          <w:noProof/>
        </w:rPr>
        <w:t>基金定位</w:t>
      </w:r>
      <w:r>
        <w:rPr>
          <w:rFonts w:ascii="楷体_GB2312" w:eastAsia="楷体_GB2312" w:hint="eastAsia"/>
          <w:noProof/>
        </w:rPr>
        <w:t>二级债基</w:t>
      </w:r>
      <w:r w:rsidR="00726EB2" w:rsidRPr="00316D63">
        <w:rPr>
          <w:rFonts w:ascii="楷体_GB2312" w:eastAsia="楷体_GB2312" w:hint="eastAsia"/>
          <w:noProof/>
        </w:rPr>
        <w:t>，</w:t>
      </w:r>
      <w:r>
        <w:rPr>
          <w:rFonts w:ascii="楷体_GB2312" w:eastAsia="楷体_GB2312" w:hint="eastAsia"/>
          <w:noProof/>
        </w:rPr>
        <w:t>但在实际运作中</w:t>
      </w:r>
      <w:r w:rsidR="000B72A5">
        <w:rPr>
          <w:rFonts w:ascii="楷体_GB2312" w:eastAsia="楷体_GB2312" w:hint="eastAsia"/>
          <w:noProof/>
        </w:rPr>
        <w:t>基本不</w:t>
      </w:r>
      <w:r>
        <w:rPr>
          <w:rFonts w:ascii="楷体_GB2312" w:eastAsia="楷体_GB2312" w:hint="eastAsia"/>
          <w:noProof/>
        </w:rPr>
        <w:t>参与股票市场投资，专注于</w:t>
      </w:r>
      <w:r w:rsidR="00157F9D">
        <w:rPr>
          <w:rFonts w:ascii="楷体_GB2312" w:eastAsia="楷体_GB2312" w:hint="eastAsia"/>
          <w:noProof/>
        </w:rPr>
        <w:t>债券市场投资</w:t>
      </w:r>
      <w:r w:rsidR="000B72A5">
        <w:rPr>
          <w:rFonts w:ascii="楷体_GB2312" w:eastAsia="楷体_GB2312" w:hint="eastAsia"/>
          <w:noProof/>
        </w:rPr>
        <w:t>。</w:t>
      </w:r>
      <w:r w:rsidR="00157F9D">
        <w:rPr>
          <w:rFonts w:ascii="楷体_GB2312" w:eastAsia="楷体_GB2312" w:hint="eastAsia"/>
          <w:noProof/>
        </w:rPr>
        <w:t>券种配置上主要投资于企业债和企业短期融资券</w:t>
      </w:r>
      <w:r w:rsidR="000B72A5">
        <w:rPr>
          <w:rFonts w:ascii="楷体_GB2312" w:eastAsia="楷体_GB2312" w:hint="eastAsia"/>
          <w:noProof/>
        </w:rPr>
        <w:t>。基金</w:t>
      </w:r>
      <w:r w:rsidR="00022534">
        <w:rPr>
          <w:rFonts w:ascii="楷体_GB2312" w:eastAsia="楷体_GB2312" w:hint="eastAsia"/>
          <w:noProof/>
        </w:rPr>
        <w:t>业绩长期持续，投资管理能力排名靠前</w:t>
      </w:r>
      <w:r w:rsidR="005E4E9C">
        <w:rPr>
          <w:rFonts w:ascii="楷体_GB2312" w:eastAsia="楷体_GB2312" w:hint="eastAsia"/>
          <w:noProof/>
        </w:rPr>
        <w:t>。</w:t>
      </w:r>
    </w:p>
    <w:p w:rsidR="002034E5" w:rsidRDefault="002034E5" w:rsidP="002034E5">
      <w:pPr>
        <w:ind w:leftChars="1350" w:left="2835" w:firstLine="420"/>
        <w:rPr>
          <w:rFonts w:ascii="楷体_GB2312" w:eastAsia="楷体_GB2312"/>
          <w:noProof/>
        </w:rPr>
      </w:pPr>
      <w:r>
        <w:rPr>
          <w:rFonts w:ascii="楷体_GB2312" w:eastAsia="楷体_GB2312" w:hint="eastAsia"/>
          <w:b/>
          <w:noProof/>
          <w:color w:val="FF0000"/>
        </w:rPr>
        <w:t>建信货币：</w:t>
      </w:r>
      <w:r>
        <w:rPr>
          <w:rFonts w:ascii="楷体_GB2312" w:eastAsia="楷体_GB2312" w:hint="eastAsia"/>
          <w:noProof/>
        </w:rPr>
        <w:t>基金设立于</w:t>
      </w:r>
      <w:r w:rsidR="008B3109">
        <w:rPr>
          <w:rFonts w:ascii="楷体_GB2312" w:eastAsia="楷体_GB2312" w:hint="eastAsia"/>
          <w:noProof/>
        </w:rPr>
        <w:t>2006</w:t>
      </w:r>
      <w:r>
        <w:rPr>
          <w:rFonts w:ascii="楷体_GB2312" w:eastAsia="楷体_GB2312" w:hint="eastAsia"/>
          <w:noProof/>
        </w:rPr>
        <w:t>年</w:t>
      </w:r>
      <w:r w:rsidR="008B3109">
        <w:rPr>
          <w:rFonts w:ascii="楷体_GB2312" w:eastAsia="楷体_GB2312" w:hint="eastAsia"/>
          <w:noProof/>
        </w:rPr>
        <w:t>4月，截至2013年底</w:t>
      </w:r>
      <w:r w:rsidR="006A6B4B">
        <w:rPr>
          <w:rFonts w:ascii="楷体_GB2312" w:eastAsia="楷体_GB2312" w:hint="eastAsia"/>
          <w:noProof/>
        </w:rPr>
        <w:t>基金</w:t>
      </w:r>
      <w:r w:rsidR="008B3109">
        <w:rPr>
          <w:rFonts w:ascii="楷体_GB2312" w:eastAsia="楷体_GB2312" w:hint="eastAsia"/>
          <w:noProof/>
        </w:rPr>
        <w:t>规模196亿</w:t>
      </w:r>
      <w:r w:rsidR="006A6B4B">
        <w:rPr>
          <w:rFonts w:ascii="楷体_GB2312" w:eastAsia="楷体_GB2312" w:hint="eastAsia"/>
          <w:noProof/>
        </w:rPr>
        <w:t>份</w:t>
      </w:r>
      <w:r w:rsidR="008B3109">
        <w:rPr>
          <w:rFonts w:ascii="楷体_GB2312" w:eastAsia="楷体_GB2312" w:hint="eastAsia"/>
          <w:noProof/>
        </w:rPr>
        <w:t>，流动性较好，安全性高，历史业绩稳定。</w:t>
      </w:r>
    </w:p>
    <w:p w:rsidR="0017543C" w:rsidRPr="000D787B" w:rsidRDefault="0017543C" w:rsidP="0017543C">
      <w:pPr>
        <w:ind w:leftChars="1350" w:left="2835" w:firstLine="420"/>
        <w:rPr>
          <w:rFonts w:ascii="楷体_GB2312" w:eastAsia="楷体_GB2312"/>
          <w:noProof/>
        </w:rPr>
      </w:pPr>
      <w:r w:rsidRPr="000D787B">
        <w:rPr>
          <w:rFonts w:ascii="楷体_GB2312" w:eastAsia="楷体_GB2312" w:hint="eastAsia"/>
          <w:b/>
          <w:noProof/>
          <w:color w:val="FF0000"/>
        </w:rPr>
        <w:t>华夏现金</w:t>
      </w:r>
      <w:r w:rsidR="009C7CCD" w:rsidRPr="000D787B">
        <w:rPr>
          <w:rFonts w:ascii="楷体_GB2312" w:eastAsia="楷体_GB2312" w:hint="eastAsia"/>
          <w:b/>
          <w:noProof/>
          <w:color w:val="FF0000"/>
        </w:rPr>
        <w:t>A</w:t>
      </w:r>
      <w:r w:rsidRPr="000D787B">
        <w:rPr>
          <w:rFonts w:ascii="楷体_GB2312" w:eastAsia="楷体_GB2312" w:hint="eastAsia"/>
          <w:b/>
          <w:noProof/>
          <w:color w:val="FF0000"/>
        </w:rPr>
        <w:t>：</w:t>
      </w:r>
      <w:r w:rsidRPr="000D787B">
        <w:rPr>
          <w:rFonts w:ascii="楷体_GB2312" w:eastAsia="楷体_GB2312" w:hint="eastAsia"/>
          <w:noProof/>
        </w:rPr>
        <w:t>基金设立于</w:t>
      </w:r>
      <w:r w:rsidR="00364C92" w:rsidRPr="000D787B">
        <w:rPr>
          <w:rFonts w:ascii="楷体_GB2312" w:eastAsia="楷体_GB2312" w:hint="eastAsia"/>
          <w:noProof/>
        </w:rPr>
        <w:t>04年4月</w:t>
      </w:r>
      <w:r w:rsidRPr="000D787B">
        <w:rPr>
          <w:rFonts w:ascii="楷体_GB2312" w:eastAsia="楷体_GB2312" w:hint="eastAsia"/>
          <w:noProof/>
        </w:rPr>
        <w:t>，截至</w:t>
      </w:r>
      <w:r w:rsidR="006A6B4B">
        <w:rPr>
          <w:rFonts w:ascii="楷体_GB2312" w:eastAsia="楷体_GB2312" w:hint="eastAsia"/>
          <w:noProof/>
        </w:rPr>
        <w:t>2013年底</w:t>
      </w:r>
      <w:r w:rsidRPr="000D787B">
        <w:rPr>
          <w:rFonts w:ascii="楷体_GB2312" w:eastAsia="楷体_GB2312" w:hint="eastAsia"/>
          <w:noProof/>
        </w:rPr>
        <w:t>基金规模</w:t>
      </w:r>
      <w:r w:rsidR="004808FB" w:rsidRPr="000D787B">
        <w:rPr>
          <w:rFonts w:ascii="楷体_GB2312" w:eastAsia="楷体_GB2312"/>
          <w:noProof/>
        </w:rPr>
        <w:t>4</w:t>
      </w:r>
      <w:r w:rsidR="006A6B4B">
        <w:rPr>
          <w:rFonts w:ascii="楷体_GB2312" w:eastAsia="楷体_GB2312" w:hint="eastAsia"/>
          <w:noProof/>
        </w:rPr>
        <w:t>37</w:t>
      </w:r>
      <w:r w:rsidRPr="000D787B">
        <w:rPr>
          <w:rFonts w:ascii="楷体_GB2312" w:eastAsia="楷体_GB2312" w:hint="eastAsia"/>
          <w:noProof/>
        </w:rPr>
        <w:t>亿份，</w:t>
      </w:r>
      <w:r w:rsidR="006A6B4B">
        <w:rPr>
          <w:rFonts w:ascii="楷体_GB2312" w:eastAsia="楷体_GB2312" w:hint="eastAsia"/>
          <w:noProof/>
        </w:rPr>
        <w:t>属于市场中规模最大的货币市场基金之一，</w:t>
      </w:r>
      <w:r w:rsidR="002A5DEB" w:rsidRPr="000D787B">
        <w:rPr>
          <w:rFonts w:ascii="楷体_GB2312" w:eastAsia="楷体_GB2312" w:hint="eastAsia"/>
          <w:noProof/>
        </w:rPr>
        <w:t>流动性</w:t>
      </w:r>
      <w:r w:rsidR="005C6799" w:rsidRPr="000D787B">
        <w:rPr>
          <w:rFonts w:ascii="楷体_GB2312" w:eastAsia="楷体_GB2312" w:hint="eastAsia"/>
          <w:noProof/>
        </w:rPr>
        <w:t>较好</w:t>
      </w:r>
      <w:r w:rsidR="002A5DEB" w:rsidRPr="000D787B">
        <w:rPr>
          <w:rFonts w:ascii="楷体_GB2312" w:eastAsia="楷体_GB2312" w:hint="eastAsia"/>
          <w:noProof/>
        </w:rPr>
        <w:t>，</w:t>
      </w:r>
      <w:r w:rsidRPr="000D787B">
        <w:rPr>
          <w:rFonts w:ascii="楷体_GB2312" w:eastAsia="楷体_GB2312" w:hint="eastAsia"/>
          <w:noProof/>
        </w:rPr>
        <w:t>历史管理业绩优秀。</w:t>
      </w:r>
      <w:r w:rsidR="002A5DEB" w:rsidRPr="000D787B">
        <w:rPr>
          <w:rFonts w:ascii="楷体_GB2312" w:eastAsia="楷体_GB2312" w:hint="eastAsia"/>
          <w:noProof/>
        </w:rPr>
        <w:t>基金经理曲波管理该基金超过三年，经验丰富。</w:t>
      </w:r>
    </w:p>
    <w:p w:rsidR="0017543C" w:rsidRDefault="0017543C" w:rsidP="0017543C">
      <w:pPr>
        <w:ind w:leftChars="1350" w:left="2835" w:firstLine="420"/>
        <w:rPr>
          <w:rFonts w:ascii="楷体_GB2312" w:eastAsia="楷体_GB2312"/>
          <w:noProof/>
        </w:rPr>
      </w:pPr>
      <w:r w:rsidRPr="000D787B">
        <w:rPr>
          <w:rFonts w:ascii="楷体_GB2312" w:eastAsia="楷体_GB2312" w:hint="eastAsia"/>
          <w:b/>
          <w:noProof/>
          <w:color w:val="FF0000"/>
        </w:rPr>
        <w:t>广发货币B：</w:t>
      </w:r>
      <w:r w:rsidRPr="000D787B">
        <w:rPr>
          <w:rFonts w:ascii="楷体_GB2312" w:eastAsia="楷体_GB2312" w:hint="eastAsia"/>
          <w:noProof/>
        </w:rPr>
        <w:t>基金设立于05年5月，截至201</w:t>
      </w:r>
      <w:r w:rsidR="000C56F5" w:rsidRPr="000D787B">
        <w:rPr>
          <w:rFonts w:ascii="楷体_GB2312" w:eastAsia="楷体_GB2312" w:hint="eastAsia"/>
          <w:noProof/>
        </w:rPr>
        <w:t>3</w:t>
      </w:r>
      <w:r w:rsidR="006D5DC1" w:rsidRPr="000D787B">
        <w:rPr>
          <w:rFonts w:ascii="楷体_GB2312" w:eastAsia="楷体_GB2312" w:hint="eastAsia"/>
          <w:noProof/>
        </w:rPr>
        <w:t>三</w:t>
      </w:r>
      <w:r w:rsidR="00C35C46" w:rsidRPr="000D787B">
        <w:rPr>
          <w:rFonts w:ascii="楷体_GB2312" w:eastAsia="楷体_GB2312" w:hint="eastAsia"/>
          <w:noProof/>
        </w:rPr>
        <w:t>季度末</w:t>
      </w:r>
      <w:r w:rsidR="006A6B4B">
        <w:rPr>
          <w:rFonts w:ascii="楷体_GB2312" w:eastAsia="楷体_GB2312" w:hint="eastAsia"/>
          <w:noProof/>
        </w:rPr>
        <w:t>，基金A、B份额合计、</w:t>
      </w:r>
      <w:r w:rsidR="006A6B4B">
        <w:rPr>
          <w:rFonts w:ascii="Arial" w:hAnsi="Arial" w:cs="Arial" w:hint="eastAsia"/>
          <w:sz w:val="18"/>
          <w:szCs w:val="18"/>
        </w:rPr>
        <w:t>263</w:t>
      </w:r>
      <w:r w:rsidR="00AD2E8C" w:rsidRPr="000D787B">
        <w:rPr>
          <w:rFonts w:ascii="楷体_GB2312" w:eastAsia="楷体_GB2312" w:hint="eastAsia"/>
          <w:noProof/>
        </w:rPr>
        <w:t>亿份</w:t>
      </w:r>
      <w:r w:rsidR="00C23458" w:rsidRPr="000D787B">
        <w:rPr>
          <w:rFonts w:ascii="楷体_GB2312" w:eastAsia="楷体_GB2312" w:hint="eastAsia"/>
          <w:noProof/>
        </w:rPr>
        <w:t>，</w:t>
      </w:r>
      <w:r w:rsidRPr="000D787B">
        <w:rPr>
          <w:rFonts w:ascii="楷体_GB2312" w:eastAsia="楷体_GB2312" w:hint="eastAsia"/>
          <w:noProof/>
        </w:rPr>
        <w:t>流动性较好，历史管理业绩优秀。</w:t>
      </w:r>
    </w:p>
    <w:p w:rsidR="00721955" w:rsidRPr="003B6035" w:rsidRDefault="00721955" w:rsidP="003B6035">
      <w:pPr>
        <w:ind w:leftChars="1350" w:left="2835" w:firstLine="420"/>
        <w:rPr>
          <w:rFonts w:ascii="楷体_GB2312" w:eastAsia="楷体_GB2312"/>
          <w:b/>
          <w:color w:val="000000"/>
        </w:rPr>
      </w:pPr>
      <w:r w:rsidRPr="003B6035">
        <w:rPr>
          <w:rFonts w:ascii="楷体_GB2312" w:eastAsia="楷体_GB2312" w:hint="eastAsia"/>
          <w:b/>
          <w:color w:val="000000"/>
        </w:rPr>
        <w:t>表</w:t>
      </w:r>
      <w:r w:rsidR="00A3457F" w:rsidRPr="003B6035">
        <w:rPr>
          <w:rFonts w:ascii="楷体_GB2312" w:eastAsia="楷体_GB2312" w:hint="eastAsia"/>
          <w:b/>
          <w:color w:val="000000"/>
        </w:rPr>
        <w:t>2推荐基金基本情况</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
        <w:gridCol w:w="756"/>
        <w:gridCol w:w="995"/>
        <w:gridCol w:w="742"/>
        <w:gridCol w:w="1259"/>
        <w:gridCol w:w="1828"/>
        <w:gridCol w:w="1828"/>
      </w:tblGrid>
      <w:tr w:rsidR="008C0ECC" w:rsidRPr="002072D1" w:rsidTr="001964B3">
        <w:trPr>
          <w:trHeight w:val="397"/>
          <w:tblHeader/>
          <w:jc w:val="center"/>
        </w:trPr>
        <w:tc>
          <w:tcPr>
            <w:tcW w:w="0" w:type="auto"/>
            <w:shd w:val="clear" w:color="auto" w:fill="0000FF"/>
            <w:noWrap/>
            <w:vAlign w:val="center"/>
          </w:tcPr>
          <w:p w:rsidR="008C0ECC" w:rsidRPr="00604445" w:rsidRDefault="008C0ECC" w:rsidP="00A3457F">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8C0ECC" w:rsidRPr="00604445" w:rsidRDefault="008C0ECC" w:rsidP="00A3457F">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995" w:type="dxa"/>
            <w:shd w:val="clear" w:color="auto" w:fill="0000FF"/>
            <w:vAlign w:val="center"/>
          </w:tcPr>
          <w:p w:rsidR="008C0ECC" w:rsidRPr="00604445" w:rsidRDefault="008C0ECC" w:rsidP="009B44DF">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742" w:type="dxa"/>
            <w:shd w:val="clear" w:color="auto" w:fill="0000FF"/>
            <w:vAlign w:val="center"/>
          </w:tcPr>
          <w:p w:rsidR="008C0ECC" w:rsidRPr="00604445" w:rsidRDefault="008C0ECC" w:rsidP="009B44DF">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8C0ECC" w:rsidRPr="00604445" w:rsidRDefault="008C0ECC" w:rsidP="00A3457F">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基金经理</w:t>
            </w:r>
          </w:p>
        </w:tc>
        <w:tc>
          <w:tcPr>
            <w:tcW w:w="0" w:type="auto"/>
            <w:shd w:val="clear" w:color="auto" w:fill="0000FF"/>
            <w:vAlign w:val="center"/>
          </w:tcPr>
          <w:p w:rsidR="008C0ECC" w:rsidRPr="00604445" w:rsidRDefault="008C0ECC" w:rsidP="00A3457F">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8C0ECC" w:rsidRPr="00604445" w:rsidRDefault="008C0ECC" w:rsidP="00A3457F">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8C0ECC" w:rsidRPr="002072D1" w:rsidTr="001964B3">
        <w:trPr>
          <w:trHeight w:val="397"/>
          <w:jc w:val="center"/>
        </w:trPr>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银河成长</w:t>
            </w:r>
          </w:p>
        </w:tc>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8261FB">
              <w:rPr>
                <w:rFonts w:ascii="楷体_GB2312" w:eastAsia="楷体_GB2312" w:hAnsi="宋体" w:cs="宋体"/>
                <w:color w:val="0D0D0D"/>
                <w:kern w:val="0"/>
                <w:sz w:val="18"/>
                <w:szCs w:val="18"/>
              </w:rPr>
              <w:t>519668</w:t>
            </w:r>
          </w:p>
        </w:tc>
        <w:tc>
          <w:tcPr>
            <w:tcW w:w="995"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742"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银河</w:t>
            </w:r>
          </w:p>
        </w:tc>
        <w:tc>
          <w:tcPr>
            <w:tcW w:w="0" w:type="auto"/>
            <w:shd w:val="clear" w:color="auto" w:fill="auto"/>
            <w:vAlign w:val="center"/>
          </w:tcPr>
          <w:p w:rsidR="008C0ECC" w:rsidRPr="001941AC" w:rsidRDefault="009860C3" w:rsidP="00AD2E8C">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王培</w:t>
            </w:r>
          </w:p>
        </w:tc>
        <w:tc>
          <w:tcPr>
            <w:tcW w:w="0" w:type="auto"/>
            <w:shd w:val="clear" w:color="auto" w:fill="auto"/>
            <w:vAlign w:val="center"/>
          </w:tcPr>
          <w:p w:rsidR="008C0ECC" w:rsidRPr="0033677C" w:rsidRDefault="008C0ECC" w:rsidP="00AD2E8C">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sidR="00FE656F"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8C0ECC" w:rsidRPr="0033677C" w:rsidRDefault="00202DC8" w:rsidP="00AD2E8C">
            <w:pPr>
              <w:keepLines/>
              <w:adjustRightInd w:val="0"/>
              <w:snapToGrid w:val="0"/>
              <w:jc w:val="center"/>
              <w:rPr>
                <w:rFonts w:ascii="楷体_GB2312" w:eastAsia="楷体_GB2312" w:hAnsi="宋体" w:cs="宋体"/>
                <w:color w:val="000000"/>
                <w:kern w:val="0"/>
                <w:sz w:val="18"/>
                <w:szCs w:val="18"/>
              </w:rPr>
            </w:pPr>
            <w:r w:rsidRPr="004B0A06">
              <w:rPr>
                <w:rFonts w:ascii="楷体_GB2312" w:eastAsia="楷体_GB2312" w:hAnsi="宋体" w:cs="宋体" w:hint="eastAsia"/>
                <w:color w:val="FF0000"/>
                <w:kern w:val="0"/>
                <w:sz w:val="18"/>
                <w:szCs w:val="18"/>
              </w:rPr>
              <w:t>★</w:t>
            </w:r>
            <w:r w:rsidR="008C0ECC" w:rsidRPr="004B0A06">
              <w:rPr>
                <w:rFonts w:ascii="楷体_GB2312" w:eastAsia="楷体_GB2312" w:hAnsi="宋体" w:cs="宋体" w:hint="eastAsia"/>
                <w:color w:val="FF0000"/>
                <w:kern w:val="0"/>
                <w:sz w:val="18"/>
                <w:szCs w:val="18"/>
              </w:rPr>
              <w:t>★★★★</w:t>
            </w:r>
          </w:p>
        </w:tc>
      </w:tr>
      <w:tr w:rsidR="008C0ECC" w:rsidRPr="002072D1" w:rsidTr="001964B3">
        <w:trPr>
          <w:trHeight w:val="397"/>
          <w:jc w:val="center"/>
        </w:trPr>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8261FB">
              <w:rPr>
                <w:rFonts w:ascii="楷体_GB2312" w:eastAsia="楷体_GB2312" w:hAnsi="宋体" w:cs="宋体"/>
                <w:color w:val="0D0D0D"/>
                <w:kern w:val="0"/>
                <w:sz w:val="18"/>
                <w:szCs w:val="18"/>
              </w:rPr>
              <w:t>519069</w:t>
            </w:r>
          </w:p>
        </w:tc>
        <w:tc>
          <w:tcPr>
            <w:tcW w:w="995"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742"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汇添富</w:t>
            </w:r>
          </w:p>
        </w:tc>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757118">
              <w:rPr>
                <w:rFonts w:ascii="楷体_GB2312" w:eastAsia="楷体_GB2312" w:hAnsi="宋体" w:cs="宋体" w:hint="eastAsia"/>
                <w:color w:val="0D0D0D"/>
                <w:kern w:val="0"/>
                <w:sz w:val="18"/>
                <w:szCs w:val="18"/>
              </w:rPr>
              <w:t>陈晓翔</w:t>
            </w:r>
          </w:p>
        </w:tc>
        <w:tc>
          <w:tcPr>
            <w:tcW w:w="0" w:type="auto"/>
            <w:shd w:val="clear" w:color="auto" w:fill="auto"/>
            <w:vAlign w:val="center"/>
          </w:tcPr>
          <w:p w:rsidR="008C0ECC" w:rsidRPr="0033677C" w:rsidRDefault="008C0ECC" w:rsidP="009B44DF">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sidR="00FE656F"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8C0ECC" w:rsidRPr="0033677C" w:rsidRDefault="008C0ECC" w:rsidP="009B44DF">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sidR="00FE656F" w:rsidRPr="004B0A06">
              <w:rPr>
                <w:rFonts w:ascii="楷体_GB2312" w:eastAsia="楷体_GB2312" w:hAnsi="宋体" w:cs="宋体" w:hint="eastAsia"/>
                <w:color w:val="FF0000"/>
                <w:kern w:val="0"/>
                <w:sz w:val="18"/>
                <w:szCs w:val="18"/>
              </w:rPr>
              <w:t>★</w:t>
            </w:r>
          </w:p>
        </w:tc>
      </w:tr>
      <w:tr w:rsidR="008C0ECC" w:rsidRPr="002072D1" w:rsidTr="001964B3">
        <w:trPr>
          <w:trHeight w:val="397"/>
          <w:jc w:val="center"/>
        </w:trPr>
        <w:tc>
          <w:tcPr>
            <w:tcW w:w="0" w:type="auto"/>
            <w:shd w:val="clear" w:color="auto" w:fill="auto"/>
            <w:vAlign w:val="center"/>
          </w:tcPr>
          <w:p w:rsidR="008C0ECC" w:rsidRDefault="008C0ECC" w:rsidP="009B44DF">
            <w:pPr>
              <w:keepLines/>
              <w:adjustRightInd w:val="0"/>
              <w:snapToGrid w:val="0"/>
              <w:jc w:val="center"/>
              <w:rPr>
                <w:rFonts w:ascii="楷体_GB2312" w:eastAsia="楷体_GB2312" w:hAnsi="宋体" w:cs="宋体"/>
                <w:b/>
                <w:bCs/>
                <w:color w:val="0D0D0D"/>
                <w:kern w:val="0"/>
                <w:sz w:val="18"/>
                <w:szCs w:val="18"/>
              </w:rPr>
            </w:pPr>
            <w:r w:rsidRPr="00156DE0">
              <w:rPr>
                <w:rFonts w:ascii="楷体_GB2312" w:eastAsia="楷体_GB2312" w:hAnsi="宋体" w:cs="宋体" w:hint="eastAsia"/>
                <w:b/>
                <w:bCs/>
                <w:color w:val="0D0D0D"/>
                <w:kern w:val="0"/>
                <w:sz w:val="18"/>
                <w:szCs w:val="18"/>
              </w:rPr>
              <w:t>富国</w:t>
            </w:r>
            <w:r>
              <w:rPr>
                <w:rFonts w:ascii="楷体_GB2312" w:eastAsia="楷体_GB2312" w:hAnsi="宋体" w:cs="宋体" w:hint="eastAsia"/>
                <w:b/>
                <w:bCs/>
                <w:color w:val="0D0D0D"/>
                <w:kern w:val="0"/>
                <w:sz w:val="18"/>
                <w:szCs w:val="18"/>
              </w:rPr>
              <w:t>天惠</w:t>
            </w:r>
          </w:p>
        </w:tc>
        <w:tc>
          <w:tcPr>
            <w:tcW w:w="0" w:type="auto"/>
            <w:shd w:val="clear" w:color="auto" w:fill="auto"/>
            <w:vAlign w:val="center"/>
          </w:tcPr>
          <w:p w:rsidR="008C0ECC" w:rsidRDefault="008C0ECC" w:rsidP="009B44DF">
            <w:pPr>
              <w:keepLines/>
              <w:adjustRightInd w:val="0"/>
              <w:snapToGrid w:val="0"/>
              <w:jc w:val="center"/>
              <w:rPr>
                <w:rFonts w:ascii="楷体_GB2312" w:eastAsia="楷体_GB2312" w:hAnsi="宋体" w:cs="宋体"/>
                <w:color w:val="0D0D0D"/>
                <w:kern w:val="0"/>
                <w:sz w:val="18"/>
                <w:szCs w:val="18"/>
              </w:rPr>
            </w:pPr>
            <w:r w:rsidRPr="008261FB">
              <w:rPr>
                <w:rFonts w:ascii="楷体_GB2312" w:eastAsia="楷体_GB2312" w:hAnsi="宋体" w:cs="宋体"/>
                <w:color w:val="0D0D0D"/>
                <w:kern w:val="0"/>
                <w:sz w:val="18"/>
                <w:szCs w:val="18"/>
              </w:rPr>
              <w:t>161005</w:t>
            </w:r>
          </w:p>
        </w:tc>
        <w:tc>
          <w:tcPr>
            <w:tcW w:w="995" w:type="dxa"/>
            <w:vAlign w:val="center"/>
          </w:tcPr>
          <w:p w:rsidR="008C0ECC" w:rsidRDefault="008C0ECC"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混合型</w:t>
            </w:r>
          </w:p>
        </w:tc>
        <w:tc>
          <w:tcPr>
            <w:tcW w:w="742" w:type="dxa"/>
            <w:vAlign w:val="center"/>
          </w:tcPr>
          <w:p w:rsidR="008C0ECC" w:rsidRDefault="008C0ECC"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富国</w:t>
            </w:r>
          </w:p>
        </w:tc>
        <w:tc>
          <w:tcPr>
            <w:tcW w:w="0" w:type="auto"/>
            <w:shd w:val="clear" w:color="auto" w:fill="auto"/>
            <w:vAlign w:val="center"/>
          </w:tcPr>
          <w:p w:rsidR="008C0ECC" w:rsidRDefault="008C0ECC" w:rsidP="00AD2E8C">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朱少醒</w:t>
            </w:r>
          </w:p>
        </w:tc>
        <w:tc>
          <w:tcPr>
            <w:tcW w:w="0" w:type="auto"/>
            <w:shd w:val="clear" w:color="auto" w:fill="auto"/>
          </w:tcPr>
          <w:p w:rsidR="008C0ECC" w:rsidRPr="00751EC2" w:rsidRDefault="008C0ECC" w:rsidP="00EF07F3">
            <w:pPr>
              <w:jc w:val="center"/>
              <w:rPr>
                <w:rFonts w:ascii="楷体_GB2312" w:eastAsia="楷体_GB2312" w:hAnsi="宋体" w:cs="宋体"/>
                <w:color w:val="FF0000"/>
                <w:kern w:val="0"/>
                <w:sz w:val="18"/>
                <w:szCs w:val="18"/>
              </w:rPr>
            </w:pPr>
            <w:r>
              <w:rPr>
                <w:rFonts w:ascii="楷体_GB2312" w:eastAsia="楷体_GB2312" w:hAnsi="宋体" w:cs="宋体" w:hint="eastAsia"/>
                <w:color w:val="FF0000"/>
                <w:kern w:val="0"/>
                <w:sz w:val="18"/>
                <w:szCs w:val="18"/>
              </w:rPr>
              <w:t>★★★</w:t>
            </w:r>
            <w:r w:rsidR="00FE656F"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8C0ECC" w:rsidRPr="0033677C" w:rsidRDefault="00FE656F" w:rsidP="009B44DF">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008C0ECC" w:rsidRPr="004B0A06">
              <w:rPr>
                <w:rFonts w:ascii="楷体_GB2312" w:eastAsia="楷体_GB2312" w:hAnsi="宋体" w:cs="宋体" w:hint="eastAsia"/>
                <w:color w:val="FF0000"/>
                <w:kern w:val="0"/>
                <w:sz w:val="18"/>
                <w:szCs w:val="18"/>
              </w:rPr>
              <w:t>★★</w:t>
            </w:r>
          </w:p>
        </w:tc>
      </w:tr>
      <w:tr w:rsidR="008C0ECC" w:rsidRPr="002072D1" w:rsidTr="001964B3">
        <w:trPr>
          <w:trHeight w:val="397"/>
          <w:jc w:val="center"/>
        </w:trPr>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lastRenderedPageBreak/>
              <w:t>嘉实精选</w:t>
            </w:r>
          </w:p>
        </w:tc>
        <w:tc>
          <w:tcPr>
            <w:tcW w:w="0" w:type="auto"/>
            <w:shd w:val="clear" w:color="auto" w:fill="auto"/>
            <w:vAlign w:val="center"/>
          </w:tcPr>
          <w:p w:rsidR="008C0ECC" w:rsidRPr="001941AC" w:rsidRDefault="008C0ECC" w:rsidP="00AD2E8C">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070013</w:t>
            </w:r>
          </w:p>
        </w:tc>
        <w:tc>
          <w:tcPr>
            <w:tcW w:w="995"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股票型</w:t>
            </w:r>
          </w:p>
        </w:tc>
        <w:tc>
          <w:tcPr>
            <w:tcW w:w="742"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嘉实</w:t>
            </w:r>
          </w:p>
        </w:tc>
        <w:tc>
          <w:tcPr>
            <w:tcW w:w="0" w:type="auto"/>
            <w:shd w:val="clear" w:color="auto" w:fill="auto"/>
            <w:vAlign w:val="center"/>
          </w:tcPr>
          <w:p w:rsidR="008C0ECC" w:rsidRPr="001941AC" w:rsidRDefault="008C0ECC" w:rsidP="00AD2E8C">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张</w:t>
            </w:r>
            <w:r w:rsidRPr="00757118">
              <w:rPr>
                <w:rFonts w:ascii="宋体" w:hAnsi="宋体" w:cs="宋体" w:hint="eastAsia"/>
                <w:color w:val="0D0D0D"/>
                <w:kern w:val="0"/>
                <w:sz w:val="18"/>
                <w:szCs w:val="18"/>
              </w:rPr>
              <w:t>弢</w:t>
            </w:r>
          </w:p>
        </w:tc>
        <w:tc>
          <w:tcPr>
            <w:tcW w:w="0" w:type="auto"/>
            <w:shd w:val="clear" w:color="auto" w:fill="auto"/>
            <w:vAlign w:val="center"/>
          </w:tcPr>
          <w:p w:rsidR="008C0ECC" w:rsidRPr="0033677C" w:rsidRDefault="00FE656F" w:rsidP="00345C30">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008C0ECC" w:rsidRPr="004B0A06">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8C0ECC" w:rsidRPr="0033677C" w:rsidRDefault="008C0ECC" w:rsidP="00345C30">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994757" w:rsidRPr="002072D1" w:rsidTr="001964B3">
        <w:trPr>
          <w:trHeight w:val="397"/>
          <w:jc w:val="center"/>
        </w:trPr>
        <w:tc>
          <w:tcPr>
            <w:tcW w:w="0" w:type="auto"/>
            <w:shd w:val="clear" w:color="auto" w:fill="auto"/>
            <w:vAlign w:val="center"/>
          </w:tcPr>
          <w:p w:rsidR="00994757" w:rsidRPr="001941AC" w:rsidRDefault="008B07E5" w:rsidP="009B44DF">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天弘永利B</w:t>
            </w:r>
          </w:p>
        </w:tc>
        <w:tc>
          <w:tcPr>
            <w:tcW w:w="0" w:type="auto"/>
            <w:shd w:val="clear" w:color="auto" w:fill="auto"/>
            <w:vAlign w:val="center"/>
          </w:tcPr>
          <w:p w:rsidR="00994757" w:rsidRPr="001941AC" w:rsidRDefault="008B07E5" w:rsidP="008D111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420102</w:t>
            </w:r>
          </w:p>
        </w:tc>
        <w:tc>
          <w:tcPr>
            <w:tcW w:w="995" w:type="dxa"/>
            <w:vAlign w:val="center"/>
          </w:tcPr>
          <w:p w:rsidR="00994757" w:rsidRPr="001941AC" w:rsidRDefault="00994757"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742" w:type="dxa"/>
            <w:vAlign w:val="center"/>
          </w:tcPr>
          <w:p w:rsidR="00994757" w:rsidRPr="001941AC" w:rsidRDefault="008B07E5" w:rsidP="009B44DF">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天弘</w:t>
            </w:r>
          </w:p>
        </w:tc>
        <w:tc>
          <w:tcPr>
            <w:tcW w:w="0" w:type="auto"/>
            <w:shd w:val="clear" w:color="auto" w:fill="auto"/>
            <w:vAlign w:val="center"/>
          </w:tcPr>
          <w:p w:rsidR="00994757" w:rsidRPr="00757118" w:rsidRDefault="008B07E5" w:rsidP="00A3457F">
            <w:pPr>
              <w:keepLines/>
              <w:adjustRightInd w:val="0"/>
              <w:snapToGrid w:val="0"/>
              <w:jc w:val="center"/>
              <w:rPr>
                <w:rFonts w:ascii="楷体_GB2312" w:eastAsia="楷体_GB2312" w:hAnsi="宋体" w:cs="宋体"/>
                <w:color w:val="0D0D0D"/>
                <w:kern w:val="0"/>
                <w:sz w:val="18"/>
                <w:szCs w:val="18"/>
              </w:rPr>
            </w:pPr>
            <w:r w:rsidRPr="008B07E5">
              <w:rPr>
                <w:rFonts w:ascii="楷体_GB2312" w:eastAsia="楷体_GB2312" w:hAnsi="宋体" w:cs="宋体" w:hint="eastAsia"/>
                <w:color w:val="0D0D0D"/>
                <w:kern w:val="0"/>
                <w:sz w:val="18"/>
                <w:szCs w:val="18"/>
              </w:rPr>
              <w:t>陈钢、姜晓丽</w:t>
            </w:r>
          </w:p>
        </w:tc>
        <w:tc>
          <w:tcPr>
            <w:tcW w:w="0" w:type="auto"/>
            <w:shd w:val="clear" w:color="auto" w:fill="auto"/>
            <w:vAlign w:val="center"/>
          </w:tcPr>
          <w:p w:rsidR="00994757" w:rsidRPr="0033677C" w:rsidRDefault="00994757" w:rsidP="00737925">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994757" w:rsidRPr="0033677C" w:rsidRDefault="00994757" w:rsidP="00737925">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8C0ECC" w:rsidRPr="002072D1" w:rsidTr="001964B3">
        <w:trPr>
          <w:trHeight w:val="397"/>
          <w:jc w:val="center"/>
        </w:trPr>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8C0ECC" w:rsidRPr="001941AC" w:rsidRDefault="008C0ECC" w:rsidP="008D1111">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995"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742"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8C0ECC" w:rsidRPr="00757118" w:rsidRDefault="008C0ECC" w:rsidP="00A3457F">
            <w:pPr>
              <w:keepLines/>
              <w:adjustRightInd w:val="0"/>
              <w:snapToGrid w:val="0"/>
              <w:jc w:val="center"/>
              <w:rPr>
                <w:rFonts w:ascii="楷体_GB2312" w:eastAsia="楷体_GB2312" w:hAnsi="宋体" w:cs="宋体"/>
                <w:color w:val="0D0D0D"/>
                <w:kern w:val="0"/>
                <w:sz w:val="18"/>
                <w:szCs w:val="18"/>
              </w:rPr>
            </w:pPr>
            <w:r w:rsidRPr="00757118">
              <w:rPr>
                <w:rFonts w:ascii="楷体_GB2312" w:eastAsia="楷体_GB2312" w:hAnsi="宋体" w:cs="宋体" w:hint="eastAsia"/>
                <w:color w:val="0D0D0D"/>
                <w:kern w:val="0"/>
                <w:sz w:val="18"/>
                <w:szCs w:val="18"/>
              </w:rPr>
              <w:t>曲波</w:t>
            </w:r>
          </w:p>
        </w:tc>
        <w:tc>
          <w:tcPr>
            <w:tcW w:w="0" w:type="auto"/>
            <w:shd w:val="clear" w:color="auto" w:fill="auto"/>
            <w:vAlign w:val="center"/>
          </w:tcPr>
          <w:p w:rsidR="008C0ECC" w:rsidRPr="0033677C" w:rsidRDefault="008C0ECC" w:rsidP="004539A3">
            <w:pPr>
              <w:keepLines/>
              <w:adjustRightInd w:val="0"/>
              <w:snapToGrid w:val="0"/>
              <w:jc w:val="center"/>
              <w:rPr>
                <w:rFonts w:ascii="楷体_GB2312" w:eastAsia="楷体_GB2312" w:hAnsi="宋体" w:cs="宋体"/>
                <w:color w:val="000000"/>
                <w:kern w:val="0"/>
                <w:sz w:val="18"/>
                <w:szCs w:val="18"/>
              </w:rPr>
            </w:pPr>
            <w:r w:rsidRPr="0033677C">
              <w:rPr>
                <w:rFonts w:ascii="楷体_GB2312" w:eastAsia="楷体_GB2312" w:hAnsi="宋体" w:cs="宋体" w:hint="eastAsia"/>
                <w:color w:val="000000"/>
                <w:kern w:val="0"/>
                <w:sz w:val="18"/>
                <w:szCs w:val="18"/>
              </w:rPr>
              <w:t>——</w:t>
            </w:r>
          </w:p>
        </w:tc>
        <w:tc>
          <w:tcPr>
            <w:tcW w:w="0" w:type="auto"/>
            <w:shd w:val="clear" w:color="auto" w:fill="auto"/>
            <w:vAlign w:val="center"/>
          </w:tcPr>
          <w:p w:rsidR="008C0ECC" w:rsidRPr="0033677C" w:rsidRDefault="008C0ECC" w:rsidP="00254235">
            <w:pPr>
              <w:keepLines/>
              <w:adjustRightInd w:val="0"/>
              <w:snapToGrid w:val="0"/>
              <w:jc w:val="center"/>
              <w:rPr>
                <w:rFonts w:ascii="楷体_GB2312" w:eastAsia="楷体_GB2312" w:hAnsi="宋体" w:cs="宋体"/>
                <w:color w:val="000000"/>
                <w:kern w:val="0"/>
                <w:sz w:val="18"/>
                <w:szCs w:val="18"/>
              </w:rPr>
            </w:pPr>
            <w:r w:rsidRPr="0033677C">
              <w:rPr>
                <w:rFonts w:ascii="楷体_GB2312" w:eastAsia="楷体_GB2312" w:hAnsi="宋体" w:cs="宋体" w:hint="eastAsia"/>
                <w:color w:val="000000"/>
                <w:kern w:val="0"/>
                <w:sz w:val="18"/>
                <w:szCs w:val="18"/>
              </w:rPr>
              <w:t>——</w:t>
            </w:r>
          </w:p>
        </w:tc>
      </w:tr>
      <w:tr w:rsidR="008C0ECC" w:rsidRPr="002072D1" w:rsidTr="001964B3">
        <w:trPr>
          <w:trHeight w:val="397"/>
          <w:jc w:val="center"/>
        </w:trPr>
        <w:tc>
          <w:tcPr>
            <w:tcW w:w="0" w:type="auto"/>
            <w:shd w:val="clear" w:color="auto" w:fill="auto"/>
            <w:vAlign w:val="center"/>
          </w:tcPr>
          <w:p w:rsidR="008C0ECC" w:rsidRPr="001941AC" w:rsidRDefault="008C0ECC" w:rsidP="009B44DF">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8C0ECC" w:rsidRPr="001941AC" w:rsidRDefault="008C0ECC" w:rsidP="004539A3">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270014</w:t>
            </w:r>
          </w:p>
        </w:tc>
        <w:tc>
          <w:tcPr>
            <w:tcW w:w="995"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742" w:type="dxa"/>
            <w:vAlign w:val="center"/>
          </w:tcPr>
          <w:p w:rsidR="008C0ECC" w:rsidRPr="001941AC" w:rsidRDefault="008C0ECC" w:rsidP="009B44DF">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广发</w:t>
            </w:r>
          </w:p>
        </w:tc>
        <w:tc>
          <w:tcPr>
            <w:tcW w:w="0" w:type="auto"/>
            <w:shd w:val="clear" w:color="auto" w:fill="auto"/>
            <w:vAlign w:val="center"/>
          </w:tcPr>
          <w:p w:rsidR="008C0ECC" w:rsidRPr="00757118" w:rsidRDefault="008C0ECC" w:rsidP="001329DD">
            <w:pPr>
              <w:keepLines/>
              <w:adjustRightInd w:val="0"/>
              <w:snapToGrid w:val="0"/>
              <w:jc w:val="center"/>
              <w:rPr>
                <w:rFonts w:ascii="楷体_GB2312" w:eastAsia="楷体_GB2312" w:hAnsi="宋体" w:cs="宋体"/>
                <w:color w:val="0D0D0D"/>
                <w:kern w:val="0"/>
                <w:sz w:val="18"/>
                <w:szCs w:val="18"/>
              </w:rPr>
            </w:pPr>
            <w:r w:rsidRPr="00757118">
              <w:rPr>
                <w:rFonts w:ascii="楷体_GB2312" w:eastAsia="楷体_GB2312" w:hAnsi="宋体" w:cs="宋体" w:hint="eastAsia"/>
                <w:color w:val="0D0D0D"/>
                <w:kern w:val="0"/>
                <w:sz w:val="18"/>
                <w:szCs w:val="18"/>
              </w:rPr>
              <w:t>温秀娟</w:t>
            </w:r>
          </w:p>
        </w:tc>
        <w:tc>
          <w:tcPr>
            <w:tcW w:w="0" w:type="auto"/>
            <w:shd w:val="clear" w:color="auto" w:fill="auto"/>
            <w:vAlign w:val="center"/>
          </w:tcPr>
          <w:p w:rsidR="008C0ECC" w:rsidRPr="0033677C" w:rsidRDefault="008C0ECC" w:rsidP="004539A3">
            <w:pPr>
              <w:keepLines/>
              <w:adjustRightInd w:val="0"/>
              <w:snapToGrid w:val="0"/>
              <w:jc w:val="center"/>
              <w:rPr>
                <w:rFonts w:ascii="楷体_GB2312" w:eastAsia="楷体_GB2312" w:hAnsi="宋体" w:cs="宋体"/>
                <w:color w:val="000000"/>
                <w:kern w:val="0"/>
                <w:sz w:val="18"/>
                <w:szCs w:val="18"/>
              </w:rPr>
            </w:pPr>
            <w:r w:rsidRPr="0033677C">
              <w:rPr>
                <w:rFonts w:ascii="楷体_GB2312" w:eastAsia="楷体_GB2312" w:hAnsi="宋体" w:cs="宋体" w:hint="eastAsia"/>
                <w:color w:val="000000"/>
                <w:kern w:val="0"/>
                <w:sz w:val="18"/>
                <w:szCs w:val="18"/>
              </w:rPr>
              <w:t>——</w:t>
            </w:r>
          </w:p>
        </w:tc>
        <w:tc>
          <w:tcPr>
            <w:tcW w:w="0" w:type="auto"/>
            <w:shd w:val="clear" w:color="auto" w:fill="auto"/>
            <w:vAlign w:val="center"/>
          </w:tcPr>
          <w:p w:rsidR="008C0ECC" w:rsidRPr="0033677C" w:rsidRDefault="008C0ECC" w:rsidP="00254235">
            <w:pPr>
              <w:keepLines/>
              <w:adjustRightInd w:val="0"/>
              <w:snapToGrid w:val="0"/>
              <w:jc w:val="center"/>
              <w:rPr>
                <w:rFonts w:ascii="楷体_GB2312" w:eastAsia="楷体_GB2312" w:hAnsi="宋体" w:cs="宋体"/>
                <w:color w:val="000000"/>
                <w:kern w:val="0"/>
                <w:sz w:val="18"/>
                <w:szCs w:val="18"/>
              </w:rPr>
            </w:pPr>
            <w:r w:rsidRPr="0033677C">
              <w:rPr>
                <w:rFonts w:ascii="楷体_GB2312" w:eastAsia="楷体_GB2312" w:hAnsi="宋体" w:cs="宋体" w:hint="eastAsia"/>
                <w:color w:val="000000"/>
                <w:kern w:val="0"/>
                <w:sz w:val="18"/>
                <w:szCs w:val="18"/>
              </w:rPr>
              <w:t>——</w:t>
            </w:r>
          </w:p>
        </w:tc>
      </w:tr>
    </w:tbl>
    <w:bookmarkEnd w:id="0"/>
    <w:p w:rsidR="00E10DC5" w:rsidRDefault="00721955" w:rsidP="00154B70">
      <w:pPr>
        <w:keepLines/>
        <w:adjustRightInd w:val="0"/>
        <w:snapToGrid w:val="0"/>
        <w:ind w:firstLineChars="300" w:firstLine="630"/>
        <w:rPr>
          <w:rFonts w:ascii="楷体_GB2312" w:eastAsia="楷体_GB2312"/>
          <w:noProof/>
        </w:rPr>
      </w:pPr>
      <w:r w:rsidRPr="003D6908">
        <w:rPr>
          <w:rFonts w:ascii="楷体_GB2312" w:eastAsia="楷体_GB2312" w:hint="eastAsia"/>
          <w:noProof/>
        </w:rPr>
        <w:t>数据来源：wind上海证券基金评价研究中心</w:t>
      </w:r>
      <w:r w:rsidR="00154B70">
        <w:rPr>
          <w:rFonts w:ascii="楷体_GB2312" w:eastAsia="楷体_GB2312" w:hint="eastAsia"/>
          <w:noProof/>
        </w:rPr>
        <w:t>。</w:t>
      </w:r>
    </w:p>
    <w:p w:rsidR="00882609" w:rsidRDefault="005679FE" w:rsidP="00154B70">
      <w:pPr>
        <w:keepLines/>
        <w:adjustRightInd w:val="0"/>
        <w:snapToGrid w:val="0"/>
        <w:ind w:firstLineChars="300" w:firstLine="630"/>
        <w:rPr>
          <w:rFonts w:ascii="楷体_GB2312" w:eastAsia="楷体_GB2312"/>
          <w:noProof/>
        </w:rPr>
      </w:pPr>
      <w:r>
        <w:rPr>
          <w:rFonts w:ascii="楷体_GB2312" w:eastAsia="楷体_GB2312" w:hint="eastAsia"/>
          <w:noProof/>
        </w:rPr>
        <w:t>信息披露：</w:t>
      </w:r>
      <w:r w:rsidR="004A5675">
        <w:rPr>
          <w:rFonts w:ascii="楷体_GB2312" w:eastAsia="楷体_GB2312" w:hint="eastAsia"/>
          <w:noProof/>
        </w:rPr>
        <w:t>嘉实精选、</w:t>
      </w:r>
      <w:r w:rsidR="00E3456D" w:rsidRPr="00E3456D">
        <w:rPr>
          <w:rFonts w:ascii="楷体_GB2312" w:eastAsia="楷体_GB2312" w:hint="eastAsia"/>
          <w:noProof/>
        </w:rPr>
        <w:t>华夏现金</w:t>
      </w:r>
      <w:r w:rsidR="00B30B90">
        <w:rPr>
          <w:rFonts w:ascii="楷体_GB2312" w:eastAsia="楷体_GB2312" w:hint="eastAsia"/>
          <w:noProof/>
        </w:rPr>
        <w:t>、华夏亚债A</w:t>
      </w:r>
      <w:r w:rsidR="00A20015">
        <w:rPr>
          <w:rFonts w:ascii="楷体_GB2312" w:eastAsia="楷体_GB2312" w:hint="eastAsia"/>
          <w:noProof/>
        </w:rPr>
        <w:t>上海证券代销</w:t>
      </w:r>
    </w:p>
    <w:p w:rsidR="00EB5D3C" w:rsidRDefault="00EB5D3C" w:rsidP="00A3457F">
      <w:pPr>
        <w:keepLines/>
        <w:adjustRightInd w:val="0"/>
        <w:snapToGrid w:val="0"/>
        <w:ind w:leftChars="1350" w:left="2835"/>
        <w:rPr>
          <w:rFonts w:ascii="楷体_GB2312" w:eastAsia="楷体_GB2312"/>
          <w:noProof/>
        </w:rPr>
      </w:pPr>
    </w:p>
    <w:p w:rsidR="008E0A57" w:rsidRPr="004C1094" w:rsidRDefault="00534A78" w:rsidP="008E0A57">
      <w:pPr>
        <w:ind w:leftChars="1350" w:left="2835" w:firstLine="420"/>
        <w:rPr>
          <w:rFonts w:ascii="黑体" w:eastAsia="黑体" w:hAnsi="宋体-18030" w:cs="宋体-18030"/>
          <w:b/>
          <w:bCs/>
          <w:color w:val="000000"/>
          <w:kern w:val="44"/>
          <w:sz w:val="28"/>
          <w:szCs w:val="28"/>
        </w:rPr>
      </w:pPr>
      <w:r w:rsidRPr="004C1094">
        <w:rPr>
          <w:rFonts w:ascii="黑体" w:eastAsia="黑体" w:hAnsi="宋体-18030" w:cs="宋体-18030" w:hint="eastAsia"/>
          <w:b/>
          <w:bCs/>
          <w:color w:val="000000"/>
          <w:kern w:val="44"/>
          <w:sz w:val="28"/>
          <w:szCs w:val="28"/>
        </w:rPr>
        <w:t>基金组合</w:t>
      </w:r>
      <w:r w:rsidR="008E0A57" w:rsidRPr="008E0A57">
        <w:rPr>
          <w:rFonts w:ascii="黑体" w:eastAsia="黑体" w:hAnsi="宋体-18030" w:cs="宋体-18030" w:hint="eastAsia"/>
          <w:b/>
          <w:bCs/>
          <w:color w:val="000000"/>
          <w:kern w:val="44"/>
          <w:sz w:val="28"/>
          <w:szCs w:val="28"/>
        </w:rPr>
        <w:t>业绩</w:t>
      </w:r>
    </w:p>
    <w:p w:rsidR="008E0A57" w:rsidRPr="00AB08B9" w:rsidRDefault="008E0A57" w:rsidP="008E0A57">
      <w:pPr>
        <w:ind w:leftChars="1350" w:left="2835" w:firstLine="420"/>
        <w:rPr>
          <w:rFonts w:ascii="楷体_GB2312" w:eastAsia="楷体_GB2312"/>
          <w:noProof/>
        </w:rPr>
      </w:pPr>
      <w:r w:rsidRPr="00AB08B9">
        <w:rPr>
          <w:rFonts w:ascii="楷体_GB2312" w:eastAsia="楷体_GB2312" w:hint="eastAsia"/>
          <w:noProof/>
        </w:rPr>
        <w:t>自2011年2月以来，本系列报告推荐三个风险等级基金组合已经运作满</w:t>
      </w:r>
      <w:r w:rsidR="00FA36C2" w:rsidRPr="00AB08B9">
        <w:rPr>
          <w:rFonts w:ascii="楷体_GB2312" w:eastAsia="楷体_GB2312" w:hint="eastAsia"/>
          <w:noProof/>
        </w:rPr>
        <w:t>两年</w:t>
      </w:r>
      <w:r w:rsidR="00AB08B9" w:rsidRPr="00AB08B9">
        <w:rPr>
          <w:rFonts w:ascii="楷体_GB2312" w:eastAsia="楷体_GB2312" w:hint="eastAsia"/>
          <w:noProof/>
        </w:rPr>
        <w:t>又</w:t>
      </w:r>
      <w:r w:rsidR="0062623C">
        <w:rPr>
          <w:rFonts w:ascii="楷体_GB2312" w:eastAsia="楷体_GB2312" w:hint="eastAsia"/>
          <w:noProof/>
        </w:rPr>
        <w:t>11</w:t>
      </w:r>
      <w:r w:rsidR="00AB08B9" w:rsidRPr="00AB08B9">
        <w:rPr>
          <w:rFonts w:ascii="楷体_GB2312" w:eastAsia="楷体_GB2312" w:hint="eastAsia"/>
          <w:noProof/>
        </w:rPr>
        <w:t>月</w:t>
      </w:r>
      <w:r w:rsidRPr="00AB08B9">
        <w:rPr>
          <w:rFonts w:ascii="楷体_GB2312" w:eastAsia="楷体_GB2312" w:hint="eastAsia"/>
          <w:noProof/>
        </w:rPr>
        <w:t>，期间基础市场跌跌不休，同期上证指数大幅</w:t>
      </w:r>
      <w:r w:rsidR="00E21593">
        <w:rPr>
          <w:rFonts w:ascii="楷体_GB2312" w:eastAsia="楷体_GB2312" w:hint="eastAsia"/>
          <w:noProof/>
        </w:rPr>
        <w:t>下跌</w:t>
      </w:r>
      <w:r w:rsidR="0062623C" w:rsidRPr="0062623C">
        <w:rPr>
          <w:rFonts w:ascii="楷体_GB2312" w:eastAsia="楷体_GB2312"/>
          <w:noProof/>
        </w:rPr>
        <w:t>24.18</w:t>
      </w:r>
      <w:r w:rsidRPr="00AB08B9">
        <w:rPr>
          <w:rFonts w:ascii="楷体_GB2312" w:eastAsia="楷体_GB2312" w:hint="eastAsia"/>
          <w:noProof/>
        </w:rPr>
        <w:t>%，深圳综指</w:t>
      </w:r>
      <w:r w:rsidR="00E21593">
        <w:rPr>
          <w:rFonts w:ascii="楷体_GB2312" w:eastAsia="楷体_GB2312" w:hint="eastAsia"/>
          <w:noProof/>
        </w:rPr>
        <w:t>下跌</w:t>
      </w:r>
      <w:r w:rsidR="0062623C" w:rsidRPr="0062623C">
        <w:rPr>
          <w:rFonts w:ascii="楷体_GB2312" w:eastAsia="楷体_GB2312"/>
          <w:noProof/>
        </w:rPr>
        <w:t>11.69</w:t>
      </w:r>
      <w:r w:rsidRPr="00AB08B9">
        <w:rPr>
          <w:rFonts w:ascii="楷体_GB2312" w:eastAsia="楷体_GB2312" w:hint="eastAsia"/>
          <w:noProof/>
        </w:rPr>
        <w:t>%。</w:t>
      </w:r>
    </w:p>
    <w:p w:rsidR="009E78C8" w:rsidRDefault="008E0A57" w:rsidP="004A12A8">
      <w:pPr>
        <w:ind w:leftChars="1350" w:left="2835" w:firstLine="420"/>
        <w:rPr>
          <w:rFonts w:ascii="楷体_GB2312" w:eastAsia="楷体_GB2312"/>
          <w:noProof/>
        </w:rPr>
      </w:pPr>
      <w:r w:rsidRPr="00AB08B9">
        <w:rPr>
          <w:rFonts w:ascii="楷体_GB2312" w:eastAsia="楷体_GB2312" w:hint="eastAsia"/>
          <w:noProof/>
        </w:rPr>
        <w:t>弱市中我们</w:t>
      </w:r>
      <w:r w:rsidR="00C749B2">
        <w:rPr>
          <w:rFonts w:ascii="楷体_GB2312" w:eastAsia="楷体_GB2312" w:hint="eastAsia"/>
          <w:noProof/>
        </w:rPr>
        <w:t>三大组合表现强劲，</w:t>
      </w:r>
      <w:r w:rsidR="00974B66">
        <w:rPr>
          <w:rFonts w:ascii="楷体_GB2312" w:eastAsia="楷体_GB2312" w:hint="eastAsia"/>
          <w:noProof/>
        </w:rPr>
        <w:t>全部实现正收益</w:t>
      </w:r>
      <w:r w:rsidRPr="00AB08B9">
        <w:rPr>
          <w:rFonts w:ascii="楷体_GB2312" w:eastAsia="楷体_GB2312" w:hint="eastAsia"/>
          <w:noProof/>
        </w:rPr>
        <w:t>，</w:t>
      </w:r>
      <w:r w:rsidR="00B67ADD">
        <w:rPr>
          <w:rFonts w:ascii="楷体_GB2312" w:eastAsia="楷体_GB2312" w:hint="eastAsia"/>
          <w:noProof/>
        </w:rPr>
        <w:t>积极型、平衡型、稳健型</w:t>
      </w:r>
      <w:r w:rsidRPr="00AB08B9">
        <w:rPr>
          <w:rFonts w:ascii="楷体_GB2312" w:eastAsia="楷体_GB2312" w:hint="eastAsia"/>
          <w:noProof/>
        </w:rPr>
        <w:t>累计</w:t>
      </w:r>
      <w:r w:rsidR="00B67ADD">
        <w:rPr>
          <w:rFonts w:ascii="楷体_GB2312" w:eastAsia="楷体_GB2312" w:hint="eastAsia"/>
          <w:noProof/>
        </w:rPr>
        <w:t>分别上涨</w:t>
      </w:r>
      <w:r w:rsidR="009E78C8" w:rsidRPr="009E78C8">
        <w:rPr>
          <w:rFonts w:ascii="楷体_GB2312" w:eastAsia="楷体_GB2312"/>
          <w:noProof/>
        </w:rPr>
        <w:t>19.12%</w:t>
      </w:r>
      <w:r w:rsidR="009E78C8">
        <w:rPr>
          <w:rFonts w:ascii="楷体_GB2312" w:eastAsia="楷体_GB2312" w:hint="eastAsia"/>
          <w:noProof/>
        </w:rPr>
        <w:t>、</w:t>
      </w:r>
      <w:r w:rsidR="009E78C8" w:rsidRPr="009E78C8">
        <w:rPr>
          <w:rFonts w:ascii="楷体_GB2312" w:eastAsia="楷体_GB2312"/>
          <w:noProof/>
        </w:rPr>
        <w:t>15.05%</w:t>
      </w:r>
      <w:r w:rsidR="009E78C8">
        <w:rPr>
          <w:rFonts w:ascii="楷体_GB2312" w:eastAsia="楷体_GB2312" w:hint="eastAsia"/>
          <w:noProof/>
        </w:rPr>
        <w:t>、</w:t>
      </w:r>
      <w:r w:rsidR="009E78C8">
        <w:rPr>
          <w:rFonts w:ascii="楷体_GB2312" w:eastAsia="楷体_GB2312"/>
          <w:noProof/>
        </w:rPr>
        <w:t>11.30</w:t>
      </w:r>
      <w:r w:rsidR="006B3BD7" w:rsidRPr="006B3BD7">
        <w:rPr>
          <w:rFonts w:ascii="楷体_GB2312" w:eastAsia="楷体_GB2312"/>
          <w:noProof/>
        </w:rPr>
        <w:t>%</w:t>
      </w:r>
      <w:r w:rsidRPr="00AB08B9">
        <w:rPr>
          <w:rFonts w:ascii="楷体_GB2312" w:eastAsia="楷体_GB2312" w:hint="eastAsia"/>
          <w:noProof/>
        </w:rPr>
        <w:t>，</w:t>
      </w:r>
      <w:r w:rsidR="00B67ADD">
        <w:rPr>
          <w:rFonts w:ascii="楷体_GB2312" w:eastAsia="楷体_GB2312" w:hint="eastAsia"/>
          <w:noProof/>
        </w:rPr>
        <w:t>分别</w:t>
      </w:r>
      <w:r w:rsidRPr="00AB08B9">
        <w:rPr>
          <w:rFonts w:ascii="楷体_GB2312" w:eastAsia="楷体_GB2312" w:hint="eastAsia"/>
          <w:noProof/>
        </w:rPr>
        <w:t>超越</w:t>
      </w:r>
      <w:r w:rsidR="00B67ADD">
        <w:rPr>
          <w:rFonts w:ascii="楷体_GB2312" w:eastAsia="楷体_GB2312" w:hint="eastAsia"/>
          <w:noProof/>
        </w:rPr>
        <w:t>相应</w:t>
      </w:r>
      <w:r w:rsidRPr="00AB08B9">
        <w:rPr>
          <w:rFonts w:ascii="楷体_GB2312" w:eastAsia="楷体_GB2312" w:hint="eastAsia"/>
          <w:noProof/>
        </w:rPr>
        <w:t>基准</w:t>
      </w:r>
      <w:r w:rsidR="009E78C8" w:rsidRPr="009E78C8">
        <w:rPr>
          <w:rFonts w:ascii="楷体_GB2312" w:eastAsia="楷体_GB2312"/>
          <w:noProof/>
        </w:rPr>
        <w:t>23.37</w:t>
      </w:r>
      <w:r w:rsidR="009E78C8">
        <w:rPr>
          <w:rFonts w:ascii="楷体_GB2312" w:eastAsia="楷体_GB2312" w:hint="eastAsia"/>
          <w:noProof/>
        </w:rPr>
        <w:t>、</w:t>
      </w:r>
      <w:r w:rsidR="009E78C8" w:rsidRPr="009E78C8">
        <w:rPr>
          <w:rFonts w:ascii="楷体_GB2312" w:eastAsia="楷体_GB2312"/>
          <w:noProof/>
        </w:rPr>
        <w:t>12.59</w:t>
      </w:r>
      <w:r w:rsidR="009E78C8">
        <w:rPr>
          <w:rFonts w:ascii="楷体_GB2312" w:eastAsia="楷体_GB2312" w:hint="eastAsia"/>
          <w:noProof/>
        </w:rPr>
        <w:t>、</w:t>
      </w:r>
      <w:r w:rsidR="009E78C8">
        <w:rPr>
          <w:rFonts w:ascii="楷体_GB2312" w:eastAsia="楷体_GB2312"/>
          <w:noProof/>
        </w:rPr>
        <w:t>1.59</w:t>
      </w:r>
      <w:r w:rsidR="00D62466">
        <w:rPr>
          <w:rFonts w:ascii="楷体_GB2312" w:eastAsia="楷体_GB2312" w:hint="eastAsia"/>
          <w:noProof/>
        </w:rPr>
        <w:t>个</w:t>
      </w:r>
      <w:r w:rsidR="00B67ADD">
        <w:rPr>
          <w:rFonts w:ascii="楷体_GB2312" w:eastAsia="楷体_GB2312" w:hint="eastAsia"/>
          <w:noProof/>
        </w:rPr>
        <w:t>百分点。</w:t>
      </w:r>
      <w:r w:rsidR="009E78C8">
        <w:rPr>
          <w:rFonts w:ascii="楷体_GB2312" w:eastAsia="楷体_GB2312" w:hint="eastAsia"/>
          <w:noProof/>
        </w:rPr>
        <w:t>2013年全年，全年上证指数</w:t>
      </w:r>
      <w:r w:rsidR="004A12A8">
        <w:rPr>
          <w:rFonts w:ascii="楷体_GB2312" w:eastAsia="楷体_GB2312" w:hint="eastAsia"/>
          <w:noProof/>
        </w:rPr>
        <w:t>下跌</w:t>
      </w:r>
      <w:r w:rsidR="004A12A8" w:rsidRPr="004A12A8">
        <w:rPr>
          <w:rFonts w:ascii="楷体_GB2312" w:eastAsia="楷体_GB2312"/>
          <w:noProof/>
        </w:rPr>
        <w:t>6.75</w:t>
      </w:r>
      <w:r w:rsidR="004A12A8">
        <w:rPr>
          <w:rFonts w:ascii="楷体_GB2312" w:eastAsia="楷体_GB2312" w:hint="eastAsia"/>
          <w:noProof/>
        </w:rPr>
        <w:t>%，深圳综指上涨</w:t>
      </w:r>
      <w:r w:rsidR="004A12A8" w:rsidRPr="004A12A8">
        <w:rPr>
          <w:rFonts w:ascii="楷体_GB2312" w:eastAsia="楷体_GB2312"/>
          <w:noProof/>
        </w:rPr>
        <w:t>20.03</w:t>
      </w:r>
      <w:r w:rsidR="004A12A8">
        <w:rPr>
          <w:rFonts w:ascii="楷体_GB2312" w:eastAsia="楷体_GB2312" w:hint="eastAsia"/>
          <w:noProof/>
        </w:rPr>
        <w:t>%，借助结构性行情演绎，上海证券</w:t>
      </w:r>
      <w:r w:rsidR="004A12A8" w:rsidRPr="00AB08B9">
        <w:rPr>
          <w:rFonts w:ascii="楷体_GB2312" w:eastAsia="楷体_GB2312" w:hint="eastAsia"/>
          <w:noProof/>
        </w:rPr>
        <w:t>积极型、平衡型、稳健型组合</w:t>
      </w:r>
      <w:r w:rsidR="004A12A8">
        <w:rPr>
          <w:rFonts w:ascii="楷体_GB2312" w:eastAsia="楷体_GB2312" w:hint="eastAsia"/>
          <w:noProof/>
        </w:rPr>
        <w:t>分别实现</w:t>
      </w:r>
      <w:r w:rsidR="004A12A8" w:rsidRPr="004A12A8">
        <w:rPr>
          <w:rFonts w:ascii="楷体_GB2312" w:eastAsia="楷体_GB2312"/>
          <w:noProof/>
        </w:rPr>
        <w:t>30.22%</w:t>
      </w:r>
      <w:r w:rsidR="004A12A8">
        <w:rPr>
          <w:rFonts w:ascii="楷体_GB2312" w:eastAsia="楷体_GB2312" w:hint="eastAsia"/>
          <w:noProof/>
        </w:rPr>
        <w:t>、</w:t>
      </w:r>
      <w:r w:rsidR="004A12A8" w:rsidRPr="004A12A8">
        <w:rPr>
          <w:rFonts w:ascii="楷体_GB2312" w:eastAsia="楷体_GB2312"/>
          <w:noProof/>
        </w:rPr>
        <w:t>9.98%</w:t>
      </w:r>
      <w:r w:rsidR="004A12A8">
        <w:rPr>
          <w:rFonts w:ascii="楷体_GB2312" w:eastAsia="楷体_GB2312" w:hint="eastAsia"/>
          <w:noProof/>
        </w:rPr>
        <w:t>、</w:t>
      </w:r>
      <w:r w:rsidR="004A12A8" w:rsidRPr="004A12A8">
        <w:rPr>
          <w:rFonts w:ascii="楷体_GB2312" w:eastAsia="楷体_GB2312"/>
          <w:noProof/>
        </w:rPr>
        <w:t>2.96%</w:t>
      </w:r>
      <w:r w:rsidR="004A12A8">
        <w:rPr>
          <w:rFonts w:ascii="楷体_GB2312" w:eastAsia="楷体_GB2312" w:hint="eastAsia"/>
          <w:noProof/>
        </w:rPr>
        <w:t>的正回报，其中积极型组合大幅超越基准15.93个百分点，平衡性组合超越基准1.49个百分点，稳健性组合受累于组合中债券型基金在债券弱市中的低迷表现而表现欠佳，但仍然实现了正回报。</w:t>
      </w:r>
    </w:p>
    <w:p w:rsidR="00FA36C2" w:rsidRPr="004C1094" w:rsidRDefault="00FA36C2" w:rsidP="009E78C8">
      <w:pPr>
        <w:ind w:leftChars="1350" w:left="2835" w:firstLine="420"/>
        <w:rPr>
          <w:rFonts w:ascii="楷体_GB2312" w:eastAsia="楷体_GB2312"/>
          <w:noProof/>
        </w:rPr>
      </w:pPr>
      <w:r w:rsidRPr="00AB08B9">
        <w:rPr>
          <w:rFonts w:ascii="楷体_GB2312" w:eastAsia="楷体_GB2312" w:hint="eastAsia"/>
          <w:noProof/>
        </w:rPr>
        <w:t>2013年</w:t>
      </w:r>
      <w:r w:rsidR="009E78C8">
        <w:rPr>
          <w:rFonts w:ascii="楷体_GB2312" w:eastAsia="楷体_GB2312" w:hint="eastAsia"/>
          <w:noProof/>
        </w:rPr>
        <w:t>12</w:t>
      </w:r>
      <w:r w:rsidRPr="00AB08B9">
        <w:rPr>
          <w:rFonts w:ascii="楷体_GB2312" w:eastAsia="楷体_GB2312" w:hint="eastAsia"/>
          <w:noProof/>
        </w:rPr>
        <w:t>月，</w:t>
      </w:r>
      <w:r w:rsidR="0030540B">
        <w:rPr>
          <w:rFonts w:ascii="楷体_GB2312" w:eastAsia="楷体_GB2312" w:hint="eastAsia"/>
          <w:noProof/>
        </w:rPr>
        <w:t>受累股债两市的低迷表现，</w:t>
      </w:r>
      <w:r w:rsidRPr="00AB08B9">
        <w:rPr>
          <w:rFonts w:ascii="楷体_GB2312" w:eastAsia="楷体_GB2312" w:hint="eastAsia"/>
          <w:noProof/>
        </w:rPr>
        <w:t>上海证券积极型、平衡型、稳健型组合</w:t>
      </w:r>
      <w:r w:rsidR="00956F75">
        <w:rPr>
          <w:rFonts w:ascii="楷体_GB2312" w:eastAsia="楷体_GB2312" w:hint="eastAsia"/>
          <w:noProof/>
        </w:rPr>
        <w:t>分别实现收益</w:t>
      </w:r>
      <w:r w:rsidR="009E78C8" w:rsidRPr="009E78C8">
        <w:rPr>
          <w:rFonts w:ascii="楷体_GB2312" w:eastAsia="楷体_GB2312"/>
          <w:noProof/>
        </w:rPr>
        <w:t>-2.33%</w:t>
      </w:r>
      <w:r w:rsidR="009E78C8">
        <w:rPr>
          <w:rFonts w:ascii="楷体_GB2312" w:eastAsia="楷体_GB2312" w:hint="eastAsia"/>
          <w:noProof/>
        </w:rPr>
        <w:t>、</w:t>
      </w:r>
      <w:r w:rsidR="009E78C8" w:rsidRPr="009E78C8">
        <w:rPr>
          <w:rFonts w:ascii="楷体_GB2312" w:eastAsia="楷体_GB2312"/>
          <w:noProof/>
        </w:rPr>
        <w:t>-0.82%</w:t>
      </w:r>
      <w:r w:rsidR="009E78C8">
        <w:rPr>
          <w:rFonts w:ascii="楷体_GB2312" w:eastAsia="楷体_GB2312" w:hint="eastAsia"/>
          <w:noProof/>
        </w:rPr>
        <w:t>、</w:t>
      </w:r>
      <w:r w:rsidR="009E78C8" w:rsidRPr="009E78C8">
        <w:rPr>
          <w:rFonts w:ascii="楷体_GB2312" w:eastAsia="楷体_GB2312"/>
          <w:noProof/>
        </w:rPr>
        <w:t>0.08%</w:t>
      </w:r>
      <w:r w:rsidRPr="00AB08B9">
        <w:rPr>
          <w:rFonts w:ascii="楷体_GB2312" w:eastAsia="楷体_GB2312" w:hint="eastAsia"/>
          <w:noProof/>
        </w:rPr>
        <w:t>，</w:t>
      </w:r>
      <w:r w:rsidR="00641429">
        <w:rPr>
          <w:rFonts w:ascii="楷体_GB2312" w:eastAsia="楷体_GB2312" w:hint="eastAsia"/>
          <w:noProof/>
        </w:rPr>
        <w:t>其中</w:t>
      </w:r>
      <w:r w:rsidR="009E78C8">
        <w:rPr>
          <w:rFonts w:ascii="楷体_GB2312" w:eastAsia="楷体_GB2312" w:hint="eastAsia"/>
          <w:noProof/>
        </w:rPr>
        <w:t>平衡</w:t>
      </w:r>
      <w:r w:rsidR="00956F75">
        <w:rPr>
          <w:rFonts w:ascii="楷体_GB2312" w:eastAsia="楷体_GB2312" w:hint="eastAsia"/>
          <w:noProof/>
        </w:rPr>
        <w:t>型</w:t>
      </w:r>
      <w:r w:rsidR="00641429">
        <w:rPr>
          <w:rFonts w:ascii="楷体_GB2312" w:eastAsia="楷体_GB2312" w:hint="eastAsia"/>
          <w:noProof/>
        </w:rPr>
        <w:t>组合</w:t>
      </w:r>
      <w:r w:rsidR="00956F75">
        <w:rPr>
          <w:rFonts w:ascii="楷体_GB2312" w:eastAsia="楷体_GB2312" w:hint="eastAsia"/>
          <w:noProof/>
        </w:rPr>
        <w:t>业绩</w:t>
      </w:r>
      <w:r w:rsidR="009E78C8">
        <w:rPr>
          <w:rFonts w:ascii="楷体_GB2312" w:eastAsia="楷体_GB2312" w:hint="eastAsia"/>
          <w:noProof/>
        </w:rPr>
        <w:t>大幅</w:t>
      </w:r>
      <w:r w:rsidR="00956F75">
        <w:rPr>
          <w:rFonts w:ascii="楷体_GB2312" w:eastAsia="楷体_GB2312" w:hint="eastAsia"/>
          <w:noProof/>
        </w:rPr>
        <w:t>超越基准表现</w:t>
      </w:r>
      <w:r w:rsidRPr="00AB08B9">
        <w:rPr>
          <w:rFonts w:ascii="楷体_GB2312" w:eastAsia="楷体_GB2312" w:hint="eastAsia"/>
          <w:noProof/>
        </w:rPr>
        <w:t>。</w:t>
      </w:r>
    </w:p>
    <w:p w:rsidR="008E0A57" w:rsidRDefault="008E0A57" w:rsidP="008E0A57">
      <w:pPr>
        <w:ind w:leftChars="1350" w:left="2835" w:firstLine="420"/>
        <w:rPr>
          <w:rFonts w:ascii="楷体_GB2312" w:eastAsia="楷体_GB2312"/>
          <w:b/>
          <w:color w:val="000000"/>
        </w:rPr>
      </w:pPr>
      <w:r w:rsidRPr="003B6035">
        <w:rPr>
          <w:rFonts w:ascii="楷体_GB2312" w:eastAsia="楷体_GB2312" w:hint="eastAsia"/>
          <w:b/>
          <w:color w:val="000000"/>
        </w:rPr>
        <w:t>表3</w:t>
      </w:r>
      <w:r>
        <w:rPr>
          <w:rFonts w:ascii="楷体_GB2312" w:eastAsia="楷体_GB2312" w:hint="eastAsia"/>
          <w:b/>
          <w:color w:val="000000"/>
        </w:rPr>
        <w:t xml:space="preserve"> </w:t>
      </w:r>
      <w:r w:rsidRPr="003B6035">
        <w:rPr>
          <w:rFonts w:ascii="楷体_GB2312" w:eastAsia="楷体_GB2312" w:hint="eastAsia"/>
          <w:b/>
          <w:color w:val="000000"/>
        </w:rPr>
        <w:t>组合业绩回顾</w:t>
      </w:r>
    </w:p>
    <w:tbl>
      <w:tblPr>
        <w:tblW w:w="5000" w:type="pct"/>
        <w:tblLook w:val="04A0"/>
      </w:tblPr>
      <w:tblGrid>
        <w:gridCol w:w="1326"/>
        <w:gridCol w:w="1326"/>
        <w:gridCol w:w="1326"/>
        <w:gridCol w:w="1328"/>
        <w:gridCol w:w="1326"/>
        <w:gridCol w:w="1326"/>
        <w:gridCol w:w="1328"/>
      </w:tblGrid>
      <w:tr w:rsidR="008E0A57" w:rsidRPr="00BD1E88" w:rsidTr="008E0A57">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8E0A57" w:rsidRPr="00BD1E88" w:rsidRDefault="008E0A57" w:rsidP="00EC4546">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sidR="00195F1F">
              <w:rPr>
                <w:rFonts w:ascii="楷体_GB2312" w:eastAsia="楷体_GB2312" w:hAnsi="宋体" w:cs="宋体" w:hint="eastAsia"/>
                <w:b/>
                <w:bCs/>
                <w:color w:val="FFFFFF"/>
                <w:kern w:val="0"/>
                <w:szCs w:val="21"/>
              </w:rPr>
              <w:t>3</w:t>
            </w:r>
            <w:r w:rsidRPr="00BD1E88">
              <w:rPr>
                <w:rFonts w:ascii="楷体_GB2312" w:eastAsia="楷体_GB2312" w:hAnsi="宋体" w:cs="宋体" w:hint="eastAsia"/>
                <w:b/>
                <w:bCs/>
                <w:color w:val="FFFFFF"/>
                <w:kern w:val="0"/>
                <w:szCs w:val="21"/>
              </w:rPr>
              <w:t>年</w:t>
            </w:r>
            <w:r w:rsidR="00EC4546">
              <w:rPr>
                <w:rFonts w:ascii="楷体_GB2312" w:eastAsia="楷体_GB2312" w:hAnsi="宋体" w:cs="宋体" w:hint="eastAsia"/>
                <w:b/>
                <w:bCs/>
                <w:color w:val="FFFFFF"/>
                <w:kern w:val="0"/>
                <w:szCs w:val="21"/>
              </w:rPr>
              <w:t>12</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8E0A57" w:rsidRPr="00BD1E88" w:rsidTr="00195F1F">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8E0A57" w:rsidRPr="00BD1E88" w:rsidRDefault="008E0A57"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EC4546" w:rsidRPr="00BD1E88" w:rsidTr="00195F1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EC4546" w:rsidRPr="00BD1E88" w:rsidRDefault="00EC4546"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FF0000"/>
              </w:rPr>
              <w:t>-2.33%</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FF0000"/>
              </w:rPr>
              <w:t>-2.14%</w:t>
            </w:r>
          </w:p>
        </w:tc>
        <w:tc>
          <w:tcPr>
            <w:tcW w:w="715" w:type="pct"/>
            <w:tcBorders>
              <w:top w:val="nil"/>
              <w:left w:val="nil"/>
              <w:bottom w:val="single" w:sz="8" w:space="0" w:color="auto"/>
              <w:right w:val="single" w:sz="8" w:space="0" w:color="auto"/>
            </w:tcBorders>
            <w:shd w:val="clear" w:color="auto" w:fill="auto"/>
            <w:noWrap/>
            <w:hideMark/>
          </w:tcPr>
          <w:p w:rsidR="00EC4546" w:rsidRPr="0090667C" w:rsidRDefault="00EC4546">
            <w:pPr>
              <w:jc w:val="center"/>
              <w:rPr>
                <w:b/>
                <w:color w:val="0D0D0D"/>
                <w:szCs w:val="21"/>
              </w:rPr>
            </w:pPr>
            <w:r w:rsidRPr="0090667C">
              <w:rPr>
                <w:b/>
                <w:color w:val="FF0000"/>
                <w:szCs w:val="21"/>
              </w:rPr>
              <w:t>-0.19%</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0D0D0D"/>
              </w:rPr>
              <w:t>19.12%</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FF0000"/>
              </w:rPr>
              <w:t>-4.25%</w:t>
            </w:r>
          </w:p>
        </w:tc>
        <w:tc>
          <w:tcPr>
            <w:tcW w:w="715" w:type="pct"/>
            <w:tcBorders>
              <w:top w:val="nil"/>
              <w:left w:val="nil"/>
              <w:bottom w:val="single" w:sz="8" w:space="0" w:color="auto"/>
              <w:right w:val="single" w:sz="8" w:space="0" w:color="auto"/>
            </w:tcBorders>
            <w:shd w:val="clear" w:color="auto" w:fill="auto"/>
            <w:noWrap/>
            <w:hideMark/>
          </w:tcPr>
          <w:p w:rsidR="00EC4546" w:rsidRPr="0090667C" w:rsidRDefault="00EC4546">
            <w:pPr>
              <w:jc w:val="center"/>
              <w:rPr>
                <w:b/>
                <w:color w:val="0D0D0D"/>
                <w:szCs w:val="21"/>
              </w:rPr>
            </w:pPr>
            <w:r w:rsidRPr="0090667C">
              <w:rPr>
                <w:b/>
                <w:color w:val="0D0D0D"/>
                <w:szCs w:val="21"/>
              </w:rPr>
              <w:t>23.37%</w:t>
            </w:r>
          </w:p>
        </w:tc>
      </w:tr>
      <w:tr w:rsidR="00EC4546" w:rsidRPr="00BD1E88" w:rsidTr="00195F1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EC4546" w:rsidRPr="00BD1E88" w:rsidRDefault="00EC4546"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FF0000"/>
              </w:rPr>
              <w:t>-0.82%</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FF0000"/>
              </w:rPr>
              <w:t>-1.56%</w:t>
            </w:r>
          </w:p>
        </w:tc>
        <w:tc>
          <w:tcPr>
            <w:tcW w:w="715" w:type="pct"/>
            <w:tcBorders>
              <w:top w:val="nil"/>
              <w:left w:val="nil"/>
              <w:bottom w:val="single" w:sz="8" w:space="0" w:color="auto"/>
              <w:right w:val="single" w:sz="8" w:space="0" w:color="auto"/>
            </w:tcBorders>
            <w:shd w:val="clear" w:color="auto" w:fill="auto"/>
            <w:noWrap/>
            <w:hideMark/>
          </w:tcPr>
          <w:p w:rsidR="00EC4546" w:rsidRPr="0090667C" w:rsidRDefault="00EC4546">
            <w:pPr>
              <w:jc w:val="center"/>
              <w:rPr>
                <w:b/>
                <w:color w:val="0D0D0D"/>
                <w:szCs w:val="21"/>
              </w:rPr>
            </w:pPr>
            <w:r w:rsidRPr="0090667C">
              <w:rPr>
                <w:b/>
                <w:color w:val="0D0D0D"/>
                <w:szCs w:val="21"/>
              </w:rPr>
              <w:t>0.75%</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0D0D0D"/>
              </w:rPr>
              <w:t>15.05%</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0D0D0D"/>
              </w:rPr>
              <w:t>2.46%</w:t>
            </w:r>
          </w:p>
        </w:tc>
        <w:tc>
          <w:tcPr>
            <w:tcW w:w="715" w:type="pct"/>
            <w:tcBorders>
              <w:top w:val="nil"/>
              <w:left w:val="nil"/>
              <w:bottom w:val="single" w:sz="8" w:space="0" w:color="auto"/>
              <w:right w:val="single" w:sz="8" w:space="0" w:color="auto"/>
            </w:tcBorders>
            <w:shd w:val="clear" w:color="auto" w:fill="auto"/>
            <w:noWrap/>
            <w:hideMark/>
          </w:tcPr>
          <w:p w:rsidR="00EC4546" w:rsidRPr="0090667C" w:rsidRDefault="00EC4546">
            <w:pPr>
              <w:jc w:val="center"/>
              <w:rPr>
                <w:b/>
                <w:color w:val="0D0D0D"/>
                <w:szCs w:val="21"/>
              </w:rPr>
            </w:pPr>
            <w:r w:rsidRPr="0090667C">
              <w:rPr>
                <w:b/>
                <w:color w:val="0D0D0D"/>
                <w:szCs w:val="21"/>
              </w:rPr>
              <w:t>12.59%</w:t>
            </w:r>
          </w:p>
        </w:tc>
      </w:tr>
      <w:tr w:rsidR="00EC4546" w:rsidRPr="00BD1E88" w:rsidTr="00195F1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EC4546" w:rsidRPr="00BD1E88" w:rsidRDefault="00EC4546"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0D0D0D"/>
              </w:rPr>
              <w:t>0.08%</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0D0D0D"/>
              </w:rPr>
              <w:t>0.26%</w:t>
            </w:r>
          </w:p>
        </w:tc>
        <w:tc>
          <w:tcPr>
            <w:tcW w:w="715" w:type="pct"/>
            <w:tcBorders>
              <w:top w:val="nil"/>
              <w:left w:val="nil"/>
              <w:bottom w:val="single" w:sz="8" w:space="0" w:color="auto"/>
              <w:right w:val="single" w:sz="8" w:space="0" w:color="auto"/>
            </w:tcBorders>
            <w:shd w:val="clear" w:color="auto" w:fill="auto"/>
            <w:noWrap/>
            <w:hideMark/>
          </w:tcPr>
          <w:p w:rsidR="00EC4546" w:rsidRPr="0090667C" w:rsidRDefault="00EC4546">
            <w:pPr>
              <w:jc w:val="center"/>
              <w:rPr>
                <w:b/>
                <w:color w:val="0D0D0D"/>
                <w:szCs w:val="21"/>
              </w:rPr>
            </w:pPr>
            <w:r w:rsidRPr="0090667C">
              <w:rPr>
                <w:b/>
                <w:color w:val="FF0000"/>
                <w:szCs w:val="21"/>
              </w:rPr>
              <w:t>-0.18%</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0D0D0D"/>
              </w:rPr>
              <w:t>11.30%</w:t>
            </w:r>
          </w:p>
        </w:tc>
        <w:tc>
          <w:tcPr>
            <w:tcW w:w="714" w:type="pct"/>
            <w:tcBorders>
              <w:top w:val="nil"/>
              <w:left w:val="nil"/>
              <w:bottom w:val="single" w:sz="8" w:space="0" w:color="auto"/>
              <w:right w:val="single" w:sz="8" w:space="0" w:color="auto"/>
            </w:tcBorders>
            <w:shd w:val="clear" w:color="auto" w:fill="auto"/>
            <w:noWrap/>
            <w:vAlign w:val="bottom"/>
            <w:hideMark/>
          </w:tcPr>
          <w:p w:rsidR="00EC4546" w:rsidRDefault="00EC4546">
            <w:pPr>
              <w:jc w:val="right"/>
              <w:rPr>
                <w:rFonts w:ascii="宋体" w:hAnsi="宋体" w:cs="宋体"/>
                <w:color w:val="0D0D0D"/>
                <w:sz w:val="24"/>
              </w:rPr>
            </w:pPr>
            <w:r>
              <w:rPr>
                <w:rFonts w:hint="eastAsia"/>
                <w:color w:val="0D0D0D"/>
              </w:rPr>
              <w:t>9.71%</w:t>
            </w:r>
          </w:p>
        </w:tc>
        <w:tc>
          <w:tcPr>
            <w:tcW w:w="715" w:type="pct"/>
            <w:tcBorders>
              <w:top w:val="nil"/>
              <w:left w:val="nil"/>
              <w:bottom w:val="single" w:sz="8" w:space="0" w:color="auto"/>
              <w:right w:val="single" w:sz="8" w:space="0" w:color="auto"/>
            </w:tcBorders>
            <w:shd w:val="clear" w:color="auto" w:fill="auto"/>
            <w:noWrap/>
            <w:hideMark/>
          </w:tcPr>
          <w:p w:rsidR="00EC4546" w:rsidRPr="0090667C" w:rsidRDefault="00EC4546">
            <w:pPr>
              <w:jc w:val="center"/>
              <w:rPr>
                <w:b/>
                <w:color w:val="0D0D0D"/>
                <w:szCs w:val="21"/>
              </w:rPr>
            </w:pPr>
            <w:r w:rsidRPr="0090667C">
              <w:rPr>
                <w:b/>
                <w:color w:val="0D0D0D"/>
                <w:szCs w:val="21"/>
              </w:rPr>
              <w:t>1.59%</w:t>
            </w:r>
          </w:p>
        </w:tc>
      </w:tr>
      <w:tr w:rsidR="0092248F" w:rsidRPr="00BD1E88" w:rsidTr="008E0A57">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2248F" w:rsidRPr="00BD1E88" w:rsidRDefault="0092248F" w:rsidP="00254CD8">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c>
          <w:tcPr>
            <w:tcW w:w="2143" w:type="pct"/>
            <w:gridSpan w:val="3"/>
            <w:tcBorders>
              <w:top w:val="nil"/>
              <w:left w:val="nil"/>
              <w:bottom w:val="nil"/>
              <w:right w:val="nil"/>
            </w:tcBorders>
            <w:shd w:val="clear" w:color="000000" w:fill="666699"/>
            <w:noWrap/>
            <w:vAlign w:val="bottom"/>
            <w:hideMark/>
          </w:tcPr>
          <w:p w:rsidR="0092248F" w:rsidRPr="00BD1E88" w:rsidRDefault="0092248F" w:rsidP="00254CD8">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r>
      <w:tr w:rsidR="0092248F" w:rsidRPr="00BD1E88" w:rsidTr="00195F1F">
        <w:trPr>
          <w:trHeight w:val="300"/>
        </w:trPr>
        <w:tc>
          <w:tcPr>
            <w:tcW w:w="714" w:type="pct"/>
            <w:vMerge/>
            <w:tcBorders>
              <w:top w:val="nil"/>
              <w:left w:val="single" w:sz="8" w:space="0" w:color="auto"/>
              <w:bottom w:val="single" w:sz="8" w:space="0" w:color="000000"/>
              <w:right w:val="single" w:sz="8" w:space="0" w:color="auto"/>
            </w:tcBorders>
            <w:vAlign w:val="center"/>
            <w:hideMark/>
          </w:tcPr>
          <w:p w:rsidR="0092248F" w:rsidRPr="00BD1E88" w:rsidRDefault="0092248F"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2248F" w:rsidRPr="00BD1E88" w:rsidRDefault="0092248F" w:rsidP="00254CD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2248F" w:rsidRPr="00BD1E88" w:rsidRDefault="0092248F" w:rsidP="00254CD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5" w:type="pct"/>
            <w:tcBorders>
              <w:top w:val="nil"/>
              <w:left w:val="nil"/>
              <w:bottom w:val="single" w:sz="8" w:space="0" w:color="auto"/>
              <w:right w:val="single" w:sz="8" w:space="0" w:color="auto"/>
            </w:tcBorders>
            <w:shd w:val="clear" w:color="000000" w:fill="FFCC00"/>
            <w:noWrap/>
            <w:hideMark/>
          </w:tcPr>
          <w:p w:rsidR="0092248F" w:rsidRPr="00BD1E88" w:rsidRDefault="0092248F" w:rsidP="00254CD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2248F" w:rsidRPr="00BD1E88" w:rsidRDefault="0092248F"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2248F" w:rsidRPr="00BD1E88" w:rsidRDefault="0092248F"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2248F" w:rsidRPr="00BD1E88" w:rsidRDefault="0092248F"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2248F" w:rsidRPr="00BD1E88" w:rsidTr="00254CD8">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2248F" w:rsidRPr="00BD1E88" w:rsidRDefault="0092248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48F" w:rsidRDefault="0092248F" w:rsidP="00254CD8">
            <w:pPr>
              <w:jc w:val="right"/>
              <w:rPr>
                <w:rFonts w:ascii="宋体" w:hAnsi="宋体" w:cs="宋体"/>
                <w:color w:val="0D0D0D"/>
                <w:sz w:val="24"/>
              </w:rPr>
            </w:pPr>
            <w:r>
              <w:rPr>
                <w:rFonts w:hint="eastAsia"/>
                <w:color w:val="0D0D0D"/>
              </w:rPr>
              <w:t>30.22%</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2248F" w:rsidRDefault="0092248F" w:rsidP="00254CD8">
            <w:pPr>
              <w:jc w:val="right"/>
              <w:rPr>
                <w:rFonts w:ascii="宋体" w:hAnsi="宋体" w:cs="宋体"/>
                <w:color w:val="0D0D0D"/>
                <w:sz w:val="24"/>
              </w:rPr>
            </w:pPr>
            <w:r>
              <w:rPr>
                <w:rFonts w:hint="eastAsia"/>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92248F" w:rsidRPr="0062623C" w:rsidRDefault="0092248F" w:rsidP="00254CD8">
            <w:pPr>
              <w:jc w:val="right"/>
              <w:rPr>
                <w:rFonts w:ascii="宋体" w:hAnsi="宋体" w:cs="宋体"/>
                <w:b/>
                <w:color w:val="0D0D0D"/>
                <w:sz w:val="24"/>
              </w:rPr>
            </w:pPr>
            <w:r w:rsidRPr="0062623C">
              <w:rPr>
                <w:rFonts w:hint="eastAsia"/>
                <w:b/>
                <w:color w:val="0D0D0D"/>
              </w:rPr>
              <w:t>15.93%</w:t>
            </w:r>
          </w:p>
        </w:tc>
        <w:tc>
          <w:tcPr>
            <w:tcW w:w="714" w:type="pct"/>
            <w:tcBorders>
              <w:top w:val="nil"/>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7.57%</w:t>
            </w:r>
          </w:p>
        </w:tc>
        <w:tc>
          <w:tcPr>
            <w:tcW w:w="714" w:type="pct"/>
            <w:tcBorders>
              <w:top w:val="nil"/>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b/>
                <w:i/>
                <w:color w:val="0D0D0D"/>
                <w:szCs w:val="21"/>
              </w:rPr>
            </w:pPr>
            <w:r w:rsidRPr="007E4F1C">
              <w:rPr>
                <w:rFonts w:hint="eastAsia"/>
                <w:b/>
                <w:i/>
                <w:color w:val="0D0D0D"/>
                <w:szCs w:val="21"/>
              </w:rPr>
              <w:t>2.43%</w:t>
            </w:r>
          </w:p>
        </w:tc>
      </w:tr>
      <w:tr w:rsidR="0092248F"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2248F" w:rsidRPr="00BD1E88" w:rsidRDefault="0092248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2248F" w:rsidRDefault="0092248F" w:rsidP="00254CD8">
            <w:pPr>
              <w:jc w:val="right"/>
              <w:rPr>
                <w:rFonts w:ascii="宋体" w:hAnsi="宋体" w:cs="宋体"/>
                <w:color w:val="0D0D0D"/>
                <w:sz w:val="24"/>
              </w:rPr>
            </w:pPr>
            <w:r>
              <w:rPr>
                <w:rFonts w:hint="eastAsia"/>
                <w:color w:val="0D0D0D"/>
              </w:rPr>
              <w:t>9.98%</w:t>
            </w:r>
          </w:p>
        </w:tc>
        <w:tc>
          <w:tcPr>
            <w:tcW w:w="714" w:type="pct"/>
            <w:tcBorders>
              <w:top w:val="nil"/>
              <w:left w:val="nil"/>
              <w:bottom w:val="single" w:sz="4" w:space="0" w:color="auto"/>
              <w:right w:val="single" w:sz="4" w:space="0" w:color="auto"/>
            </w:tcBorders>
            <w:shd w:val="clear" w:color="auto" w:fill="auto"/>
            <w:noWrap/>
            <w:vAlign w:val="bottom"/>
            <w:hideMark/>
          </w:tcPr>
          <w:p w:rsidR="0092248F" w:rsidRDefault="0092248F" w:rsidP="00254CD8">
            <w:pPr>
              <w:jc w:val="right"/>
              <w:rPr>
                <w:rFonts w:ascii="宋体" w:hAnsi="宋体" w:cs="宋体"/>
                <w:color w:val="0D0D0D"/>
                <w:sz w:val="24"/>
              </w:rPr>
            </w:pPr>
            <w:r>
              <w:rPr>
                <w:rFonts w:hint="eastAsia"/>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92248F" w:rsidRPr="0062623C" w:rsidRDefault="0092248F" w:rsidP="00254CD8">
            <w:pPr>
              <w:jc w:val="right"/>
              <w:rPr>
                <w:rFonts w:ascii="宋体" w:hAnsi="宋体" w:cs="宋体"/>
                <w:b/>
                <w:color w:val="0D0D0D"/>
                <w:sz w:val="24"/>
              </w:rPr>
            </w:pPr>
            <w:r w:rsidRPr="0062623C">
              <w:rPr>
                <w:rFonts w:hint="eastAsia"/>
                <w:b/>
                <w:color w:val="0D0D0D"/>
              </w:rPr>
              <w:t>1.49%</w:t>
            </w:r>
          </w:p>
        </w:tc>
        <w:tc>
          <w:tcPr>
            <w:tcW w:w="714" w:type="pct"/>
            <w:tcBorders>
              <w:top w:val="nil"/>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b/>
                <w:i/>
                <w:color w:val="0D0D0D"/>
                <w:szCs w:val="21"/>
              </w:rPr>
            </w:pPr>
            <w:r w:rsidRPr="007E4F1C">
              <w:rPr>
                <w:rFonts w:hint="eastAsia"/>
                <w:b/>
                <w:i/>
                <w:color w:val="0D0D0D"/>
                <w:szCs w:val="21"/>
              </w:rPr>
              <w:t>5.19%</w:t>
            </w:r>
          </w:p>
        </w:tc>
      </w:tr>
      <w:tr w:rsidR="0092248F"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2248F" w:rsidRPr="00BD1E88" w:rsidRDefault="0092248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2248F" w:rsidRDefault="0092248F" w:rsidP="00254CD8">
            <w:pPr>
              <w:jc w:val="right"/>
              <w:rPr>
                <w:rFonts w:ascii="宋体" w:hAnsi="宋体" w:cs="宋体"/>
                <w:color w:val="0D0D0D"/>
                <w:sz w:val="24"/>
              </w:rPr>
            </w:pPr>
            <w:r>
              <w:rPr>
                <w:rFonts w:hint="eastAsia"/>
                <w:color w:val="0D0D0D"/>
              </w:rPr>
              <w:t>2.96%</w:t>
            </w:r>
          </w:p>
        </w:tc>
        <w:tc>
          <w:tcPr>
            <w:tcW w:w="714" w:type="pct"/>
            <w:tcBorders>
              <w:top w:val="nil"/>
              <w:left w:val="nil"/>
              <w:bottom w:val="single" w:sz="4" w:space="0" w:color="auto"/>
              <w:right w:val="single" w:sz="4" w:space="0" w:color="auto"/>
            </w:tcBorders>
            <w:shd w:val="clear" w:color="auto" w:fill="auto"/>
            <w:noWrap/>
            <w:vAlign w:val="bottom"/>
            <w:hideMark/>
          </w:tcPr>
          <w:p w:rsidR="0092248F" w:rsidRDefault="0092248F" w:rsidP="00254CD8">
            <w:pPr>
              <w:jc w:val="right"/>
              <w:rPr>
                <w:rFonts w:ascii="宋体" w:hAnsi="宋体" w:cs="宋体"/>
                <w:color w:val="0D0D0D"/>
                <w:sz w:val="24"/>
              </w:rPr>
            </w:pPr>
            <w:r>
              <w:rPr>
                <w:rFonts w:hint="eastAsia"/>
                <w:color w:val="0D0D0D"/>
              </w:rPr>
              <w:t>3.08%</w:t>
            </w:r>
          </w:p>
        </w:tc>
        <w:tc>
          <w:tcPr>
            <w:tcW w:w="715" w:type="pct"/>
            <w:tcBorders>
              <w:top w:val="nil"/>
              <w:left w:val="nil"/>
              <w:bottom w:val="single" w:sz="8" w:space="0" w:color="auto"/>
              <w:right w:val="single" w:sz="8" w:space="0" w:color="auto"/>
            </w:tcBorders>
            <w:shd w:val="clear" w:color="auto" w:fill="auto"/>
            <w:noWrap/>
            <w:vAlign w:val="bottom"/>
            <w:hideMark/>
          </w:tcPr>
          <w:p w:rsidR="0092248F" w:rsidRPr="0062623C" w:rsidRDefault="0092248F" w:rsidP="00254CD8">
            <w:pPr>
              <w:jc w:val="right"/>
              <w:rPr>
                <w:rFonts w:ascii="宋体" w:hAnsi="宋体" w:cs="宋体"/>
                <w:b/>
                <w:color w:val="0D0D0D"/>
                <w:sz w:val="24"/>
              </w:rPr>
            </w:pPr>
            <w:r w:rsidRPr="0062623C">
              <w:rPr>
                <w:rFonts w:hint="eastAsia"/>
                <w:b/>
                <w:color w:val="FF0000"/>
              </w:rPr>
              <w:t>-0.12%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4.70%</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3.34%</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b/>
                <w:i/>
                <w:color w:val="0D0D0D"/>
                <w:szCs w:val="21"/>
              </w:rPr>
            </w:pPr>
            <w:r w:rsidRPr="007E4F1C">
              <w:rPr>
                <w:rFonts w:hint="eastAsia"/>
                <w:b/>
                <w:i/>
                <w:color w:val="0D0D0D"/>
                <w:szCs w:val="21"/>
              </w:rPr>
              <w:t>1.32%</w:t>
            </w:r>
          </w:p>
        </w:tc>
      </w:tr>
      <w:tr w:rsidR="0092248F" w:rsidRPr="00BD1E88" w:rsidTr="0092248F">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54CD8">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auto"/>
            </w:tcBorders>
            <w:shd w:val="clear" w:color="000000" w:fill="666699"/>
            <w:noWrap/>
            <w:vAlign w:val="bottom"/>
            <w:hideMark/>
          </w:tcPr>
          <w:p w:rsidR="0092248F" w:rsidRPr="00BD1E88" w:rsidRDefault="0092248F" w:rsidP="00254CD8">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c>
          <w:tcPr>
            <w:tcW w:w="2143" w:type="pct"/>
            <w:gridSpan w:val="3"/>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248F" w:rsidRPr="00BD1E88" w:rsidRDefault="0092248F" w:rsidP="00254CD8">
            <w:pPr>
              <w:widowControl/>
              <w:jc w:val="center"/>
              <w:rPr>
                <w:rFonts w:ascii="楷体_GB2312" w:eastAsia="楷体_GB2312" w:hAnsi="宋体" w:cs="宋体"/>
                <w:b/>
                <w:bCs/>
                <w:color w:val="FFFFFF"/>
                <w:kern w:val="0"/>
                <w:szCs w:val="21"/>
              </w:rPr>
            </w:pPr>
          </w:p>
        </w:tc>
      </w:tr>
      <w:tr w:rsidR="0092248F" w:rsidRPr="00BD1E88" w:rsidTr="0092248F">
        <w:trPr>
          <w:trHeight w:val="300"/>
        </w:trPr>
        <w:tc>
          <w:tcPr>
            <w:tcW w:w="714" w:type="pct"/>
            <w:vMerge/>
            <w:tcBorders>
              <w:top w:val="nil"/>
              <w:left w:val="single" w:sz="8" w:space="0" w:color="auto"/>
              <w:bottom w:val="single" w:sz="8" w:space="0" w:color="000000"/>
              <w:right w:val="single" w:sz="8" w:space="0" w:color="auto"/>
            </w:tcBorders>
            <w:vAlign w:val="center"/>
            <w:hideMark/>
          </w:tcPr>
          <w:p w:rsidR="0092248F" w:rsidRPr="00BD1E88" w:rsidRDefault="0092248F" w:rsidP="00254CD8">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2248F" w:rsidRPr="00BD1E88" w:rsidRDefault="0092248F" w:rsidP="00254CD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2248F" w:rsidRPr="00BD1E88" w:rsidRDefault="0092248F" w:rsidP="00254CD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2248F" w:rsidRPr="00BD1E88" w:rsidRDefault="0092248F" w:rsidP="00254CD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2143" w:type="pct"/>
            <w:gridSpan w:val="3"/>
            <w:vMerge/>
            <w:tcBorders>
              <w:left w:val="nil"/>
              <w:bottom w:val="single" w:sz="8" w:space="0" w:color="auto"/>
              <w:right w:val="single" w:sz="8" w:space="0" w:color="auto"/>
            </w:tcBorders>
            <w:shd w:val="clear" w:color="auto" w:fill="auto"/>
            <w:noWrap/>
            <w:hideMark/>
          </w:tcPr>
          <w:p w:rsidR="0092248F" w:rsidRPr="00BD1E88" w:rsidRDefault="0092248F" w:rsidP="00254CD8">
            <w:pPr>
              <w:widowControl/>
              <w:jc w:val="center"/>
              <w:rPr>
                <w:rFonts w:ascii="楷体_GB2312" w:eastAsia="楷体_GB2312" w:hAnsi="宋体" w:cs="宋体"/>
                <w:color w:val="000000"/>
                <w:kern w:val="0"/>
                <w:szCs w:val="21"/>
              </w:rPr>
            </w:pPr>
          </w:p>
        </w:tc>
      </w:tr>
      <w:tr w:rsidR="0092248F" w:rsidRPr="007E4F1C"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2248F" w:rsidRPr="00BD1E88" w:rsidRDefault="0092248F" w:rsidP="00254CD8">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FF0000"/>
                <w:szCs w:val="21"/>
              </w:rPr>
              <w:t>-14.96%</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92248F" w:rsidRPr="007E4F1C" w:rsidRDefault="0092248F" w:rsidP="00254CD8">
            <w:pPr>
              <w:jc w:val="center"/>
              <w:rPr>
                <w:b/>
                <w:i/>
                <w:color w:val="0D0D0D"/>
                <w:szCs w:val="21"/>
              </w:rPr>
            </w:pPr>
            <w:r w:rsidRPr="007E4F1C">
              <w:rPr>
                <w:b/>
                <w:i/>
                <w:color w:val="0D0D0D"/>
                <w:szCs w:val="21"/>
              </w:rPr>
              <w:t>4.29%</w:t>
            </w:r>
          </w:p>
        </w:tc>
        <w:tc>
          <w:tcPr>
            <w:tcW w:w="2143" w:type="pct"/>
            <w:gridSpan w:val="3"/>
            <w:vMerge/>
            <w:tcBorders>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b/>
                <w:i/>
                <w:color w:val="0D0D0D"/>
                <w:szCs w:val="21"/>
              </w:rPr>
            </w:pPr>
          </w:p>
        </w:tc>
      </w:tr>
      <w:tr w:rsidR="0092248F" w:rsidRPr="007E4F1C"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2248F" w:rsidRPr="00BD1E88" w:rsidRDefault="0092248F" w:rsidP="00254CD8">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4" w:space="0" w:color="auto"/>
              <w:right w:val="single" w:sz="4"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92248F" w:rsidRPr="007E4F1C" w:rsidRDefault="0092248F" w:rsidP="00254CD8">
            <w:pPr>
              <w:jc w:val="center"/>
              <w:rPr>
                <w:b/>
                <w:i/>
                <w:color w:val="0D0D0D"/>
                <w:szCs w:val="21"/>
              </w:rPr>
            </w:pPr>
            <w:r w:rsidRPr="007E4F1C">
              <w:rPr>
                <w:b/>
                <w:i/>
                <w:color w:val="0D0D0D"/>
                <w:szCs w:val="21"/>
              </w:rPr>
              <w:t>4.45%</w:t>
            </w:r>
          </w:p>
        </w:tc>
        <w:tc>
          <w:tcPr>
            <w:tcW w:w="2143" w:type="pct"/>
            <w:gridSpan w:val="3"/>
            <w:vMerge/>
            <w:tcBorders>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b/>
                <w:i/>
                <w:color w:val="0D0D0D"/>
                <w:szCs w:val="21"/>
              </w:rPr>
            </w:pPr>
          </w:p>
        </w:tc>
      </w:tr>
      <w:tr w:rsidR="0092248F" w:rsidRPr="007E4F1C"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2248F" w:rsidRPr="00BD1E88" w:rsidRDefault="0092248F" w:rsidP="00254CD8">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3.24%</w:t>
            </w:r>
          </w:p>
        </w:tc>
        <w:tc>
          <w:tcPr>
            <w:tcW w:w="714" w:type="pct"/>
            <w:tcBorders>
              <w:top w:val="nil"/>
              <w:left w:val="nil"/>
              <w:bottom w:val="single" w:sz="4" w:space="0" w:color="auto"/>
              <w:right w:val="single" w:sz="4" w:space="0" w:color="auto"/>
            </w:tcBorders>
            <w:shd w:val="clear" w:color="auto" w:fill="auto"/>
            <w:noWrap/>
            <w:vAlign w:val="bottom"/>
            <w:hideMark/>
          </w:tcPr>
          <w:p w:rsidR="0092248F" w:rsidRPr="007E4F1C" w:rsidRDefault="0092248F" w:rsidP="00254CD8">
            <w:pPr>
              <w:jc w:val="center"/>
              <w:rPr>
                <w:rFonts w:ascii="宋体" w:hAnsi="宋体" w:cs="宋体"/>
                <w:i/>
                <w:color w:val="0D0D0D"/>
                <w:szCs w:val="21"/>
              </w:rPr>
            </w:pPr>
            <w:r w:rsidRPr="007E4F1C">
              <w:rPr>
                <w:rFonts w:hint="eastAsia"/>
                <w:i/>
                <w:color w:val="0D0D0D"/>
                <w:szCs w:val="21"/>
              </w:rPr>
              <w:t>3.18%</w:t>
            </w:r>
          </w:p>
        </w:tc>
        <w:tc>
          <w:tcPr>
            <w:tcW w:w="715" w:type="pct"/>
            <w:tcBorders>
              <w:top w:val="nil"/>
              <w:left w:val="nil"/>
              <w:bottom w:val="single" w:sz="8" w:space="0" w:color="auto"/>
              <w:right w:val="single" w:sz="8" w:space="0" w:color="auto"/>
            </w:tcBorders>
            <w:shd w:val="clear" w:color="auto" w:fill="auto"/>
            <w:noWrap/>
            <w:hideMark/>
          </w:tcPr>
          <w:p w:rsidR="0092248F" w:rsidRPr="007E4F1C" w:rsidRDefault="0092248F" w:rsidP="00254CD8">
            <w:pPr>
              <w:jc w:val="center"/>
              <w:rPr>
                <w:b/>
                <w:i/>
                <w:color w:val="0D0D0D"/>
                <w:szCs w:val="21"/>
              </w:rPr>
            </w:pPr>
            <w:r w:rsidRPr="007E4F1C">
              <w:rPr>
                <w:b/>
                <w:i/>
                <w:color w:val="0D0D0D"/>
                <w:szCs w:val="21"/>
              </w:rPr>
              <w:t>0.06%</w:t>
            </w:r>
          </w:p>
        </w:tc>
        <w:tc>
          <w:tcPr>
            <w:tcW w:w="2143" w:type="pct"/>
            <w:gridSpan w:val="3"/>
            <w:vMerge/>
            <w:tcBorders>
              <w:left w:val="nil"/>
              <w:bottom w:val="single" w:sz="8" w:space="0" w:color="auto"/>
              <w:right w:val="single" w:sz="8" w:space="0" w:color="auto"/>
            </w:tcBorders>
            <w:shd w:val="clear" w:color="auto" w:fill="auto"/>
            <w:noWrap/>
            <w:vAlign w:val="bottom"/>
            <w:hideMark/>
          </w:tcPr>
          <w:p w:rsidR="0092248F" w:rsidRPr="007E4F1C" w:rsidRDefault="0092248F" w:rsidP="00254CD8">
            <w:pPr>
              <w:jc w:val="center"/>
              <w:rPr>
                <w:rFonts w:ascii="宋体" w:hAnsi="宋体" w:cs="宋体"/>
                <w:b/>
                <w:i/>
                <w:color w:val="0D0D0D"/>
                <w:szCs w:val="21"/>
              </w:rPr>
            </w:pPr>
          </w:p>
        </w:tc>
      </w:tr>
    </w:tbl>
    <w:p w:rsidR="00EC4546" w:rsidRDefault="00EC4546" w:rsidP="00EC4546">
      <w:pPr>
        <w:rPr>
          <w:rFonts w:ascii="楷体_GB2312" w:eastAsia="楷体_GB2312"/>
          <w:noProof/>
        </w:rPr>
      </w:pPr>
    </w:p>
    <w:p w:rsidR="008E0A57" w:rsidRDefault="008E0A57" w:rsidP="008E0A57">
      <w:pPr>
        <w:keepLines/>
        <w:adjustRightInd w:val="0"/>
        <w:snapToGrid w:val="0"/>
        <w:jc w:val="left"/>
        <w:rPr>
          <w:rFonts w:ascii="楷体_GB2312" w:eastAsia="楷体_GB2312"/>
          <w:noProof/>
        </w:rPr>
      </w:pPr>
      <w:r>
        <w:rPr>
          <w:rFonts w:ascii="楷体_GB2312" w:eastAsia="楷体_GB2312" w:hint="eastAsia"/>
          <w:noProof/>
        </w:rPr>
        <w:t>注：数据截至</w:t>
      </w:r>
      <w:r w:rsidRPr="00CD771C">
        <w:rPr>
          <w:rFonts w:ascii="楷体_GB2312" w:eastAsia="楷体_GB2312" w:hint="eastAsia"/>
          <w:noProof/>
        </w:rPr>
        <w:t>201</w:t>
      </w:r>
      <w:r w:rsidR="00FA36C2">
        <w:rPr>
          <w:rFonts w:ascii="楷体_GB2312" w:eastAsia="楷体_GB2312" w:hint="eastAsia"/>
          <w:noProof/>
        </w:rPr>
        <w:t>3</w:t>
      </w:r>
      <w:r w:rsidRPr="00CD771C">
        <w:rPr>
          <w:rFonts w:ascii="楷体_GB2312" w:eastAsia="楷体_GB2312" w:hint="eastAsia"/>
          <w:noProof/>
        </w:rPr>
        <w:t>年</w:t>
      </w:r>
      <w:r w:rsidR="00791990">
        <w:rPr>
          <w:rFonts w:ascii="楷体_GB2312" w:eastAsia="楷体_GB2312" w:hint="eastAsia"/>
          <w:noProof/>
        </w:rPr>
        <w:t>1</w:t>
      </w:r>
      <w:r w:rsidR="007B6BB7">
        <w:rPr>
          <w:rFonts w:ascii="楷体_GB2312" w:eastAsia="楷体_GB2312" w:hint="eastAsia"/>
          <w:noProof/>
        </w:rPr>
        <w:t>2</w:t>
      </w:r>
      <w:r w:rsidRPr="00CD771C">
        <w:rPr>
          <w:rFonts w:ascii="楷体_GB2312" w:eastAsia="楷体_GB2312" w:hint="eastAsia"/>
          <w:noProof/>
        </w:rPr>
        <w:t>月</w:t>
      </w:r>
      <w:r w:rsidR="00F70761">
        <w:rPr>
          <w:rFonts w:ascii="楷体_GB2312" w:eastAsia="楷体_GB2312" w:hint="eastAsia"/>
          <w:noProof/>
        </w:rPr>
        <w:t>3</w:t>
      </w:r>
      <w:r w:rsidR="007B6BB7">
        <w:rPr>
          <w:rFonts w:ascii="楷体_GB2312" w:eastAsia="楷体_GB2312" w:hint="eastAsia"/>
          <w:noProof/>
        </w:rPr>
        <w:t>1</w:t>
      </w:r>
      <w:r w:rsidRPr="00CD771C">
        <w:rPr>
          <w:rFonts w:ascii="楷体_GB2312" w:eastAsia="楷体_GB2312" w:hint="eastAsia"/>
          <w:noProof/>
        </w:rPr>
        <w:t>日</w:t>
      </w:r>
      <w:r>
        <w:rPr>
          <w:rFonts w:ascii="楷体_GB2312" w:eastAsia="楷体_GB2312" w:hint="eastAsia"/>
          <w:noProof/>
        </w:rPr>
        <w:t>,组合于2011年2月初设立。</w:t>
      </w:r>
    </w:p>
    <w:p w:rsidR="008E0A57" w:rsidRPr="003D06B4" w:rsidRDefault="008E0A57" w:rsidP="008E0A57">
      <w:pPr>
        <w:rPr>
          <w:rFonts w:ascii="楷体_GB2312" w:eastAsia="楷体_GB2312"/>
          <w:b/>
          <w:noProof/>
        </w:rPr>
      </w:pPr>
      <w:r>
        <w:rPr>
          <w:rFonts w:ascii="楷体_GB2312" w:eastAsia="楷体_GB2312" w:hint="eastAsia"/>
          <w:b/>
          <w:noProof/>
        </w:rPr>
        <w:lastRenderedPageBreak/>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r>
        <w:rPr>
          <w:rFonts w:ascii="楷体_GB2312" w:eastAsia="楷体_GB2312" w:hint="eastAsia"/>
          <w:noProof/>
        </w:rPr>
        <w:t>（包括当月仍然处于建仓期的基金，以下同）</w:t>
      </w:r>
      <w:r w:rsidRPr="00960590">
        <w:rPr>
          <w:rFonts w:ascii="楷体_GB2312" w:eastAsia="楷体_GB2312" w:hint="eastAsia"/>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8E0A57" w:rsidRDefault="008E0A57" w:rsidP="008E0A57">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8E0A57" w:rsidRPr="008E0A57" w:rsidRDefault="008E0A57" w:rsidP="00621C6F">
      <w:pPr>
        <w:keepNext/>
        <w:keepLines/>
        <w:ind w:leftChars="1350" w:left="2835" w:firstLine="420"/>
        <w:rPr>
          <w:rFonts w:ascii="楷体_GB2312" w:eastAsia="楷体_GB2312"/>
          <w:b/>
          <w:color w:val="000000"/>
        </w:rPr>
      </w:pPr>
      <w:r w:rsidRPr="008E0A57">
        <w:rPr>
          <w:rFonts w:ascii="楷体_GB2312" w:eastAsia="楷体_GB2312" w:hint="eastAsia"/>
          <w:b/>
          <w:color w:val="000000"/>
        </w:rPr>
        <w:t>图</w:t>
      </w:r>
      <w:r>
        <w:rPr>
          <w:rFonts w:ascii="楷体_GB2312" w:eastAsia="楷体_GB2312" w:hint="eastAsia"/>
          <w:b/>
          <w:color w:val="000000"/>
        </w:rPr>
        <w:t>4  上海证券积极型基金组合累计</w:t>
      </w:r>
      <w:r w:rsidR="00DF138F">
        <w:rPr>
          <w:rFonts w:ascii="楷体_GB2312" w:eastAsia="楷体_GB2312" w:hint="eastAsia"/>
          <w:b/>
          <w:color w:val="000000"/>
        </w:rPr>
        <w:t>收益</w:t>
      </w:r>
      <w:r>
        <w:rPr>
          <w:rFonts w:ascii="楷体_GB2312" w:eastAsia="楷体_GB2312" w:hint="eastAsia"/>
          <w:b/>
          <w:color w:val="000000"/>
        </w:rPr>
        <w:t>图</w:t>
      </w:r>
    </w:p>
    <w:p w:rsidR="008E0A57" w:rsidRDefault="00E8123A" w:rsidP="00621C6F">
      <w:pPr>
        <w:keepLines/>
        <w:jc w:val="center"/>
      </w:pPr>
      <w:r w:rsidRPr="00E8123A">
        <w:rPr>
          <w:noProof/>
        </w:rPr>
        <w:drawing>
          <wp:inline distT="0" distB="0" distL="0" distR="0">
            <wp:extent cx="5123815" cy="2070100"/>
            <wp:effectExtent l="1905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8E0A57" w:rsidRDefault="008E0A57" w:rsidP="00621C6F">
      <w:pPr>
        <w:keepLines/>
        <w:ind w:leftChars="1350" w:left="2835" w:firstLine="420"/>
        <w:rPr>
          <w:rFonts w:ascii="楷体_GB2312" w:eastAsia="楷体_GB2312"/>
          <w:b/>
          <w:color w:val="000000"/>
        </w:rPr>
      </w:pPr>
    </w:p>
    <w:p w:rsidR="008E0A57" w:rsidRPr="008E0A57" w:rsidRDefault="008E0A57" w:rsidP="00621C6F">
      <w:pPr>
        <w:keepLines/>
        <w:ind w:leftChars="1350" w:left="2835" w:firstLine="420"/>
        <w:rPr>
          <w:rFonts w:ascii="楷体_GB2312" w:eastAsia="楷体_GB2312"/>
          <w:b/>
          <w:color w:val="000000"/>
        </w:rPr>
      </w:pPr>
      <w:r w:rsidRPr="008E0A57">
        <w:rPr>
          <w:rFonts w:ascii="楷体_GB2312" w:eastAsia="楷体_GB2312" w:hint="eastAsia"/>
          <w:b/>
          <w:color w:val="000000"/>
        </w:rPr>
        <w:t>图</w:t>
      </w:r>
      <w:r>
        <w:rPr>
          <w:rFonts w:ascii="楷体_GB2312" w:eastAsia="楷体_GB2312" w:hint="eastAsia"/>
          <w:b/>
          <w:color w:val="000000"/>
        </w:rPr>
        <w:t>5  上海证券平衡型基金组合累计</w:t>
      </w:r>
      <w:r w:rsidR="00177718">
        <w:rPr>
          <w:rFonts w:ascii="楷体_GB2312" w:eastAsia="楷体_GB2312" w:hint="eastAsia"/>
          <w:b/>
          <w:color w:val="000000"/>
        </w:rPr>
        <w:t>收益</w:t>
      </w:r>
      <w:r>
        <w:rPr>
          <w:rFonts w:ascii="楷体_GB2312" w:eastAsia="楷体_GB2312" w:hint="eastAsia"/>
          <w:b/>
          <w:color w:val="000000"/>
        </w:rPr>
        <w:t>图</w:t>
      </w:r>
    </w:p>
    <w:p w:rsidR="008E0A57" w:rsidRDefault="00E8123A" w:rsidP="00621C6F">
      <w:pPr>
        <w:keepLines/>
        <w:jc w:val="center"/>
        <w:rPr>
          <w:rFonts w:ascii="楷体_GB2312" w:eastAsia="楷体_GB2312"/>
          <w:noProof/>
        </w:rPr>
      </w:pPr>
      <w:r w:rsidRPr="00E8123A">
        <w:rPr>
          <w:noProof/>
        </w:rPr>
        <w:drawing>
          <wp:inline distT="0" distB="0" distL="0" distR="0">
            <wp:extent cx="5123815" cy="2070100"/>
            <wp:effectExtent l="1905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9908B0" w:rsidRDefault="009908B0" w:rsidP="00621C6F">
      <w:pPr>
        <w:keepLines/>
        <w:ind w:leftChars="1350" w:left="2835" w:firstLine="420"/>
        <w:rPr>
          <w:rFonts w:ascii="楷体_GB2312" w:eastAsia="楷体_GB2312"/>
          <w:b/>
          <w:color w:val="000000"/>
        </w:rPr>
      </w:pPr>
    </w:p>
    <w:p w:rsidR="008E0A57" w:rsidRPr="008E0A57" w:rsidRDefault="008E0A57" w:rsidP="00621C6F">
      <w:pPr>
        <w:keepLines/>
        <w:ind w:leftChars="1350" w:left="2835" w:firstLine="420"/>
        <w:rPr>
          <w:rFonts w:ascii="楷体_GB2312" w:eastAsia="楷体_GB2312"/>
          <w:b/>
          <w:color w:val="000000"/>
        </w:rPr>
      </w:pPr>
      <w:r w:rsidRPr="008E0A57">
        <w:rPr>
          <w:rFonts w:ascii="楷体_GB2312" w:eastAsia="楷体_GB2312" w:hint="eastAsia"/>
          <w:b/>
          <w:color w:val="000000"/>
        </w:rPr>
        <w:t>图</w:t>
      </w:r>
      <w:r>
        <w:rPr>
          <w:rFonts w:ascii="楷体_GB2312" w:eastAsia="楷体_GB2312" w:hint="eastAsia"/>
          <w:b/>
          <w:color w:val="000000"/>
        </w:rPr>
        <w:t>6  上海证券稳健型基金组合累计</w:t>
      </w:r>
      <w:r w:rsidR="00177718">
        <w:rPr>
          <w:rFonts w:ascii="楷体_GB2312" w:eastAsia="楷体_GB2312" w:hint="eastAsia"/>
          <w:b/>
          <w:color w:val="000000"/>
        </w:rPr>
        <w:t>收益</w:t>
      </w:r>
      <w:r>
        <w:rPr>
          <w:rFonts w:ascii="楷体_GB2312" w:eastAsia="楷体_GB2312" w:hint="eastAsia"/>
          <w:b/>
          <w:color w:val="000000"/>
        </w:rPr>
        <w:t>图</w:t>
      </w:r>
    </w:p>
    <w:p w:rsidR="008E0A57" w:rsidRDefault="00E8123A" w:rsidP="00621C6F">
      <w:pPr>
        <w:keepLines/>
        <w:jc w:val="center"/>
        <w:rPr>
          <w:rFonts w:ascii="楷体_GB2312" w:eastAsia="楷体_GB2312"/>
          <w:noProof/>
        </w:rPr>
      </w:pPr>
      <w:r w:rsidRPr="00E8123A">
        <w:rPr>
          <w:noProof/>
        </w:rPr>
        <w:drawing>
          <wp:inline distT="0" distB="0" distL="0" distR="0">
            <wp:extent cx="5123815" cy="2070100"/>
            <wp:effectExtent l="1905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8E0A57" w:rsidRPr="008E0A57" w:rsidRDefault="008E0A57" w:rsidP="00621C6F">
      <w:pPr>
        <w:keepLines/>
        <w:rPr>
          <w:rFonts w:ascii="楷体_GB2312" w:eastAsia="楷体_GB2312"/>
          <w:noProof/>
        </w:rPr>
      </w:pPr>
    </w:p>
    <w:p w:rsidR="009859B6" w:rsidRPr="00816D44" w:rsidRDefault="00E948C6" w:rsidP="009859B6">
      <w:pPr>
        <w:pageBreakBefore/>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附注：</w:t>
      </w:r>
      <w:r w:rsidR="00E611B0">
        <w:rPr>
          <w:rFonts w:ascii="黑体" w:eastAsia="黑体" w:hAnsi="宋体-18030" w:cs="宋体-18030" w:hint="eastAsia"/>
          <w:b/>
          <w:bCs/>
          <w:color w:val="000000"/>
          <w:kern w:val="44"/>
          <w:sz w:val="28"/>
          <w:szCs w:val="28"/>
        </w:rPr>
        <w:t>各期组合</w:t>
      </w:r>
      <w:r w:rsidR="008E0A57">
        <w:rPr>
          <w:rFonts w:ascii="黑体" w:eastAsia="黑体" w:hAnsi="宋体-18030" w:cs="宋体-18030" w:hint="eastAsia"/>
          <w:b/>
          <w:bCs/>
          <w:color w:val="000000"/>
          <w:kern w:val="44"/>
          <w:sz w:val="28"/>
          <w:szCs w:val="28"/>
        </w:rPr>
        <w:t>及业绩回顾</w:t>
      </w:r>
    </w:p>
    <w:p w:rsidR="00E948C6" w:rsidRDefault="00E948C6" w:rsidP="00E948C6">
      <w:pPr>
        <w:rPr>
          <w:rFonts w:ascii="楷体_GB2312" w:eastAsia="楷体_GB2312"/>
          <w:b/>
          <w:color w:val="000000"/>
        </w:rPr>
      </w:pPr>
      <w:r>
        <w:rPr>
          <w:rFonts w:ascii="楷体_GB2312" w:eastAsia="楷体_GB2312" w:hint="eastAsia"/>
          <w:b/>
          <w:color w:val="000000"/>
        </w:rPr>
        <w:t>附</w:t>
      </w:r>
      <w:r w:rsidRPr="003B6035">
        <w:rPr>
          <w:rFonts w:ascii="楷体_GB2312" w:eastAsia="楷体_GB2312" w:hint="eastAsia"/>
          <w:b/>
          <w:color w:val="000000"/>
        </w:rPr>
        <w:t>表</w:t>
      </w:r>
      <w:r>
        <w:rPr>
          <w:rFonts w:ascii="楷体_GB2312" w:eastAsia="楷体_GB2312" w:hint="eastAsia"/>
          <w:b/>
          <w:color w:val="000000"/>
        </w:rPr>
        <w:t>1 2011年2月以来各月份推荐组合</w:t>
      </w:r>
    </w:p>
    <w:tbl>
      <w:tblPr>
        <w:tblW w:w="8100" w:type="dxa"/>
        <w:tblInd w:w="94" w:type="dxa"/>
        <w:tblLook w:val="04A0"/>
      </w:tblPr>
      <w:tblGrid>
        <w:gridCol w:w="2301"/>
        <w:gridCol w:w="630"/>
        <w:gridCol w:w="222"/>
        <w:gridCol w:w="2372"/>
        <w:gridCol w:w="630"/>
        <w:gridCol w:w="222"/>
        <w:gridCol w:w="1427"/>
        <w:gridCol w:w="630"/>
      </w:tblGrid>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2011年2-3月推荐组合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华商阿尔法</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2011年4-5月推荐组合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2011年6-8月推荐组合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2011年9月推荐组合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2011年10-11月推荐组合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2011年12月推荐组合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广发标普全球农业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2012年2-4月推荐组合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2012年5-6月推荐组合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2012年7月推荐组合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2012年8-9月推荐组合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nil"/>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00"/>
        </w:trPr>
        <w:tc>
          <w:tcPr>
            <w:tcW w:w="2301" w:type="dxa"/>
            <w:tcBorders>
              <w:top w:val="nil"/>
              <w:left w:val="single" w:sz="8" w:space="0" w:color="auto"/>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2012年10-11月推荐组合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2012年12月-2013年5月推荐组合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2013年6-8月推荐组合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lastRenderedPageBreak/>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2013年9-10月推荐组合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8100"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2013年11月推荐组合</w:t>
            </w:r>
          </w:p>
        </w:tc>
      </w:tr>
      <w:tr w:rsidR="00224A46" w:rsidRPr="00224A46" w:rsidTr="00224A46">
        <w:trPr>
          <w:trHeight w:val="300"/>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55"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55"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224A46">
        <w:trPr>
          <w:trHeight w:val="315"/>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224A46">
        <w:trPr>
          <w:trHeight w:val="315"/>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55"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55"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bl>
    <w:p w:rsidR="00224A46" w:rsidRDefault="00224A46" w:rsidP="00E948C6">
      <w:pPr>
        <w:rPr>
          <w:rFonts w:ascii="楷体_GB2312" w:eastAsia="楷体_GB2312"/>
          <w:b/>
          <w:color w:val="000000"/>
        </w:rPr>
      </w:pPr>
    </w:p>
    <w:p w:rsidR="00E948C6" w:rsidRDefault="00E948C6" w:rsidP="00E948C6">
      <w:pPr>
        <w:rPr>
          <w:rFonts w:ascii="楷体_GB2312" w:eastAsia="楷体_GB2312"/>
          <w:b/>
          <w:color w:val="000000"/>
        </w:rPr>
      </w:pPr>
      <w:r>
        <w:rPr>
          <w:rFonts w:ascii="楷体_GB2312" w:eastAsia="楷体_GB2312" w:hint="eastAsia"/>
          <w:b/>
          <w:color w:val="000000"/>
        </w:rPr>
        <w:t>附</w:t>
      </w:r>
      <w:r w:rsidRPr="003B6035">
        <w:rPr>
          <w:rFonts w:ascii="楷体_GB2312" w:eastAsia="楷体_GB2312" w:hint="eastAsia"/>
          <w:b/>
          <w:color w:val="000000"/>
        </w:rPr>
        <w:t>表</w:t>
      </w:r>
      <w:r w:rsidR="00363247">
        <w:rPr>
          <w:rFonts w:ascii="楷体_GB2312" w:eastAsia="楷体_GB2312" w:hint="eastAsia"/>
          <w:b/>
          <w:color w:val="000000"/>
        </w:rPr>
        <w:t>2</w:t>
      </w:r>
      <w:r>
        <w:rPr>
          <w:rFonts w:ascii="楷体_GB2312" w:eastAsia="楷体_GB2312" w:hint="eastAsia"/>
          <w:b/>
          <w:color w:val="000000"/>
        </w:rPr>
        <w:t xml:space="preserve">  2011年2月以来各月份推荐组合业绩</w:t>
      </w:r>
    </w:p>
    <w:tbl>
      <w:tblPr>
        <w:tblW w:w="6080" w:type="dxa"/>
        <w:tblInd w:w="94" w:type="dxa"/>
        <w:tblLook w:val="04A0"/>
      </w:tblPr>
      <w:tblGrid>
        <w:gridCol w:w="1260"/>
        <w:gridCol w:w="1580"/>
        <w:gridCol w:w="1080"/>
        <w:gridCol w:w="1080"/>
        <w:gridCol w:w="1080"/>
      </w:tblGrid>
      <w:tr w:rsidR="00C30373" w:rsidRPr="00C30373" w:rsidTr="00C43B51">
        <w:trPr>
          <w:trHeight w:val="300"/>
        </w:trPr>
        <w:tc>
          <w:tcPr>
            <w:tcW w:w="1260" w:type="dxa"/>
            <w:tcBorders>
              <w:top w:val="single" w:sz="4" w:space="0" w:color="auto"/>
              <w:left w:val="single" w:sz="4" w:space="0" w:color="auto"/>
              <w:bottom w:val="nil"/>
              <w:right w:val="single" w:sz="4" w:space="0" w:color="auto"/>
            </w:tcBorders>
            <w:shd w:val="clear" w:color="000000" w:fill="666699"/>
            <w:noWrap/>
            <w:vAlign w:val="center"/>
            <w:hideMark/>
          </w:tcPr>
          <w:p w:rsidR="00C30373" w:rsidRPr="00C30373" w:rsidRDefault="00C30373" w:rsidP="00C30373">
            <w:pPr>
              <w:widowControl/>
              <w:jc w:val="left"/>
              <w:rPr>
                <w:rFonts w:ascii="楷体_GB2312" w:eastAsia="楷体_GB2312" w:hAnsi="宋体" w:cs="宋体"/>
                <w:b/>
                <w:bCs/>
                <w:color w:val="FFFFFF"/>
                <w:kern w:val="0"/>
                <w:szCs w:val="21"/>
              </w:rPr>
            </w:pPr>
            <w:r w:rsidRPr="00C30373">
              <w:rPr>
                <w:rFonts w:ascii="楷体_GB2312" w:eastAsia="楷体_GB2312" w:hAnsi="宋体" w:cs="宋体" w:hint="eastAsia"/>
                <w:b/>
                <w:bCs/>
                <w:color w:val="FFFFFF"/>
                <w:kern w:val="0"/>
                <w:szCs w:val="21"/>
              </w:rPr>
              <w:t>组合类型</w:t>
            </w:r>
          </w:p>
        </w:tc>
        <w:tc>
          <w:tcPr>
            <w:tcW w:w="1580" w:type="dxa"/>
            <w:tcBorders>
              <w:top w:val="single" w:sz="4" w:space="0" w:color="auto"/>
              <w:left w:val="nil"/>
              <w:bottom w:val="nil"/>
              <w:right w:val="single" w:sz="4" w:space="0" w:color="auto"/>
            </w:tcBorders>
            <w:shd w:val="clear" w:color="000000" w:fill="666699"/>
            <w:noWrap/>
            <w:vAlign w:val="center"/>
            <w:hideMark/>
          </w:tcPr>
          <w:p w:rsidR="00C30373" w:rsidRPr="00C30373" w:rsidRDefault="00C30373" w:rsidP="00C30373">
            <w:pPr>
              <w:widowControl/>
              <w:jc w:val="left"/>
              <w:rPr>
                <w:rFonts w:ascii="楷体_GB2312" w:eastAsia="楷体_GB2312" w:hAnsi="宋体" w:cs="宋体"/>
                <w:b/>
                <w:bCs/>
                <w:color w:val="FFFFFF"/>
                <w:kern w:val="0"/>
                <w:szCs w:val="21"/>
              </w:rPr>
            </w:pPr>
            <w:r w:rsidRPr="00C30373">
              <w:rPr>
                <w:rFonts w:ascii="楷体_GB2312" w:eastAsia="楷体_GB2312" w:hAnsi="宋体" w:cs="宋体" w:hint="eastAsia"/>
                <w:b/>
                <w:bCs/>
                <w:color w:val="FFFFFF"/>
                <w:kern w:val="0"/>
                <w:szCs w:val="21"/>
              </w:rPr>
              <w:t>持有阶段</w:t>
            </w:r>
          </w:p>
        </w:tc>
        <w:tc>
          <w:tcPr>
            <w:tcW w:w="1080" w:type="dxa"/>
            <w:tcBorders>
              <w:top w:val="single" w:sz="4" w:space="0" w:color="auto"/>
              <w:left w:val="nil"/>
              <w:bottom w:val="single" w:sz="4" w:space="0" w:color="auto"/>
              <w:right w:val="single" w:sz="4" w:space="0" w:color="auto"/>
            </w:tcBorders>
            <w:shd w:val="clear" w:color="000000" w:fill="FFCC00"/>
            <w:noWrap/>
            <w:hideMark/>
          </w:tcPr>
          <w:p w:rsidR="00C30373" w:rsidRPr="00C30373" w:rsidRDefault="00C30373" w:rsidP="00C30373">
            <w:pPr>
              <w:widowControl/>
              <w:jc w:val="center"/>
              <w:rPr>
                <w:rFonts w:ascii="楷体_GB2312" w:eastAsia="楷体_GB2312" w:hAnsi="宋体" w:cs="宋体"/>
                <w:color w:val="000000"/>
                <w:kern w:val="0"/>
                <w:szCs w:val="21"/>
              </w:rPr>
            </w:pPr>
            <w:r w:rsidRPr="00C30373">
              <w:rPr>
                <w:rFonts w:ascii="楷体_GB2312" w:eastAsia="楷体_GB2312" w:hAnsi="宋体" w:cs="宋体" w:hint="eastAsia"/>
                <w:color w:val="000000"/>
                <w:kern w:val="0"/>
                <w:szCs w:val="21"/>
              </w:rPr>
              <w:t>组合业绩</w:t>
            </w:r>
          </w:p>
        </w:tc>
        <w:tc>
          <w:tcPr>
            <w:tcW w:w="1080" w:type="dxa"/>
            <w:tcBorders>
              <w:top w:val="single" w:sz="4" w:space="0" w:color="auto"/>
              <w:left w:val="nil"/>
              <w:bottom w:val="single" w:sz="4" w:space="0" w:color="auto"/>
              <w:right w:val="single" w:sz="4" w:space="0" w:color="auto"/>
            </w:tcBorders>
            <w:shd w:val="clear" w:color="000000" w:fill="FFCC00"/>
            <w:noWrap/>
            <w:hideMark/>
          </w:tcPr>
          <w:p w:rsidR="00C30373" w:rsidRPr="00C30373" w:rsidRDefault="00C30373" w:rsidP="00C30373">
            <w:pPr>
              <w:widowControl/>
              <w:jc w:val="center"/>
              <w:rPr>
                <w:rFonts w:ascii="楷体_GB2312" w:eastAsia="楷体_GB2312" w:hAnsi="宋体" w:cs="宋体"/>
                <w:color w:val="000000"/>
                <w:kern w:val="0"/>
                <w:szCs w:val="21"/>
              </w:rPr>
            </w:pPr>
            <w:r w:rsidRPr="00C30373">
              <w:rPr>
                <w:rFonts w:ascii="楷体_GB2312" w:eastAsia="楷体_GB2312" w:hAnsi="宋体" w:cs="宋体" w:hint="eastAsia"/>
                <w:color w:val="000000"/>
                <w:kern w:val="0"/>
                <w:szCs w:val="21"/>
              </w:rPr>
              <w:t>基准业绩</w:t>
            </w:r>
          </w:p>
        </w:tc>
        <w:tc>
          <w:tcPr>
            <w:tcW w:w="1080" w:type="dxa"/>
            <w:tcBorders>
              <w:top w:val="single" w:sz="8" w:space="0" w:color="auto"/>
              <w:left w:val="nil"/>
              <w:bottom w:val="single" w:sz="8" w:space="0" w:color="auto"/>
              <w:right w:val="single" w:sz="8" w:space="0" w:color="auto"/>
            </w:tcBorders>
            <w:shd w:val="clear" w:color="000000" w:fill="FFCC00"/>
            <w:noWrap/>
            <w:hideMark/>
          </w:tcPr>
          <w:p w:rsidR="00C30373" w:rsidRPr="00C30373" w:rsidRDefault="00C30373" w:rsidP="00C30373">
            <w:pPr>
              <w:widowControl/>
              <w:jc w:val="center"/>
              <w:rPr>
                <w:rFonts w:ascii="楷体_GB2312" w:eastAsia="楷体_GB2312" w:hAnsi="宋体" w:cs="宋体"/>
                <w:color w:val="000000"/>
                <w:kern w:val="0"/>
                <w:szCs w:val="21"/>
              </w:rPr>
            </w:pPr>
            <w:r w:rsidRPr="00C30373">
              <w:rPr>
                <w:rFonts w:ascii="楷体_GB2312" w:eastAsia="楷体_GB2312" w:hAnsi="宋体" w:cs="宋体" w:hint="eastAsia"/>
                <w:color w:val="000000"/>
                <w:kern w:val="0"/>
                <w:szCs w:val="21"/>
              </w:rPr>
              <w:t>超越组合</w:t>
            </w:r>
          </w:p>
        </w:tc>
      </w:tr>
      <w:tr w:rsidR="00C30373" w:rsidRPr="00C30373" w:rsidTr="00C30373">
        <w:trPr>
          <w:trHeight w:val="300"/>
        </w:trPr>
        <w:tc>
          <w:tcPr>
            <w:tcW w:w="1260" w:type="dxa"/>
            <w:tcBorders>
              <w:top w:val="single" w:sz="4" w:space="0" w:color="auto"/>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E5E0EC"/>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2011年2月</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5.86%</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5.39%</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0.47%</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3.13%</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2.98%</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0.15%</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0.54%</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0.23%</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0.31%</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2011年3月</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-2.23%</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-2.99%</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0.76%</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-1.02%</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-1.38%</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0.36%</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0.08%</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0.25%</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FF0000"/>
                <w:kern w:val="0"/>
                <w:szCs w:val="21"/>
              </w:rPr>
              <w:t>-0.18%</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E5E0EC"/>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2011年4月</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-0.63%</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-2.24%</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1.61%</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-0.67%</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-0.96%</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0.29%</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0.23%</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0.25%</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-0.02%</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2011年5月</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-3.65%</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-5.31%</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1.66%</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-2.63%</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-2.88%</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0.25%</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0.01%</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0.25%</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FF0000"/>
                <w:kern w:val="0"/>
                <w:szCs w:val="21"/>
              </w:rPr>
              <w:t>-0.24%</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E5E0EC"/>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2011年6月</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1.69%</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2.87%</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-1.18%</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1.23%</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1.21%</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0.02%</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0.00%</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0.25%</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-0.25%</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2011年7月</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0.53%</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0.66%</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FF0000"/>
                <w:kern w:val="0"/>
                <w:szCs w:val="21"/>
              </w:rPr>
              <w:t>-0.13%</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0.13%</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-0.23%</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0.36%</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0.20%</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0.30%</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FF0000"/>
                <w:kern w:val="0"/>
                <w:szCs w:val="21"/>
              </w:rPr>
              <w:t>-0.11%</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E5E0EC"/>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2011年8月</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-3.13%</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-2.10%</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-1.03%</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-1.43%</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-1.63%</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0.20%</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-0.07%</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0.30%</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-0.37%</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2011年9月</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-8.31%</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-9.55%</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1.24%</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-5.52%</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-6.28%</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0.76%</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lastRenderedPageBreak/>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0.03%</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0.29%</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FF0000"/>
                <w:kern w:val="0"/>
                <w:szCs w:val="21"/>
              </w:rPr>
              <w:t>-0.26%</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E5E0EC"/>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2011年10月</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3.48%</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3.00%</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0.48%</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3.29%</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2.84%</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0.45%</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0.90%</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0.30%</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0.60%</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2011年11月</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-2.38%</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-2.70%</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0.32%</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-0.79%</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-1.26%</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0.46%</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0.49%</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0.30%</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0.19%</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E5E0EC"/>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2011年12月</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-6.44%</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-7.15%</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0.72%</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-2.09%</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-3.56%</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1.47%</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0.79%</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0.30%</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0D0D0D"/>
                <w:kern w:val="0"/>
                <w:szCs w:val="21"/>
              </w:rPr>
              <w:t>0.49%</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2012年1月</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-0.84%</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-1.84%</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0.99%</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1.82%</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-0.51%</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2.32%</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0.70%</w:t>
            </w:r>
          </w:p>
        </w:tc>
        <w:tc>
          <w:tcPr>
            <w:tcW w:w="1080" w:type="dxa"/>
            <w:tcBorders>
              <w:top w:val="nil"/>
              <w:left w:val="nil"/>
              <w:bottom w:val="single" w:sz="4" w:space="0" w:color="auto"/>
              <w:right w:val="single" w:sz="4" w:space="0" w:color="auto"/>
            </w:tcBorders>
            <w:shd w:val="clear" w:color="000000" w:fill="FFFFFF"/>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0.30%</w:t>
            </w:r>
          </w:p>
        </w:tc>
        <w:tc>
          <w:tcPr>
            <w:tcW w:w="1080" w:type="dxa"/>
            <w:tcBorders>
              <w:top w:val="nil"/>
              <w:left w:val="nil"/>
              <w:bottom w:val="single" w:sz="8" w:space="0" w:color="auto"/>
              <w:right w:val="single" w:sz="8" w:space="0" w:color="auto"/>
            </w:tcBorders>
            <w:shd w:val="clear" w:color="000000" w:fill="FFFFFF"/>
            <w:noWrap/>
            <w:hideMark/>
          </w:tcPr>
          <w:p w:rsidR="00C30373" w:rsidRPr="00C30373" w:rsidRDefault="00C30373" w:rsidP="00C30373">
            <w:pPr>
              <w:widowControl/>
              <w:jc w:val="center"/>
              <w:rPr>
                <w:color w:val="0D0D0D"/>
                <w:kern w:val="0"/>
                <w:szCs w:val="21"/>
              </w:rPr>
            </w:pPr>
            <w:r w:rsidRPr="00C30373">
              <w:rPr>
                <w:color w:val="0D0D0D"/>
                <w:kern w:val="0"/>
                <w:szCs w:val="21"/>
              </w:rPr>
              <w:t>0.40%</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E5E0EC"/>
            <w:vAlign w:val="center"/>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2012年2月</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6.28%</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6.95%</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-0.67%</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1.88%</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3.71%</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-1.83%</w:t>
            </w:r>
          </w:p>
        </w:tc>
      </w:tr>
      <w:tr w:rsidR="00C30373"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E5E0EC"/>
            <w:vAlign w:val="bottom"/>
            <w:hideMark/>
          </w:tcPr>
          <w:p w:rsidR="00C30373" w:rsidRPr="00C30373" w:rsidRDefault="00C30373"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C30373" w:rsidRPr="00C30373" w:rsidRDefault="00C30373"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-0.06%</w:t>
            </w:r>
          </w:p>
        </w:tc>
        <w:tc>
          <w:tcPr>
            <w:tcW w:w="1080" w:type="dxa"/>
            <w:tcBorders>
              <w:top w:val="nil"/>
              <w:left w:val="nil"/>
              <w:bottom w:val="single" w:sz="4" w:space="0" w:color="auto"/>
              <w:right w:val="single" w:sz="4" w:space="0" w:color="auto"/>
            </w:tcBorders>
            <w:shd w:val="clear" w:color="000000" w:fill="E5E0EC"/>
            <w:noWrap/>
            <w:vAlign w:val="bottom"/>
            <w:hideMark/>
          </w:tcPr>
          <w:p w:rsidR="00C30373" w:rsidRPr="00C30373" w:rsidRDefault="00C30373"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0.28%</w:t>
            </w:r>
          </w:p>
        </w:tc>
        <w:tc>
          <w:tcPr>
            <w:tcW w:w="1080" w:type="dxa"/>
            <w:tcBorders>
              <w:top w:val="nil"/>
              <w:left w:val="nil"/>
              <w:bottom w:val="single" w:sz="8" w:space="0" w:color="auto"/>
              <w:right w:val="single" w:sz="8" w:space="0" w:color="auto"/>
            </w:tcBorders>
            <w:shd w:val="clear" w:color="000000" w:fill="E5E0EC"/>
            <w:noWrap/>
            <w:hideMark/>
          </w:tcPr>
          <w:p w:rsidR="00C30373" w:rsidRPr="00C30373" w:rsidRDefault="00C30373" w:rsidP="00C30373">
            <w:pPr>
              <w:widowControl/>
              <w:jc w:val="center"/>
              <w:rPr>
                <w:color w:val="0D0D0D"/>
                <w:kern w:val="0"/>
                <w:szCs w:val="21"/>
              </w:rPr>
            </w:pPr>
            <w:r w:rsidRPr="00C30373">
              <w:rPr>
                <w:color w:val="FF0000"/>
                <w:kern w:val="0"/>
                <w:szCs w:val="21"/>
              </w:rPr>
              <w:t>-0.34%</w:t>
            </w:r>
          </w:p>
        </w:tc>
      </w:tr>
      <w:tr w:rsidR="000E209A"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0E209A" w:rsidRPr="00C30373" w:rsidRDefault="000E209A" w:rsidP="003B15E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209A" w:rsidRPr="00C30373" w:rsidRDefault="000E209A" w:rsidP="003B15E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2012年3月</w:t>
            </w:r>
          </w:p>
        </w:tc>
        <w:tc>
          <w:tcPr>
            <w:tcW w:w="1080" w:type="dxa"/>
            <w:tcBorders>
              <w:top w:val="nil"/>
              <w:left w:val="nil"/>
              <w:bottom w:val="single" w:sz="4" w:space="0" w:color="auto"/>
              <w:right w:val="single" w:sz="4" w:space="0" w:color="auto"/>
            </w:tcBorders>
            <w:shd w:val="clear" w:color="000000" w:fill="FFFFFF"/>
            <w:noWrap/>
            <w:vAlign w:val="bottom"/>
            <w:hideMark/>
          </w:tcPr>
          <w:p w:rsidR="000E209A" w:rsidRPr="00C30373" w:rsidRDefault="000E209A" w:rsidP="003B15EA">
            <w:pPr>
              <w:widowControl/>
              <w:jc w:val="right"/>
              <w:rPr>
                <w:rFonts w:ascii="宋体" w:hAnsi="宋体" w:cs="宋体"/>
                <w:color w:val="0D0D0D"/>
                <w:kern w:val="0"/>
                <w:sz w:val="24"/>
              </w:rPr>
            </w:pPr>
            <w:r w:rsidRPr="00C30373">
              <w:rPr>
                <w:rFonts w:ascii="宋体" w:hAnsi="宋体" w:cs="宋体" w:hint="eastAsia"/>
                <w:color w:val="FF0000"/>
                <w:kern w:val="0"/>
                <w:sz w:val="24"/>
              </w:rPr>
              <w:t>-3.42%</w:t>
            </w:r>
          </w:p>
        </w:tc>
        <w:tc>
          <w:tcPr>
            <w:tcW w:w="1080" w:type="dxa"/>
            <w:tcBorders>
              <w:top w:val="nil"/>
              <w:left w:val="nil"/>
              <w:bottom w:val="single" w:sz="4" w:space="0" w:color="auto"/>
              <w:right w:val="single" w:sz="4" w:space="0" w:color="auto"/>
            </w:tcBorders>
            <w:shd w:val="clear" w:color="000000" w:fill="FFFFFF"/>
            <w:noWrap/>
            <w:vAlign w:val="bottom"/>
            <w:hideMark/>
          </w:tcPr>
          <w:p w:rsidR="000E209A" w:rsidRPr="00C30373" w:rsidRDefault="000E209A" w:rsidP="003B15EA">
            <w:pPr>
              <w:widowControl/>
              <w:jc w:val="right"/>
              <w:rPr>
                <w:rFonts w:ascii="宋体" w:hAnsi="宋体" w:cs="宋体"/>
                <w:color w:val="0D0D0D"/>
                <w:kern w:val="0"/>
                <w:sz w:val="24"/>
              </w:rPr>
            </w:pPr>
            <w:r w:rsidRPr="00C30373">
              <w:rPr>
                <w:rFonts w:ascii="宋体" w:hAnsi="宋体" w:cs="宋体" w:hint="eastAsia"/>
                <w:color w:val="FF0000"/>
                <w:kern w:val="0"/>
                <w:sz w:val="24"/>
              </w:rPr>
              <w:t>-4.29%</w:t>
            </w:r>
          </w:p>
        </w:tc>
        <w:tc>
          <w:tcPr>
            <w:tcW w:w="1080" w:type="dxa"/>
            <w:tcBorders>
              <w:top w:val="nil"/>
              <w:left w:val="nil"/>
              <w:bottom w:val="single" w:sz="8" w:space="0" w:color="auto"/>
              <w:right w:val="single" w:sz="8" w:space="0" w:color="auto"/>
            </w:tcBorders>
            <w:shd w:val="clear" w:color="000000" w:fill="FFFFFF"/>
            <w:noWrap/>
            <w:hideMark/>
          </w:tcPr>
          <w:p w:rsidR="000E209A" w:rsidRPr="00C30373" w:rsidRDefault="000E209A" w:rsidP="003B15EA">
            <w:pPr>
              <w:widowControl/>
              <w:jc w:val="center"/>
              <w:rPr>
                <w:color w:val="0D0D0D"/>
                <w:kern w:val="0"/>
                <w:szCs w:val="21"/>
              </w:rPr>
            </w:pPr>
            <w:r w:rsidRPr="00C30373">
              <w:rPr>
                <w:color w:val="0D0D0D"/>
                <w:kern w:val="0"/>
                <w:szCs w:val="21"/>
              </w:rPr>
              <w:t>0.86%</w:t>
            </w:r>
          </w:p>
        </w:tc>
      </w:tr>
      <w:tr w:rsidR="000E209A"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0E209A" w:rsidRPr="00C30373" w:rsidRDefault="000E209A"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0E209A" w:rsidRPr="00C30373" w:rsidRDefault="000E209A"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0E209A" w:rsidRPr="00C30373" w:rsidRDefault="000E209A"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-0.83%</w:t>
            </w:r>
          </w:p>
        </w:tc>
        <w:tc>
          <w:tcPr>
            <w:tcW w:w="1080" w:type="dxa"/>
            <w:tcBorders>
              <w:top w:val="nil"/>
              <w:left w:val="nil"/>
              <w:bottom w:val="single" w:sz="4" w:space="0" w:color="auto"/>
              <w:right w:val="single" w:sz="4" w:space="0" w:color="auto"/>
            </w:tcBorders>
            <w:shd w:val="clear" w:color="000000" w:fill="FFFFFF"/>
            <w:noWrap/>
            <w:vAlign w:val="bottom"/>
            <w:hideMark/>
          </w:tcPr>
          <w:p w:rsidR="000E209A" w:rsidRPr="00C30373" w:rsidRDefault="000E209A" w:rsidP="00C30373">
            <w:pPr>
              <w:widowControl/>
              <w:jc w:val="right"/>
              <w:rPr>
                <w:rFonts w:ascii="宋体" w:hAnsi="宋体" w:cs="宋体"/>
                <w:color w:val="0D0D0D"/>
                <w:kern w:val="0"/>
                <w:sz w:val="24"/>
              </w:rPr>
            </w:pPr>
            <w:r w:rsidRPr="00C30373">
              <w:rPr>
                <w:rFonts w:ascii="宋体" w:hAnsi="宋体" w:cs="宋体" w:hint="eastAsia"/>
                <w:color w:val="FF0000"/>
                <w:kern w:val="0"/>
                <w:sz w:val="24"/>
              </w:rPr>
              <w:t>-1.98%</w:t>
            </w:r>
          </w:p>
        </w:tc>
        <w:tc>
          <w:tcPr>
            <w:tcW w:w="1080" w:type="dxa"/>
            <w:tcBorders>
              <w:top w:val="nil"/>
              <w:left w:val="nil"/>
              <w:bottom w:val="single" w:sz="8" w:space="0" w:color="auto"/>
              <w:right w:val="single" w:sz="8" w:space="0" w:color="auto"/>
            </w:tcBorders>
            <w:shd w:val="clear" w:color="000000" w:fill="FFFFFF"/>
            <w:noWrap/>
            <w:hideMark/>
          </w:tcPr>
          <w:p w:rsidR="000E209A" w:rsidRPr="00C30373" w:rsidRDefault="000E209A" w:rsidP="00C30373">
            <w:pPr>
              <w:widowControl/>
              <w:jc w:val="center"/>
              <w:rPr>
                <w:color w:val="0D0D0D"/>
                <w:kern w:val="0"/>
                <w:szCs w:val="21"/>
              </w:rPr>
            </w:pPr>
            <w:r w:rsidRPr="00C30373">
              <w:rPr>
                <w:color w:val="0D0D0D"/>
                <w:kern w:val="0"/>
                <w:szCs w:val="21"/>
              </w:rPr>
              <w:t>1.15%</w:t>
            </w:r>
          </w:p>
        </w:tc>
      </w:tr>
      <w:tr w:rsidR="000E209A" w:rsidRPr="00C30373" w:rsidTr="00C3037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0E209A" w:rsidRPr="00C30373" w:rsidRDefault="000E209A"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top w:val="nil"/>
              <w:left w:val="single" w:sz="4" w:space="0" w:color="auto"/>
              <w:bottom w:val="single" w:sz="4" w:space="0" w:color="000000"/>
              <w:right w:val="single" w:sz="4" w:space="0" w:color="auto"/>
            </w:tcBorders>
            <w:vAlign w:val="center"/>
            <w:hideMark/>
          </w:tcPr>
          <w:p w:rsidR="000E209A" w:rsidRPr="00C30373" w:rsidRDefault="000E209A"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0E209A" w:rsidRPr="00C30373" w:rsidRDefault="000E209A"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0.36%</w:t>
            </w:r>
          </w:p>
        </w:tc>
        <w:tc>
          <w:tcPr>
            <w:tcW w:w="1080" w:type="dxa"/>
            <w:tcBorders>
              <w:top w:val="nil"/>
              <w:left w:val="nil"/>
              <w:bottom w:val="single" w:sz="4" w:space="0" w:color="auto"/>
              <w:right w:val="single" w:sz="4" w:space="0" w:color="auto"/>
            </w:tcBorders>
            <w:shd w:val="clear" w:color="000000" w:fill="FFFFFF"/>
            <w:noWrap/>
            <w:vAlign w:val="bottom"/>
            <w:hideMark/>
          </w:tcPr>
          <w:p w:rsidR="000E209A" w:rsidRPr="00C30373" w:rsidRDefault="000E209A" w:rsidP="00C30373">
            <w:pPr>
              <w:widowControl/>
              <w:jc w:val="right"/>
              <w:rPr>
                <w:rFonts w:ascii="宋体" w:hAnsi="宋体" w:cs="宋体"/>
                <w:color w:val="0D0D0D"/>
                <w:kern w:val="0"/>
                <w:sz w:val="24"/>
              </w:rPr>
            </w:pPr>
            <w:r w:rsidRPr="00C30373">
              <w:rPr>
                <w:rFonts w:ascii="宋体" w:hAnsi="宋体" w:cs="宋体" w:hint="eastAsia"/>
                <w:color w:val="0D0D0D"/>
                <w:kern w:val="0"/>
                <w:sz w:val="24"/>
              </w:rPr>
              <w:t>0.29%</w:t>
            </w:r>
          </w:p>
        </w:tc>
        <w:tc>
          <w:tcPr>
            <w:tcW w:w="1080" w:type="dxa"/>
            <w:tcBorders>
              <w:top w:val="nil"/>
              <w:left w:val="nil"/>
              <w:bottom w:val="single" w:sz="8" w:space="0" w:color="auto"/>
              <w:right w:val="single" w:sz="8" w:space="0" w:color="auto"/>
            </w:tcBorders>
            <w:shd w:val="clear" w:color="000000" w:fill="FFFFFF"/>
            <w:noWrap/>
            <w:hideMark/>
          </w:tcPr>
          <w:p w:rsidR="000E209A" w:rsidRPr="00C30373" w:rsidRDefault="000E209A" w:rsidP="00C30373">
            <w:pPr>
              <w:widowControl/>
              <w:jc w:val="center"/>
              <w:rPr>
                <w:color w:val="0D0D0D"/>
                <w:kern w:val="0"/>
                <w:szCs w:val="21"/>
              </w:rPr>
            </w:pPr>
            <w:r w:rsidRPr="00C30373">
              <w:rPr>
                <w:color w:val="0D0D0D"/>
                <w:kern w:val="0"/>
                <w:szCs w:val="21"/>
              </w:rPr>
              <w:t>0.07%</w:t>
            </w:r>
          </w:p>
        </w:tc>
      </w:tr>
      <w:tr w:rsidR="007201D8"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201D8" w:rsidRPr="00C30373" w:rsidRDefault="007201D8"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right w:val="single" w:sz="4" w:space="0" w:color="auto"/>
            </w:tcBorders>
            <w:vAlign w:val="center"/>
            <w:hideMark/>
          </w:tcPr>
          <w:p w:rsidR="007201D8" w:rsidRPr="00C30373" w:rsidRDefault="007201D8"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4</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rsidP="00BA2563">
            <w:pPr>
              <w:jc w:val="right"/>
              <w:rPr>
                <w:rFonts w:ascii="宋体" w:hAnsi="宋体" w:cs="宋体"/>
                <w:color w:val="0D0D0D"/>
                <w:sz w:val="24"/>
              </w:rPr>
            </w:pPr>
            <w:r>
              <w:rPr>
                <w:rFonts w:hint="eastAsia"/>
                <w:color w:val="0D0D0D"/>
              </w:rPr>
              <w:t>5.13%</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rsidP="00BA2563">
            <w:pPr>
              <w:jc w:val="right"/>
              <w:rPr>
                <w:rFonts w:ascii="宋体" w:hAnsi="宋体" w:cs="宋体"/>
                <w:color w:val="0D0D0D"/>
                <w:sz w:val="24"/>
              </w:rPr>
            </w:pPr>
            <w:r>
              <w:rPr>
                <w:rFonts w:hint="eastAsia"/>
                <w:color w:val="0D0D0D"/>
              </w:rPr>
              <w:t>4.24%</w:t>
            </w:r>
          </w:p>
        </w:tc>
        <w:tc>
          <w:tcPr>
            <w:tcW w:w="1080" w:type="dxa"/>
            <w:tcBorders>
              <w:top w:val="nil"/>
              <w:left w:val="nil"/>
              <w:bottom w:val="single" w:sz="8" w:space="0" w:color="auto"/>
              <w:right w:val="single" w:sz="8" w:space="0" w:color="auto"/>
            </w:tcBorders>
            <w:shd w:val="clear" w:color="000000" w:fill="FFFFFF"/>
            <w:noWrap/>
            <w:hideMark/>
          </w:tcPr>
          <w:p w:rsidR="007201D8" w:rsidRDefault="007201D8" w:rsidP="00BA2563">
            <w:pPr>
              <w:jc w:val="center"/>
              <w:rPr>
                <w:color w:val="0D0D0D"/>
                <w:szCs w:val="21"/>
              </w:rPr>
            </w:pPr>
            <w:r>
              <w:rPr>
                <w:color w:val="0D0D0D"/>
                <w:szCs w:val="21"/>
              </w:rPr>
              <w:t>0.89%</w:t>
            </w:r>
          </w:p>
        </w:tc>
      </w:tr>
      <w:tr w:rsidR="007201D8"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201D8" w:rsidRPr="00C30373" w:rsidRDefault="007201D8"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7201D8" w:rsidRPr="00C30373" w:rsidRDefault="007201D8"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1.34%</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2.83%</w:t>
            </w:r>
          </w:p>
        </w:tc>
        <w:tc>
          <w:tcPr>
            <w:tcW w:w="1080" w:type="dxa"/>
            <w:tcBorders>
              <w:top w:val="nil"/>
              <w:left w:val="nil"/>
              <w:bottom w:val="single" w:sz="8" w:space="0" w:color="auto"/>
              <w:right w:val="single" w:sz="8" w:space="0" w:color="auto"/>
            </w:tcBorders>
            <w:shd w:val="clear" w:color="000000" w:fill="FFFFFF"/>
            <w:noWrap/>
            <w:hideMark/>
          </w:tcPr>
          <w:p w:rsidR="007201D8" w:rsidRDefault="007201D8">
            <w:pPr>
              <w:jc w:val="center"/>
              <w:rPr>
                <w:color w:val="0D0D0D"/>
                <w:szCs w:val="21"/>
              </w:rPr>
            </w:pPr>
            <w:r>
              <w:rPr>
                <w:color w:val="FF0000"/>
                <w:szCs w:val="21"/>
              </w:rPr>
              <w:t>-1.49%</w:t>
            </w:r>
          </w:p>
        </w:tc>
      </w:tr>
      <w:tr w:rsidR="007201D8"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201D8" w:rsidRPr="00C30373" w:rsidRDefault="007201D8"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7201D8" w:rsidRPr="00C30373" w:rsidRDefault="007201D8"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0.44%</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7201D8" w:rsidRDefault="007201D8">
            <w:pPr>
              <w:jc w:val="center"/>
              <w:rPr>
                <w:color w:val="0D0D0D"/>
                <w:szCs w:val="21"/>
              </w:rPr>
            </w:pPr>
            <w:r>
              <w:rPr>
                <w:color w:val="0D0D0D"/>
                <w:szCs w:val="21"/>
              </w:rPr>
              <w:t>0.18%</w:t>
            </w:r>
          </w:p>
        </w:tc>
      </w:tr>
      <w:tr w:rsidR="007201D8" w:rsidRPr="00C30373" w:rsidTr="00BA256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201D8" w:rsidRPr="00C30373" w:rsidRDefault="007201D8"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7201D8" w:rsidRPr="00C30373" w:rsidRDefault="007201D8" w:rsidP="007201D8">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5</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1.47%</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2.10%</w:t>
            </w:r>
          </w:p>
        </w:tc>
        <w:tc>
          <w:tcPr>
            <w:tcW w:w="1080" w:type="dxa"/>
            <w:tcBorders>
              <w:top w:val="nil"/>
              <w:left w:val="nil"/>
              <w:bottom w:val="single" w:sz="8" w:space="0" w:color="auto"/>
              <w:right w:val="single" w:sz="8" w:space="0" w:color="auto"/>
            </w:tcBorders>
            <w:shd w:val="clear" w:color="000000" w:fill="FFFFFF"/>
            <w:noWrap/>
            <w:hideMark/>
          </w:tcPr>
          <w:p w:rsidR="007201D8" w:rsidRDefault="007201D8">
            <w:pPr>
              <w:jc w:val="center"/>
              <w:rPr>
                <w:color w:val="0D0D0D"/>
                <w:szCs w:val="21"/>
              </w:rPr>
            </w:pPr>
            <w:r>
              <w:rPr>
                <w:color w:val="FF0000"/>
                <w:szCs w:val="21"/>
              </w:rPr>
              <w:t>-0.62%</w:t>
            </w:r>
          </w:p>
        </w:tc>
      </w:tr>
      <w:tr w:rsidR="007201D8" w:rsidRPr="00C30373" w:rsidTr="00BA256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201D8" w:rsidRPr="00C30373" w:rsidRDefault="007201D8"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7201D8" w:rsidRPr="00C30373" w:rsidRDefault="007201D8"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3.99%</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2.07%</w:t>
            </w:r>
          </w:p>
        </w:tc>
        <w:tc>
          <w:tcPr>
            <w:tcW w:w="1080" w:type="dxa"/>
            <w:tcBorders>
              <w:top w:val="nil"/>
              <w:left w:val="nil"/>
              <w:bottom w:val="single" w:sz="8" w:space="0" w:color="auto"/>
              <w:right w:val="single" w:sz="8" w:space="0" w:color="auto"/>
            </w:tcBorders>
            <w:shd w:val="clear" w:color="000000" w:fill="FFFFFF"/>
            <w:noWrap/>
            <w:hideMark/>
          </w:tcPr>
          <w:p w:rsidR="007201D8" w:rsidRDefault="007201D8">
            <w:pPr>
              <w:jc w:val="center"/>
              <w:rPr>
                <w:color w:val="0D0D0D"/>
                <w:szCs w:val="21"/>
              </w:rPr>
            </w:pPr>
            <w:r>
              <w:rPr>
                <w:color w:val="0D0D0D"/>
                <w:szCs w:val="21"/>
              </w:rPr>
              <w:t>1.91%</w:t>
            </w:r>
          </w:p>
        </w:tc>
      </w:tr>
      <w:tr w:rsidR="007201D8"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201D8" w:rsidRPr="00C30373" w:rsidRDefault="007201D8"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7201D8" w:rsidRPr="00C30373" w:rsidRDefault="007201D8"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1.41%</w:t>
            </w:r>
          </w:p>
        </w:tc>
        <w:tc>
          <w:tcPr>
            <w:tcW w:w="1080" w:type="dxa"/>
            <w:tcBorders>
              <w:top w:val="nil"/>
              <w:left w:val="nil"/>
              <w:bottom w:val="single" w:sz="4" w:space="0" w:color="auto"/>
              <w:right w:val="single" w:sz="4" w:space="0" w:color="auto"/>
            </w:tcBorders>
            <w:shd w:val="clear" w:color="000000" w:fill="FFFFFF"/>
            <w:noWrap/>
            <w:vAlign w:val="bottom"/>
            <w:hideMark/>
          </w:tcPr>
          <w:p w:rsidR="007201D8" w:rsidRDefault="007201D8">
            <w:pPr>
              <w:jc w:val="right"/>
              <w:rPr>
                <w:rFonts w:ascii="宋体" w:hAnsi="宋体" w:cs="宋体"/>
                <w:color w:val="0D0D0D"/>
                <w:sz w:val="24"/>
              </w:rPr>
            </w:pPr>
            <w:r>
              <w:rPr>
                <w:rFonts w:hint="eastAsia"/>
                <w:color w:val="0D0D0D"/>
              </w:rPr>
              <w:t>0.30%</w:t>
            </w:r>
          </w:p>
        </w:tc>
        <w:tc>
          <w:tcPr>
            <w:tcW w:w="1080" w:type="dxa"/>
            <w:tcBorders>
              <w:top w:val="nil"/>
              <w:left w:val="nil"/>
              <w:bottom w:val="single" w:sz="8" w:space="0" w:color="auto"/>
              <w:right w:val="single" w:sz="8" w:space="0" w:color="auto"/>
            </w:tcBorders>
            <w:shd w:val="clear" w:color="000000" w:fill="FFFFFF"/>
            <w:noWrap/>
            <w:hideMark/>
          </w:tcPr>
          <w:p w:rsidR="007201D8" w:rsidRDefault="007201D8">
            <w:pPr>
              <w:jc w:val="center"/>
              <w:rPr>
                <w:color w:val="0D0D0D"/>
                <w:szCs w:val="21"/>
              </w:rPr>
            </w:pPr>
            <w:r>
              <w:rPr>
                <w:color w:val="0D0D0D"/>
                <w:szCs w:val="21"/>
              </w:rPr>
              <w:t>1.11%</w:t>
            </w:r>
          </w:p>
        </w:tc>
      </w:tr>
      <w:tr w:rsidR="00114C8D" w:rsidRPr="00C30373" w:rsidTr="0021478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14C8D" w:rsidRPr="00C30373" w:rsidRDefault="00114C8D" w:rsidP="0021478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114C8D" w:rsidRPr="00C30373" w:rsidRDefault="00114C8D" w:rsidP="00114C8D">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6</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114C8D" w:rsidRDefault="00114C8D">
            <w:pPr>
              <w:jc w:val="right"/>
              <w:rPr>
                <w:rFonts w:ascii="宋体" w:hAnsi="宋体" w:cs="宋体"/>
                <w:color w:val="0D0D0D"/>
                <w:sz w:val="24"/>
              </w:rPr>
            </w:pPr>
            <w:r>
              <w:rPr>
                <w:rFonts w:hint="eastAsia"/>
                <w:color w:val="FF0000"/>
              </w:rPr>
              <w:t>-2.42%</w:t>
            </w:r>
          </w:p>
        </w:tc>
        <w:tc>
          <w:tcPr>
            <w:tcW w:w="1080" w:type="dxa"/>
            <w:tcBorders>
              <w:top w:val="nil"/>
              <w:left w:val="nil"/>
              <w:bottom w:val="single" w:sz="4" w:space="0" w:color="auto"/>
              <w:right w:val="single" w:sz="4" w:space="0" w:color="auto"/>
            </w:tcBorders>
            <w:shd w:val="clear" w:color="000000" w:fill="FFFFFF"/>
            <w:noWrap/>
            <w:vAlign w:val="bottom"/>
            <w:hideMark/>
          </w:tcPr>
          <w:p w:rsidR="00114C8D" w:rsidRDefault="00114C8D">
            <w:pPr>
              <w:jc w:val="right"/>
              <w:rPr>
                <w:rFonts w:ascii="宋体" w:hAnsi="宋体" w:cs="宋体"/>
                <w:color w:val="0D0D0D"/>
                <w:sz w:val="24"/>
              </w:rPr>
            </w:pPr>
            <w:r>
              <w:rPr>
                <w:rFonts w:hint="eastAsia"/>
                <w:color w:val="FF0000"/>
              </w:rPr>
              <w:t>-2.22%</w:t>
            </w:r>
          </w:p>
        </w:tc>
        <w:tc>
          <w:tcPr>
            <w:tcW w:w="1080" w:type="dxa"/>
            <w:tcBorders>
              <w:top w:val="nil"/>
              <w:left w:val="nil"/>
              <w:bottom w:val="single" w:sz="8" w:space="0" w:color="auto"/>
              <w:right w:val="single" w:sz="8" w:space="0" w:color="auto"/>
            </w:tcBorders>
            <w:shd w:val="clear" w:color="000000" w:fill="FFFFFF"/>
            <w:noWrap/>
            <w:hideMark/>
          </w:tcPr>
          <w:p w:rsidR="00114C8D" w:rsidRDefault="00114C8D">
            <w:pPr>
              <w:jc w:val="center"/>
              <w:rPr>
                <w:color w:val="0D0D0D"/>
                <w:szCs w:val="21"/>
              </w:rPr>
            </w:pPr>
            <w:r>
              <w:rPr>
                <w:color w:val="FF0000"/>
                <w:szCs w:val="21"/>
              </w:rPr>
              <w:t>-0.20%</w:t>
            </w:r>
          </w:p>
        </w:tc>
      </w:tr>
      <w:tr w:rsidR="00114C8D" w:rsidRPr="00C30373" w:rsidTr="0021478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14C8D" w:rsidRPr="00C30373" w:rsidRDefault="00114C8D"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114C8D" w:rsidRPr="00C30373" w:rsidRDefault="00114C8D"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114C8D" w:rsidRDefault="00114C8D">
            <w:pPr>
              <w:jc w:val="right"/>
              <w:rPr>
                <w:rFonts w:ascii="宋体" w:hAnsi="宋体" w:cs="宋体"/>
                <w:color w:val="0D0D0D"/>
                <w:sz w:val="24"/>
              </w:rPr>
            </w:pPr>
            <w:r>
              <w:rPr>
                <w:rFonts w:hint="eastAsia"/>
                <w:color w:val="FF0000"/>
              </w:rPr>
              <w:t>-0.33%</w:t>
            </w:r>
          </w:p>
        </w:tc>
        <w:tc>
          <w:tcPr>
            <w:tcW w:w="1080" w:type="dxa"/>
            <w:tcBorders>
              <w:top w:val="nil"/>
              <w:left w:val="nil"/>
              <w:bottom w:val="single" w:sz="4" w:space="0" w:color="auto"/>
              <w:right w:val="single" w:sz="4" w:space="0" w:color="auto"/>
            </w:tcBorders>
            <w:shd w:val="clear" w:color="000000" w:fill="FFFFFF"/>
            <w:noWrap/>
            <w:vAlign w:val="bottom"/>
            <w:hideMark/>
          </w:tcPr>
          <w:p w:rsidR="00114C8D" w:rsidRDefault="00114C8D">
            <w:pPr>
              <w:jc w:val="right"/>
              <w:rPr>
                <w:rFonts w:ascii="宋体" w:hAnsi="宋体" w:cs="宋体"/>
                <w:color w:val="0D0D0D"/>
                <w:sz w:val="24"/>
              </w:rPr>
            </w:pPr>
            <w:r>
              <w:rPr>
                <w:rFonts w:hint="eastAsia"/>
                <w:color w:val="FF0000"/>
              </w:rPr>
              <w:t>-0.97%</w:t>
            </w:r>
          </w:p>
        </w:tc>
        <w:tc>
          <w:tcPr>
            <w:tcW w:w="1080" w:type="dxa"/>
            <w:tcBorders>
              <w:top w:val="nil"/>
              <w:left w:val="nil"/>
              <w:bottom w:val="single" w:sz="8" w:space="0" w:color="auto"/>
              <w:right w:val="single" w:sz="8" w:space="0" w:color="auto"/>
            </w:tcBorders>
            <w:shd w:val="clear" w:color="000000" w:fill="FFFFFF"/>
            <w:noWrap/>
            <w:hideMark/>
          </w:tcPr>
          <w:p w:rsidR="00114C8D" w:rsidRDefault="00114C8D">
            <w:pPr>
              <w:jc w:val="center"/>
              <w:rPr>
                <w:color w:val="0D0D0D"/>
                <w:szCs w:val="21"/>
              </w:rPr>
            </w:pPr>
            <w:r>
              <w:rPr>
                <w:color w:val="0D0D0D"/>
                <w:szCs w:val="21"/>
              </w:rPr>
              <w:t>0.64%</w:t>
            </w:r>
          </w:p>
        </w:tc>
      </w:tr>
      <w:tr w:rsidR="00114C8D"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14C8D" w:rsidRPr="00C30373" w:rsidRDefault="00114C8D"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114C8D" w:rsidRPr="00C30373" w:rsidRDefault="00114C8D"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114C8D" w:rsidRDefault="00114C8D">
            <w:pPr>
              <w:jc w:val="right"/>
              <w:rPr>
                <w:rFonts w:ascii="宋体" w:hAnsi="宋体" w:cs="宋体"/>
                <w:color w:val="0D0D0D"/>
                <w:sz w:val="24"/>
              </w:rPr>
            </w:pPr>
            <w:r>
              <w:rPr>
                <w:rFonts w:hint="eastAsia"/>
                <w:color w:val="0D0D0D"/>
              </w:rPr>
              <w:t>0.34%</w:t>
            </w:r>
          </w:p>
        </w:tc>
        <w:tc>
          <w:tcPr>
            <w:tcW w:w="1080" w:type="dxa"/>
            <w:tcBorders>
              <w:top w:val="nil"/>
              <w:left w:val="nil"/>
              <w:bottom w:val="single" w:sz="4" w:space="0" w:color="auto"/>
              <w:right w:val="single" w:sz="4" w:space="0" w:color="auto"/>
            </w:tcBorders>
            <w:shd w:val="clear" w:color="000000" w:fill="FFFFFF"/>
            <w:noWrap/>
            <w:vAlign w:val="bottom"/>
            <w:hideMark/>
          </w:tcPr>
          <w:p w:rsidR="00114C8D" w:rsidRDefault="00114C8D">
            <w:pPr>
              <w:jc w:val="right"/>
              <w:rPr>
                <w:rFonts w:ascii="宋体" w:hAnsi="宋体" w:cs="宋体"/>
                <w:color w:val="0D0D0D"/>
                <w:sz w:val="24"/>
              </w:rPr>
            </w:pPr>
            <w:r>
              <w:rPr>
                <w:rFonts w:hint="eastAsia"/>
                <w:color w:val="0D0D0D"/>
              </w:rPr>
              <w:t>0.28%</w:t>
            </w:r>
          </w:p>
        </w:tc>
        <w:tc>
          <w:tcPr>
            <w:tcW w:w="1080" w:type="dxa"/>
            <w:tcBorders>
              <w:top w:val="nil"/>
              <w:left w:val="nil"/>
              <w:bottom w:val="single" w:sz="8" w:space="0" w:color="auto"/>
              <w:right w:val="single" w:sz="8" w:space="0" w:color="auto"/>
            </w:tcBorders>
            <w:shd w:val="clear" w:color="000000" w:fill="FFFFFF"/>
            <w:noWrap/>
            <w:hideMark/>
          </w:tcPr>
          <w:p w:rsidR="00114C8D" w:rsidRDefault="00114C8D">
            <w:pPr>
              <w:jc w:val="center"/>
              <w:rPr>
                <w:color w:val="0D0D0D"/>
                <w:szCs w:val="21"/>
              </w:rPr>
            </w:pPr>
            <w:r>
              <w:rPr>
                <w:color w:val="0D0D0D"/>
                <w:szCs w:val="21"/>
              </w:rPr>
              <w:t>0.07%</w:t>
            </w:r>
          </w:p>
        </w:tc>
      </w:tr>
      <w:tr w:rsidR="00440A19" w:rsidRPr="00C30373" w:rsidTr="00435214">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40A19" w:rsidRPr="00C30373" w:rsidRDefault="00440A19" w:rsidP="00435214">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440A19" w:rsidRPr="00C30373" w:rsidRDefault="00440A19" w:rsidP="000A3362">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sidR="000A3362">
              <w:rPr>
                <w:rFonts w:ascii="楷体_GB2312" w:eastAsia="楷体_GB2312" w:hAnsi="宋体" w:cs="宋体" w:hint="eastAsia"/>
                <w:b/>
                <w:bCs/>
                <w:color w:val="000000"/>
                <w:kern w:val="0"/>
                <w:szCs w:val="21"/>
              </w:rPr>
              <w:t>7</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440A19" w:rsidRDefault="00440A19">
            <w:pPr>
              <w:jc w:val="right"/>
              <w:rPr>
                <w:rFonts w:ascii="宋体" w:hAnsi="宋体" w:cs="宋体"/>
                <w:color w:val="0D0D0D"/>
                <w:sz w:val="24"/>
              </w:rPr>
            </w:pPr>
            <w:r>
              <w:rPr>
                <w:rFonts w:hint="eastAsia"/>
                <w:color w:val="FF0000"/>
              </w:rPr>
              <w:t>-1.91%</w:t>
            </w:r>
          </w:p>
        </w:tc>
        <w:tc>
          <w:tcPr>
            <w:tcW w:w="1080" w:type="dxa"/>
            <w:tcBorders>
              <w:top w:val="nil"/>
              <w:left w:val="nil"/>
              <w:bottom w:val="single" w:sz="4" w:space="0" w:color="auto"/>
              <w:right w:val="single" w:sz="4" w:space="0" w:color="auto"/>
            </w:tcBorders>
            <w:shd w:val="clear" w:color="000000" w:fill="FFFFFF"/>
            <w:noWrap/>
            <w:vAlign w:val="bottom"/>
            <w:hideMark/>
          </w:tcPr>
          <w:p w:rsidR="00440A19" w:rsidRDefault="00440A19">
            <w:pPr>
              <w:jc w:val="right"/>
              <w:rPr>
                <w:rFonts w:ascii="宋体" w:hAnsi="宋体" w:cs="宋体"/>
                <w:color w:val="0D0D0D"/>
                <w:sz w:val="24"/>
              </w:rPr>
            </w:pPr>
            <w:r>
              <w:rPr>
                <w:rFonts w:hint="eastAsia"/>
                <w:color w:val="FF0000"/>
              </w:rPr>
              <w:t>-3.86%</w:t>
            </w:r>
          </w:p>
        </w:tc>
        <w:tc>
          <w:tcPr>
            <w:tcW w:w="1080" w:type="dxa"/>
            <w:tcBorders>
              <w:top w:val="nil"/>
              <w:left w:val="nil"/>
              <w:bottom w:val="single" w:sz="8" w:space="0" w:color="auto"/>
              <w:right w:val="single" w:sz="8" w:space="0" w:color="auto"/>
            </w:tcBorders>
            <w:shd w:val="clear" w:color="000000" w:fill="FFFFFF"/>
            <w:noWrap/>
            <w:hideMark/>
          </w:tcPr>
          <w:p w:rsidR="00440A19" w:rsidRDefault="00440A19">
            <w:pPr>
              <w:jc w:val="center"/>
              <w:rPr>
                <w:color w:val="0D0D0D"/>
                <w:szCs w:val="21"/>
              </w:rPr>
            </w:pPr>
            <w:r>
              <w:rPr>
                <w:color w:val="0D0D0D"/>
                <w:szCs w:val="21"/>
              </w:rPr>
              <w:t>1.95%</w:t>
            </w:r>
          </w:p>
        </w:tc>
      </w:tr>
      <w:tr w:rsidR="00440A19" w:rsidRPr="00C30373" w:rsidTr="00435214">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40A19" w:rsidRPr="00C30373" w:rsidRDefault="00440A19"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440A19" w:rsidRPr="00C30373" w:rsidRDefault="00440A19"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40A19" w:rsidRDefault="00440A19">
            <w:pPr>
              <w:jc w:val="right"/>
              <w:rPr>
                <w:rFonts w:ascii="宋体" w:hAnsi="宋体" w:cs="宋体"/>
                <w:color w:val="0D0D0D"/>
                <w:sz w:val="24"/>
              </w:rPr>
            </w:pPr>
            <w:r>
              <w:rPr>
                <w:rFonts w:hint="eastAsia"/>
                <w:color w:val="FF0000"/>
              </w:rPr>
              <w:t>-1.95%</w:t>
            </w:r>
          </w:p>
        </w:tc>
        <w:tc>
          <w:tcPr>
            <w:tcW w:w="1080" w:type="dxa"/>
            <w:tcBorders>
              <w:top w:val="nil"/>
              <w:left w:val="nil"/>
              <w:bottom w:val="single" w:sz="4" w:space="0" w:color="auto"/>
              <w:right w:val="single" w:sz="4" w:space="0" w:color="auto"/>
            </w:tcBorders>
            <w:shd w:val="clear" w:color="000000" w:fill="FFFFFF"/>
            <w:noWrap/>
            <w:vAlign w:val="bottom"/>
            <w:hideMark/>
          </w:tcPr>
          <w:p w:rsidR="00440A19" w:rsidRDefault="00440A19">
            <w:pPr>
              <w:jc w:val="right"/>
              <w:rPr>
                <w:rFonts w:ascii="宋体" w:hAnsi="宋体" w:cs="宋体"/>
                <w:color w:val="0D0D0D"/>
                <w:sz w:val="24"/>
              </w:rPr>
            </w:pPr>
            <w:r>
              <w:rPr>
                <w:rFonts w:hint="eastAsia"/>
                <w:color w:val="FF0000"/>
              </w:rPr>
              <w:t>-2.02%</w:t>
            </w:r>
          </w:p>
        </w:tc>
        <w:tc>
          <w:tcPr>
            <w:tcW w:w="1080" w:type="dxa"/>
            <w:tcBorders>
              <w:top w:val="nil"/>
              <w:left w:val="nil"/>
              <w:bottom w:val="single" w:sz="8" w:space="0" w:color="auto"/>
              <w:right w:val="single" w:sz="8" w:space="0" w:color="auto"/>
            </w:tcBorders>
            <w:shd w:val="clear" w:color="000000" w:fill="FFFFFF"/>
            <w:noWrap/>
            <w:hideMark/>
          </w:tcPr>
          <w:p w:rsidR="00440A19" w:rsidRDefault="00440A19">
            <w:pPr>
              <w:jc w:val="center"/>
              <w:rPr>
                <w:color w:val="0D0D0D"/>
                <w:szCs w:val="21"/>
              </w:rPr>
            </w:pPr>
            <w:r>
              <w:rPr>
                <w:color w:val="0D0D0D"/>
                <w:szCs w:val="21"/>
              </w:rPr>
              <w:t>0.07%</w:t>
            </w:r>
          </w:p>
        </w:tc>
      </w:tr>
      <w:tr w:rsidR="00440A19"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40A19" w:rsidRPr="00C30373" w:rsidRDefault="00440A19"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440A19" w:rsidRPr="00C30373" w:rsidRDefault="00440A19"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40A19" w:rsidRDefault="00440A19">
            <w:pPr>
              <w:jc w:val="right"/>
              <w:rPr>
                <w:rFonts w:ascii="宋体" w:hAnsi="宋体" w:cs="宋体"/>
                <w:color w:val="0D0D0D"/>
                <w:sz w:val="24"/>
              </w:rPr>
            </w:pPr>
            <w:r>
              <w:rPr>
                <w:rFonts w:hint="eastAsia"/>
                <w:color w:val="0D0D0D"/>
              </w:rPr>
              <w:t>0.03%</w:t>
            </w:r>
          </w:p>
        </w:tc>
        <w:tc>
          <w:tcPr>
            <w:tcW w:w="1080" w:type="dxa"/>
            <w:tcBorders>
              <w:top w:val="nil"/>
              <w:left w:val="nil"/>
              <w:bottom w:val="single" w:sz="4" w:space="0" w:color="auto"/>
              <w:right w:val="single" w:sz="4" w:space="0" w:color="auto"/>
            </w:tcBorders>
            <w:shd w:val="clear" w:color="000000" w:fill="FFFFFF"/>
            <w:noWrap/>
            <w:vAlign w:val="bottom"/>
            <w:hideMark/>
          </w:tcPr>
          <w:p w:rsidR="00440A19" w:rsidRDefault="00440A19">
            <w:pPr>
              <w:jc w:val="right"/>
              <w:rPr>
                <w:rFonts w:ascii="宋体" w:hAnsi="宋体" w:cs="宋体"/>
                <w:color w:val="0D0D0D"/>
                <w:sz w:val="24"/>
              </w:rPr>
            </w:pPr>
            <w:r>
              <w:rPr>
                <w:rFonts w:hint="eastAsia"/>
                <w:color w:val="0D0D0D"/>
              </w:rPr>
              <w:t>0.30%</w:t>
            </w:r>
          </w:p>
        </w:tc>
        <w:tc>
          <w:tcPr>
            <w:tcW w:w="1080" w:type="dxa"/>
            <w:tcBorders>
              <w:top w:val="nil"/>
              <w:left w:val="nil"/>
              <w:bottom w:val="single" w:sz="8" w:space="0" w:color="auto"/>
              <w:right w:val="single" w:sz="8" w:space="0" w:color="auto"/>
            </w:tcBorders>
            <w:shd w:val="clear" w:color="000000" w:fill="FFFFFF"/>
            <w:noWrap/>
            <w:hideMark/>
          </w:tcPr>
          <w:p w:rsidR="00440A19" w:rsidRDefault="00440A19">
            <w:pPr>
              <w:jc w:val="center"/>
              <w:rPr>
                <w:color w:val="0D0D0D"/>
                <w:szCs w:val="21"/>
              </w:rPr>
            </w:pPr>
            <w:r>
              <w:rPr>
                <w:color w:val="FF0000"/>
                <w:szCs w:val="21"/>
              </w:rPr>
              <w:t>-0.27%</w:t>
            </w:r>
          </w:p>
        </w:tc>
      </w:tr>
      <w:tr w:rsidR="004C1094" w:rsidRPr="00C30373" w:rsidTr="0070400D">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C1094" w:rsidRPr="00C30373" w:rsidRDefault="004C1094" w:rsidP="0070400D">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4C1094" w:rsidRPr="00C30373" w:rsidRDefault="004C1094" w:rsidP="000A3362">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8</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4C1094" w:rsidRDefault="004C1094">
            <w:pPr>
              <w:jc w:val="right"/>
              <w:rPr>
                <w:rFonts w:ascii="宋体" w:hAnsi="宋体" w:cs="宋体"/>
                <w:color w:val="0D0D0D"/>
                <w:sz w:val="24"/>
              </w:rPr>
            </w:pPr>
            <w:r>
              <w:rPr>
                <w:rFonts w:hint="eastAsia"/>
                <w:color w:val="FF0000"/>
              </w:rPr>
              <w:t>-3.28%</w:t>
            </w:r>
          </w:p>
        </w:tc>
        <w:tc>
          <w:tcPr>
            <w:tcW w:w="1080" w:type="dxa"/>
            <w:tcBorders>
              <w:top w:val="nil"/>
              <w:left w:val="nil"/>
              <w:bottom w:val="single" w:sz="4" w:space="0" w:color="auto"/>
              <w:right w:val="single" w:sz="4" w:space="0" w:color="auto"/>
            </w:tcBorders>
            <w:shd w:val="clear" w:color="000000" w:fill="FFFFFF"/>
            <w:noWrap/>
            <w:vAlign w:val="bottom"/>
            <w:hideMark/>
          </w:tcPr>
          <w:p w:rsidR="004C1094" w:rsidRDefault="004C1094">
            <w:pPr>
              <w:jc w:val="right"/>
              <w:rPr>
                <w:rFonts w:ascii="宋体" w:hAnsi="宋体" w:cs="宋体"/>
                <w:color w:val="0D0D0D"/>
                <w:sz w:val="24"/>
              </w:rPr>
            </w:pPr>
            <w:r>
              <w:rPr>
                <w:rFonts w:hint="eastAsia"/>
                <w:color w:val="FF0000"/>
              </w:rPr>
              <w:t>-2.48%</w:t>
            </w:r>
          </w:p>
        </w:tc>
        <w:tc>
          <w:tcPr>
            <w:tcW w:w="1080" w:type="dxa"/>
            <w:tcBorders>
              <w:top w:val="nil"/>
              <w:left w:val="nil"/>
              <w:bottom w:val="single" w:sz="8" w:space="0" w:color="auto"/>
              <w:right w:val="single" w:sz="8" w:space="0" w:color="auto"/>
            </w:tcBorders>
            <w:shd w:val="clear" w:color="000000" w:fill="FFFFFF"/>
            <w:noWrap/>
            <w:hideMark/>
          </w:tcPr>
          <w:p w:rsidR="004C1094" w:rsidRDefault="004C1094">
            <w:pPr>
              <w:jc w:val="center"/>
              <w:rPr>
                <w:color w:val="0D0D0D"/>
                <w:szCs w:val="21"/>
              </w:rPr>
            </w:pPr>
            <w:r>
              <w:rPr>
                <w:color w:val="FF0000"/>
                <w:szCs w:val="21"/>
              </w:rPr>
              <w:t>-0.79%</w:t>
            </w:r>
          </w:p>
        </w:tc>
      </w:tr>
      <w:tr w:rsidR="004C1094" w:rsidRPr="00C30373" w:rsidTr="0070400D">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C1094" w:rsidRPr="00C30373" w:rsidRDefault="004C1094"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4C1094" w:rsidRPr="00C30373" w:rsidRDefault="004C1094"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C1094" w:rsidRDefault="004C1094">
            <w:pPr>
              <w:jc w:val="right"/>
              <w:rPr>
                <w:rFonts w:ascii="宋体" w:hAnsi="宋体" w:cs="宋体"/>
                <w:color w:val="0D0D0D"/>
                <w:sz w:val="24"/>
              </w:rPr>
            </w:pPr>
            <w:r>
              <w:rPr>
                <w:rFonts w:hint="eastAsia"/>
                <w:color w:val="FF0000"/>
              </w:rPr>
              <w:t>-1.61%</w:t>
            </w:r>
          </w:p>
        </w:tc>
        <w:tc>
          <w:tcPr>
            <w:tcW w:w="1080" w:type="dxa"/>
            <w:tcBorders>
              <w:top w:val="nil"/>
              <w:left w:val="nil"/>
              <w:bottom w:val="single" w:sz="4" w:space="0" w:color="auto"/>
              <w:right w:val="single" w:sz="4" w:space="0" w:color="auto"/>
            </w:tcBorders>
            <w:shd w:val="clear" w:color="000000" w:fill="FFFFFF"/>
            <w:noWrap/>
            <w:vAlign w:val="bottom"/>
            <w:hideMark/>
          </w:tcPr>
          <w:p w:rsidR="004C1094" w:rsidRDefault="004C1094">
            <w:pPr>
              <w:jc w:val="right"/>
              <w:rPr>
                <w:rFonts w:ascii="宋体" w:hAnsi="宋体" w:cs="宋体"/>
                <w:color w:val="0D0D0D"/>
                <w:sz w:val="24"/>
              </w:rPr>
            </w:pPr>
            <w:r>
              <w:rPr>
                <w:rFonts w:hint="eastAsia"/>
                <w:color w:val="FF0000"/>
              </w:rPr>
              <w:t>-1.54%</w:t>
            </w:r>
          </w:p>
        </w:tc>
        <w:tc>
          <w:tcPr>
            <w:tcW w:w="1080" w:type="dxa"/>
            <w:tcBorders>
              <w:top w:val="nil"/>
              <w:left w:val="nil"/>
              <w:bottom w:val="single" w:sz="8" w:space="0" w:color="auto"/>
              <w:right w:val="single" w:sz="8" w:space="0" w:color="auto"/>
            </w:tcBorders>
            <w:shd w:val="clear" w:color="000000" w:fill="FFFFFF"/>
            <w:noWrap/>
            <w:hideMark/>
          </w:tcPr>
          <w:p w:rsidR="004C1094" w:rsidRDefault="004C1094">
            <w:pPr>
              <w:jc w:val="center"/>
              <w:rPr>
                <w:color w:val="0D0D0D"/>
                <w:szCs w:val="21"/>
              </w:rPr>
            </w:pPr>
            <w:r>
              <w:rPr>
                <w:color w:val="FF0000"/>
                <w:szCs w:val="21"/>
              </w:rPr>
              <w:t>-0.07%</w:t>
            </w:r>
          </w:p>
        </w:tc>
      </w:tr>
      <w:tr w:rsidR="004C1094"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C1094" w:rsidRPr="00C30373" w:rsidRDefault="004C1094" w:rsidP="00BA256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4C1094" w:rsidRPr="00C30373" w:rsidRDefault="004C1094" w:rsidP="00BA256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C1094" w:rsidRDefault="004C1094">
            <w:pPr>
              <w:jc w:val="right"/>
              <w:rPr>
                <w:rFonts w:ascii="宋体" w:hAnsi="宋体" w:cs="宋体"/>
                <w:color w:val="0D0D0D"/>
                <w:sz w:val="24"/>
              </w:rPr>
            </w:pPr>
            <w:r>
              <w:rPr>
                <w:rFonts w:hint="eastAsia"/>
                <w:color w:val="0D0D0D"/>
              </w:rPr>
              <w:t>0.20%</w:t>
            </w:r>
          </w:p>
        </w:tc>
        <w:tc>
          <w:tcPr>
            <w:tcW w:w="1080" w:type="dxa"/>
            <w:tcBorders>
              <w:top w:val="nil"/>
              <w:left w:val="nil"/>
              <w:bottom w:val="single" w:sz="4" w:space="0" w:color="auto"/>
              <w:right w:val="single" w:sz="4" w:space="0" w:color="auto"/>
            </w:tcBorders>
            <w:shd w:val="clear" w:color="000000" w:fill="FFFFFF"/>
            <w:noWrap/>
            <w:vAlign w:val="bottom"/>
            <w:hideMark/>
          </w:tcPr>
          <w:p w:rsidR="004C1094" w:rsidRDefault="004C1094">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4C1094" w:rsidRDefault="004C1094">
            <w:pPr>
              <w:jc w:val="center"/>
              <w:rPr>
                <w:color w:val="0D0D0D"/>
                <w:szCs w:val="21"/>
              </w:rPr>
            </w:pPr>
            <w:r>
              <w:rPr>
                <w:color w:val="FF0000"/>
                <w:szCs w:val="21"/>
              </w:rPr>
              <w:t>-0.06%</w:t>
            </w:r>
          </w:p>
        </w:tc>
      </w:tr>
      <w:tr w:rsidR="00CE1D49" w:rsidRPr="00C30373" w:rsidTr="002E635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E1D49" w:rsidRPr="00C30373" w:rsidRDefault="00CE1D49" w:rsidP="002E635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CE1D49" w:rsidRPr="00C30373" w:rsidRDefault="00CE1D49" w:rsidP="00744A6B">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9</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center"/>
            <w:hideMark/>
          </w:tcPr>
          <w:p w:rsidR="00CE1D49" w:rsidRDefault="00CE1D49">
            <w:pPr>
              <w:jc w:val="right"/>
              <w:rPr>
                <w:rFonts w:ascii="宋体" w:hAnsi="宋体" w:cs="宋体"/>
                <w:sz w:val="24"/>
              </w:rPr>
            </w:pPr>
            <w:r>
              <w:rPr>
                <w:rFonts w:hint="eastAsia"/>
              </w:rPr>
              <w:t>1.77%</w:t>
            </w:r>
          </w:p>
        </w:tc>
        <w:tc>
          <w:tcPr>
            <w:tcW w:w="1080" w:type="dxa"/>
            <w:tcBorders>
              <w:top w:val="nil"/>
              <w:left w:val="nil"/>
              <w:bottom w:val="single" w:sz="4" w:space="0" w:color="auto"/>
              <w:right w:val="single" w:sz="4" w:space="0" w:color="auto"/>
            </w:tcBorders>
            <w:shd w:val="clear" w:color="000000" w:fill="FFFFFF"/>
            <w:noWrap/>
            <w:vAlign w:val="bottom"/>
            <w:hideMark/>
          </w:tcPr>
          <w:p w:rsidR="00CE1D49" w:rsidRDefault="00CE1D49">
            <w:pPr>
              <w:jc w:val="right"/>
              <w:rPr>
                <w:rFonts w:ascii="宋体" w:hAnsi="宋体" w:cs="宋体"/>
                <w:color w:val="0D0D0D"/>
                <w:sz w:val="24"/>
              </w:rPr>
            </w:pPr>
            <w:r>
              <w:rPr>
                <w:rFonts w:hint="eastAsia"/>
                <w:color w:val="0D0D0D"/>
              </w:rPr>
              <w:t>2.41%</w:t>
            </w:r>
          </w:p>
        </w:tc>
        <w:tc>
          <w:tcPr>
            <w:tcW w:w="1080" w:type="dxa"/>
            <w:tcBorders>
              <w:top w:val="nil"/>
              <w:left w:val="nil"/>
              <w:bottom w:val="single" w:sz="8" w:space="0" w:color="auto"/>
              <w:right w:val="single" w:sz="8" w:space="0" w:color="auto"/>
            </w:tcBorders>
            <w:shd w:val="clear" w:color="000000" w:fill="FFFFFF"/>
            <w:noWrap/>
            <w:hideMark/>
          </w:tcPr>
          <w:p w:rsidR="00CE1D49" w:rsidRDefault="00CE1D49">
            <w:pPr>
              <w:jc w:val="center"/>
              <w:rPr>
                <w:color w:val="0D0D0D"/>
                <w:szCs w:val="21"/>
              </w:rPr>
            </w:pPr>
            <w:r>
              <w:rPr>
                <w:color w:val="FF0000"/>
                <w:szCs w:val="21"/>
              </w:rPr>
              <w:t>-0.63%</w:t>
            </w:r>
          </w:p>
        </w:tc>
      </w:tr>
      <w:tr w:rsidR="00CE1D49" w:rsidRPr="00C30373" w:rsidTr="002E635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E1D49" w:rsidRPr="00C30373" w:rsidRDefault="00CE1D49" w:rsidP="002E635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CE1D49" w:rsidRPr="00C30373" w:rsidRDefault="00CE1D49" w:rsidP="002E635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E1D49" w:rsidRDefault="00CE1D49">
            <w:pPr>
              <w:jc w:val="right"/>
              <w:rPr>
                <w:rFonts w:ascii="宋体" w:hAnsi="宋体" w:cs="宋体"/>
                <w:color w:val="0D0D0D"/>
                <w:sz w:val="24"/>
              </w:rPr>
            </w:pPr>
            <w:r>
              <w:rPr>
                <w:rFonts w:hint="eastAsia"/>
                <w:color w:val="0D0D0D"/>
              </w:rPr>
              <w:t>1.40%</w:t>
            </w:r>
          </w:p>
        </w:tc>
        <w:tc>
          <w:tcPr>
            <w:tcW w:w="1080" w:type="dxa"/>
            <w:tcBorders>
              <w:top w:val="nil"/>
              <w:left w:val="nil"/>
              <w:bottom w:val="single" w:sz="4" w:space="0" w:color="auto"/>
              <w:right w:val="single" w:sz="4" w:space="0" w:color="auto"/>
            </w:tcBorders>
            <w:shd w:val="clear" w:color="000000" w:fill="FFFFFF"/>
            <w:noWrap/>
            <w:vAlign w:val="bottom"/>
            <w:hideMark/>
          </w:tcPr>
          <w:p w:rsidR="00CE1D49" w:rsidRDefault="00CE1D49">
            <w:pPr>
              <w:jc w:val="right"/>
              <w:rPr>
                <w:rFonts w:ascii="宋体" w:hAnsi="宋体" w:cs="宋体"/>
                <w:color w:val="0D0D0D"/>
                <w:sz w:val="24"/>
              </w:rPr>
            </w:pPr>
            <w:r>
              <w:rPr>
                <w:rFonts w:hint="eastAsia"/>
                <w:color w:val="0D0D0D"/>
              </w:rPr>
              <w:t>1.14%</w:t>
            </w:r>
          </w:p>
        </w:tc>
        <w:tc>
          <w:tcPr>
            <w:tcW w:w="1080" w:type="dxa"/>
            <w:tcBorders>
              <w:top w:val="nil"/>
              <w:left w:val="nil"/>
              <w:bottom w:val="single" w:sz="8" w:space="0" w:color="auto"/>
              <w:right w:val="single" w:sz="8" w:space="0" w:color="auto"/>
            </w:tcBorders>
            <w:shd w:val="clear" w:color="000000" w:fill="FFFFFF"/>
            <w:noWrap/>
            <w:hideMark/>
          </w:tcPr>
          <w:p w:rsidR="00CE1D49" w:rsidRDefault="00CE1D49">
            <w:pPr>
              <w:jc w:val="center"/>
              <w:rPr>
                <w:color w:val="0D0D0D"/>
                <w:szCs w:val="21"/>
              </w:rPr>
            </w:pPr>
            <w:r>
              <w:rPr>
                <w:color w:val="0D0D0D"/>
                <w:szCs w:val="21"/>
              </w:rPr>
              <w:t>0.26%</w:t>
            </w:r>
          </w:p>
        </w:tc>
      </w:tr>
      <w:tr w:rsidR="00CE1D49"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CE1D49" w:rsidRPr="00C30373" w:rsidRDefault="00CE1D49" w:rsidP="002E635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CE1D49" w:rsidRPr="00C30373" w:rsidRDefault="00CE1D49" w:rsidP="002E635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CE1D49" w:rsidRDefault="00CE1D49">
            <w:pPr>
              <w:jc w:val="right"/>
              <w:rPr>
                <w:rFonts w:ascii="宋体" w:hAnsi="宋体" w:cs="宋体"/>
                <w:color w:val="0D0D0D"/>
                <w:sz w:val="24"/>
              </w:rPr>
            </w:pPr>
            <w:r>
              <w:rPr>
                <w:rFonts w:hint="eastAsia"/>
                <w:color w:val="0D0D0D"/>
              </w:rPr>
              <w:t>0.18%</w:t>
            </w:r>
          </w:p>
        </w:tc>
        <w:tc>
          <w:tcPr>
            <w:tcW w:w="1080" w:type="dxa"/>
            <w:tcBorders>
              <w:top w:val="nil"/>
              <w:left w:val="nil"/>
              <w:bottom w:val="single" w:sz="4" w:space="0" w:color="auto"/>
              <w:right w:val="single" w:sz="4" w:space="0" w:color="auto"/>
            </w:tcBorders>
            <w:shd w:val="clear" w:color="000000" w:fill="FFFFFF"/>
            <w:noWrap/>
            <w:vAlign w:val="bottom"/>
            <w:hideMark/>
          </w:tcPr>
          <w:p w:rsidR="00CE1D49" w:rsidRDefault="00CE1D49">
            <w:pPr>
              <w:jc w:val="right"/>
              <w:rPr>
                <w:rFonts w:ascii="宋体" w:hAnsi="宋体" w:cs="宋体"/>
                <w:color w:val="0D0D0D"/>
                <w:sz w:val="24"/>
              </w:rPr>
            </w:pPr>
            <w:r>
              <w:rPr>
                <w:rFonts w:hint="eastAsia"/>
                <w:color w:val="0D0D0D"/>
              </w:rPr>
              <w:t>0.25%</w:t>
            </w:r>
          </w:p>
        </w:tc>
        <w:tc>
          <w:tcPr>
            <w:tcW w:w="1080" w:type="dxa"/>
            <w:tcBorders>
              <w:top w:val="nil"/>
              <w:left w:val="nil"/>
              <w:bottom w:val="single" w:sz="8" w:space="0" w:color="auto"/>
              <w:right w:val="single" w:sz="8" w:space="0" w:color="auto"/>
            </w:tcBorders>
            <w:shd w:val="clear" w:color="000000" w:fill="FFFFFF"/>
            <w:noWrap/>
            <w:hideMark/>
          </w:tcPr>
          <w:p w:rsidR="00CE1D49" w:rsidRDefault="00CE1D49">
            <w:pPr>
              <w:jc w:val="center"/>
              <w:rPr>
                <w:color w:val="0D0D0D"/>
                <w:szCs w:val="21"/>
              </w:rPr>
            </w:pPr>
            <w:r>
              <w:rPr>
                <w:color w:val="FF0000"/>
                <w:szCs w:val="21"/>
              </w:rPr>
              <w:t>-0.07%</w:t>
            </w:r>
          </w:p>
        </w:tc>
      </w:tr>
      <w:tr w:rsidR="001A016D" w:rsidRPr="00C30373" w:rsidTr="00AD2E8C">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A016D" w:rsidRPr="00C30373" w:rsidRDefault="001A016D" w:rsidP="00AD2E8C">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1A016D" w:rsidRPr="00C30373" w:rsidRDefault="001A016D" w:rsidP="001A016D">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10</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center"/>
            <w:hideMark/>
          </w:tcPr>
          <w:p w:rsidR="001A016D" w:rsidRDefault="001A016D">
            <w:pPr>
              <w:jc w:val="right"/>
              <w:rPr>
                <w:rFonts w:ascii="宋体" w:hAnsi="宋体" w:cs="宋体"/>
                <w:sz w:val="24"/>
              </w:rPr>
            </w:pPr>
            <w:r>
              <w:rPr>
                <w:rFonts w:hint="eastAsia"/>
              </w:rPr>
              <w:t>0.34%</w:t>
            </w:r>
          </w:p>
        </w:tc>
        <w:tc>
          <w:tcPr>
            <w:tcW w:w="1080" w:type="dxa"/>
            <w:tcBorders>
              <w:top w:val="nil"/>
              <w:left w:val="nil"/>
              <w:bottom w:val="single" w:sz="4" w:space="0" w:color="auto"/>
              <w:right w:val="single" w:sz="4" w:space="0" w:color="auto"/>
            </w:tcBorders>
            <w:shd w:val="clear" w:color="000000" w:fill="FFFFFF"/>
            <w:noWrap/>
            <w:vAlign w:val="bottom"/>
            <w:hideMark/>
          </w:tcPr>
          <w:p w:rsidR="001A016D" w:rsidRDefault="001A016D">
            <w:pPr>
              <w:jc w:val="right"/>
              <w:rPr>
                <w:rFonts w:ascii="宋体" w:hAnsi="宋体" w:cs="宋体"/>
                <w:color w:val="0D0D0D"/>
                <w:sz w:val="24"/>
              </w:rPr>
            </w:pPr>
            <w:r>
              <w:rPr>
                <w:rFonts w:hint="eastAsia"/>
                <w:color w:val="FF0000"/>
              </w:rPr>
              <w:t>-0.43%</w:t>
            </w:r>
          </w:p>
        </w:tc>
        <w:tc>
          <w:tcPr>
            <w:tcW w:w="1080" w:type="dxa"/>
            <w:tcBorders>
              <w:top w:val="nil"/>
              <w:left w:val="nil"/>
              <w:bottom w:val="single" w:sz="8" w:space="0" w:color="auto"/>
              <w:right w:val="single" w:sz="8" w:space="0" w:color="auto"/>
            </w:tcBorders>
            <w:shd w:val="clear" w:color="000000" w:fill="FFFFFF"/>
            <w:noWrap/>
            <w:hideMark/>
          </w:tcPr>
          <w:p w:rsidR="001A016D" w:rsidRDefault="001A016D">
            <w:pPr>
              <w:jc w:val="center"/>
              <w:rPr>
                <w:color w:val="0D0D0D"/>
                <w:szCs w:val="21"/>
              </w:rPr>
            </w:pPr>
            <w:r>
              <w:rPr>
                <w:color w:val="0D0D0D"/>
                <w:szCs w:val="21"/>
              </w:rPr>
              <w:t>0.77%</w:t>
            </w:r>
          </w:p>
        </w:tc>
      </w:tr>
      <w:tr w:rsidR="001A016D" w:rsidRPr="00C30373" w:rsidTr="00AD2E8C">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A016D" w:rsidRPr="00C30373" w:rsidRDefault="001A016D" w:rsidP="00AD2E8C">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1A016D" w:rsidRPr="00C30373" w:rsidRDefault="001A016D"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1A016D" w:rsidRDefault="001A016D">
            <w:pPr>
              <w:jc w:val="right"/>
              <w:rPr>
                <w:rFonts w:ascii="宋体" w:hAnsi="宋体" w:cs="宋体"/>
                <w:color w:val="0D0D0D"/>
                <w:sz w:val="24"/>
              </w:rPr>
            </w:pPr>
            <w:r>
              <w:rPr>
                <w:rFonts w:hint="eastAsia"/>
                <w:color w:val="0D0D0D"/>
              </w:rPr>
              <w:t>1.12%</w:t>
            </w:r>
          </w:p>
        </w:tc>
        <w:tc>
          <w:tcPr>
            <w:tcW w:w="1080" w:type="dxa"/>
            <w:tcBorders>
              <w:top w:val="nil"/>
              <w:left w:val="nil"/>
              <w:bottom w:val="single" w:sz="4" w:space="0" w:color="auto"/>
              <w:right w:val="single" w:sz="4" w:space="0" w:color="auto"/>
            </w:tcBorders>
            <w:shd w:val="clear" w:color="000000" w:fill="FFFFFF"/>
            <w:noWrap/>
            <w:vAlign w:val="bottom"/>
            <w:hideMark/>
          </w:tcPr>
          <w:p w:rsidR="001A016D" w:rsidRDefault="001A016D">
            <w:pPr>
              <w:jc w:val="right"/>
              <w:rPr>
                <w:rFonts w:ascii="宋体" w:hAnsi="宋体" w:cs="宋体"/>
                <w:color w:val="0D0D0D"/>
                <w:sz w:val="24"/>
              </w:rPr>
            </w:pPr>
            <w:r>
              <w:rPr>
                <w:rFonts w:hint="eastAsia"/>
                <w:color w:val="FF0000"/>
              </w:rPr>
              <w:t>-0.03%</w:t>
            </w:r>
          </w:p>
        </w:tc>
        <w:tc>
          <w:tcPr>
            <w:tcW w:w="1080" w:type="dxa"/>
            <w:tcBorders>
              <w:top w:val="nil"/>
              <w:left w:val="nil"/>
              <w:bottom w:val="single" w:sz="8" w:space="0" w:color="auto"/>
              <w:right w:val="single" w:sz="8" w:space="0" w:color="auto"/>
            </w:tcBorders>
            <w:shd w:val="clear" w:color="000000" w:fill="FFFFFF"/>
            <w:noWrap/>
            <w:hideMark/>
          </w:tcPr>
          <w:p w:rsidR="001A016D" w:rsidRDefault="001A016D">
            <w:pPr>
              <w:jc w:val="center"/>
              <w:rPr>
                <w:color w:val="0D0D0D"/>
                <w:szCs w:val="21"/>
              </w:rPr>
            </w:pPr>
            <w:r>
              <w:rPr>
                <w:color w:val="0D0D0D"/>
                <w:szCs w:val="21"/>
              </w:rPr>
              <w:t>1.14%</w:t>
            </w:r>
          </w:p>
        </w:tc>
      </w:tr>
      <w:tr w:rsidR="001A016D"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A016D" w:rsidRPr="00C30373" w:rsidRDefault="001A016D" w:rsidP="00AD2E8C">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1A016D" w:rsidRPr="00C30373" w:rsidRDefault="001A016D"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1A016D" w:rsidRDefault="001A016D">
            <w:pPr>
              <w:jc w:val="right"/>
              <w:rPr>
                <w:rFonts w:ascii="宋体" w:hAnsi="宋体" w:cs="宋体"/>
                <w:color w:val="0D0D0D"/>
                <w:sz w:val="24"/>
              </w:rPr>
            </w:pPr>
            <w:r>
              <w:rPr>
                <w:rFonts w:hint="eastAsia"/>
                <w:color w:val="0D0D0D"/>
              </w:rPr>
              <w:t>0.33%</w:t>
            </w:r>
          </w:p>
        </w:tc>
        <w:tc>
          <w:tcPr>
            <w:tcW w:w="1080" w:type="dxa"/>
            <w:tcBorders>
              <w:top w:val="nil"/>
              <w:left w:val="nil"/>
              <w:bottom w:val="single" w:sz="4" w:space="0" w:color="auto"/>
              <w:right w:val="single" w:sz="4" w:space="0" w:color="auto"/>
            </w:tcBorders>
            <w:shd w:val="clear" w:color="000000" w:fill="FFFFFF"/>
            <w:noWrap/>
            <w:vAlign w:val="bottom"/>
            <w:hideMark/>
          </w:tcPr>
          <w:p w:rsidR="001A016D" w:rsidRDefault="001A016D">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1A016D" w:rsidRDefault="001A016D">
            <w:pPr>
              <w:jc w:val="center"/>
              <w:rPr>
                <w:color w:val="0D0D0D"/>
                <w:szCs w:val="21"/>
              </w:rPr>
            </w:pPr>
            <w:r>
              <w:rPr>
                <w:color w:val="0D0D0D"/>
                <w:szCs w:val="21"/>
              </w:rPr>
              <w:t>0.07%</w:t>
            </w:r>
          </w:p>
        </w:tc>
      </w:tr>
      <w:tr w:rsidR="004A7C9D" w:rsidRPr="00C30373" w:rsidTr="00F0335F">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A7C9D" w:rsidRPr="00C30373" w:rsidRDefault="004A7C9D" w:rsidP="00F0335F">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4A7C9D" w:rsidRPr="00C30373" w:rsidRDefault="004A7C9D" w:rsidP="004A7C9D">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11</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center"/>
            <w:hideMark/>
          </w:tcPr>
          <w:p w:rsidR="004A7C9D" w:rsidRPr="00526296" w:rsidRDefault="004A7C9D">
            <w:pPr>
              <w:jc w:val="right"/>
              <w:rPr>
                <w:rFonts w:ascii="宋体" w:hAnsi="宋体" w:cs="宋体"/>
                <w:color w:val="FF0000"/>
                <w:sz w:val="24"/>
              </w:rPr>
            </w:pPr>
            <w:r w:rsidRPr="00526296">
              <w:rPr>
                <w:rFonts w:hint="eastAsia"/>
                <w:color w:val="FF0000"/>
              </w:rPr>
              <w:t>-7.11%</w:t>
            </w:r>
          </w:p>
        </w:tc>
        <w:tc>
          <w:tcPr>
            <w:tcW w:w="1080" w:type="dxa"/>
            <w:tcBorders>
              <w:top w:val="nil"/>
              <w:left w:val="nil"/>
              <w:bottom w:val="single" w:sz="4" w:space="0" w:color="auto"/>
              <w:right w:val="single" w:sz="4" w:space="0" w:color="auto"/>
            </w:tcBorders>
            <w:shd w:val="clear" w:color="000000" w:fill="FFFFFF"/>
            <w:noWrap/>
            <w:vAlign w:val="bottom"/>
            <w:hideMark/>
          </w:tcPr>
          <w:p w:rsidR="004A7C9D" w:rsidRDefault="004A7C9D">
            <w:pPr>
              <w:jc w:val="right"/>
              <w:rPr>
                <w:rFonts w:ascii="宋体" w:hAnsi="宋体" w:cs="宋体"/>
                <w:color w:val="0D0D0D"/>
                <w:sz w:val="24"/>
              </w:rPr>
            </w:pPr>
            <w:r>
              <w:rPr>
                <w:rFonts w:hint="eastAsia"/>
                <w:color w:val="FF0000"/>
              </w:rPr>
              <w:t>-6.62%</w:t>
            </w:r>
          </w:p>
        </w:tc>
        <w:tc>
          <w:tcPr>
            <w:tcW w:w="1080" w:type="dxa"/>
            <w:tcBorders>
              <w:top w:val="nil"/>
              <w:left w:val="nil"/>
              <w:bottom w:val="single" w:sz="8" w:space="0" w:color="auto"/>
              <w:right w:val="single" w:sz="8" w:space="0" w:color="auto"/>
            </w:tcBorders>
            <w:shd w:val="clear" w:color="000000" w:fill="FFFFFF"/>
            <w:noWrap/>
            <w:hideMark/>
          </w:tcPr>
          <w:p w:rsidR="004A7C9D" w:rsidRDefault="004A7C9D">
            <w:pPr>
              <w:jc w:val="center"/>
              <w:rPr>
                <w:color w:val="0D0D0D"/>
                <w:szCs w:val="21"/>
              </w:rPr>
            </w:pPr>
            <w:r>
              <w:rPr>
                <w:color w:val="FF0000"/>
                <w:szCs w:val="21"/>
              </w:rPr>
              <w:t>-0.50%</w:t>
            </w:r>
          </w:p>
        </w:tc>
      </w:tr>
      <w:tr w:rsidR="004A7C9D" w:rsidRPr="00C30373" w:rsidTr="00F0335F">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A7C9D" w:rsidRPr="00C30373" w:rsidRDefault="004A7C9D" w:rsidP="00F0335F">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4A7C9D" w:rsidRPr="00C30373" w:rsidRDefault="004A7C9D"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A7C9D" w:rsidRDefault="004A7C9D">
            <w:pPr>
              <w:jc w:val="right"/>
              <w:rPr>
                <w:rFonts w:ascii="宋体" w:hAnsi="宋体" w:cs="宋体"/>
                <w:color w:val="0D0D0D"/>
                <w:sz w:val="24"/>
              </w:rPr>
            </w:pPr>
            <w:r>
              <w:rPr>
                <w:rFonts w:hint="eastAsia"/>
                <w:color w:val="FF0000"/>
              </w:rPr>
              <w:t>-2.82%</w:t>
            </w:r>
          </w:p>
        </w:tc>
        <w:tc>
          <w:tcPr>
            <w:tcW w:w="1080" w:type="dxa"/>
            <w:tcBorders>
              <w:top w:val="nil"/>
              <w:left w:val="nil"/>
              <w:bottom w:val="single" w:sz="4" w:space="0" w:color="auto"/>
              <w:right w:val="single" w:sz="4" w:space="0" w:color="auto"/>
            </w:tcBorders>
            <w:shd w:val="clear" w:color="000000" w:fill="FFFFFF"/>
            <w:noWrap/>
            <w:vAlign w:val="bottom"/>
            <w:hideMark/>
          </w:tcPr>
          <w:p w:rsidR="004A7C9D" w:rsidRDefault="004A7C9D">
            <w:pPr>
              <w:jc w:val="right"/>
              <w:rPr>
                <w:rFonts w:ascii="宋体" w:hAnsi="宋体" w:cs="宋体"/>
                <w:color w:val="0D0D0D"/>
                <w:sz w:val="24"/>
              </w:rPr>
            </w:pPr>
            <w:r>
              <w:rPr>
                <w:rFonts w:hint="eastAsia"/>
                <w:color w:val="FF0000"/>
              </w:rPr>
              <w:t>-3.18%</w:t>
            </w:r>
          </w:p>
        </w:tc>
        <w:tc>
          <w:tcPr>
            <w:tcW w:w="1080" w:type="dxa"/>
            <w:tcBorders>
              <w:top w:val="nil"/>
              <w:left w:val="nil"/>
              <w:bottom w:val="single" w:sz="8" w:space="0" w:color="auto"/>
              <w:right w:val="single" w:sz="8" w:space="0" w:color="auto"/>
            </w:tcBorders>
            <w:shd w:val="clear" w:color="000000" w:fill="FFFFFF"/>
            <w:noWrap/>
            <w:hideMark/>
          </w:tcPr>
          <w:p w:rsidR="004A7C9D" w:rsidRDefault="004A7C9D">
            <w:pPr>
              <w:jc w:val="center"/>
              <w:rPr>
                <w:color w:val="0D0D0D"/>
                <w:szCs w:val="21"/>
              </w:rPr>
            </w:pPr>
            <w:r>
              <w:rPr>
                <w:color w:val="0D0D0D"/>
                <w:szCs w:val="21"/>
              </w:rPr>
              <w:t>0.37%</w:t>
            </w:r>
          </w:p>
        </w:tc>
      </w:tr>
      <w:tr w:rsidR="004A7C9D"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A7C9D" w:rsidRPr="00C30373" w:rsidRDefault="004A7C9D" w:rsidP="00F0335F">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lastRenderedPageBreak/>
              <w:t>稳健性</w:t>
            </w:r>
          </w:p>
        </w:tc>
        <w:tc>
          <w:tcPr>
            <w:tcW w:w="1580" w:type="dxa"/>
            <w:vMerge/>
            <w:tcBorders>
              <w:left w:val="single" w:sz="4" w:space="0" w:color="auto"/>
              <w:bottom w:val="single" w:sz="4" w:space="0" w:color="000000"/>
              <w:right w:val="single" w:sz="4" w:space="0" w:color="auto"/>
            </w:tcBorders>
            <w:vAlign w:val="center"/>
            <w:hideMark/>
          </w:tcPr>
          <w:p w:rsidR="004A7C9D" w:rsidRPr="00C30373" w:rsidRDefault="004A7C9D"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A7C9D" w:rsidRDefault="004A7C9D">
            <w:pPr>
              <w:jc w:val="right"/>
              <w:rPr>
                <w:rFonts w:ascii="宋体" w:hAnsi="宋体" w:cs="宋体"/>
                <w:color w:val="0D0D0D"/>
                <w:sz w:val="24"/>
              </w:rPr>
            </w:pPr>
            <w:r>
              <w:rPr>
                <w:rFonts w:hint="eastAsia"/>
                <w:color w:val="0D0D0D"/>
              </w:rPr>
              <w:t>0.37%</w:t>
            </w:r>
          </w:p>
        </w:tc>
        <w:tc>
          <w:tcPr>
            <w:tcW w:w="1080" w:type="dxa"/>
            <w:tcBorders>
              <w:top w:val="nil"/>
              <w:left w:val="nil"/>
              <w:bottom w:val="single" w:sz="4" w:space="0" w:color="auto"/>
              <w:right w:val="single" w:sz="4" w:space="0" w:color="auto"/>
            </w:tcBorders>
            <w:shd w:val="clear" w:color="000000" w:fill="FFFFFF"/>
            <w:noWrap/>
            <w:vAlign w:val="bottom"/>
            <w:hideMark/>
          </w:tcPr>
          <w:p w:rsidR="004A7C9D" w:rsidRDefault="004A7C9D">
            <w:pPr>
              <w:jc w:val="right"/>
              <w:rPr>
                <w:rFonts w:ascii="宋体" w:hAnsi="宋体" w:cs="宋体"/>
                <w:color w:val="0D0D0D"/>
                <w:sz w:val="24"/>
              </w:rPr>
            </w:pPr>
            <w:r>
              <w:rPr>
                <w:rFonts w:hint="eastAsia"/>
                <w:color w:val="0D0D0D"/>
              </w:rPr>
              <w:t>0.25%</w:t>
            </w:r>
          </w:p>
        </w:tc>
        <w:tc>
          <w:tcPr>
            <w:tcW w:w="1080" w:type="dxa"/>
            <w:tcBorders>
              <w:top w:val="nil"/>
              <w:left w:val="nil"/>
              <w:bottom w:val="single" w:sz="8" w:space="0" w:color="auto"/>
              <w:right w:val="single" w:sz="8" w:space="0" w:color="auto"/>
            </w:tcBorders>
            <w:shd w:val="clear" w:color="000000" w:fill="FFFFFF"/>
            <w:noWrap/>
            <w:hideMark/>
          </w:tcPr>
          <w:p w:rsidR="004A7C9D" w:rsidRDefault="004A7C9D">
            <w:pPr>
              <w:jc w:val="center"/>
              <w:rPr>
                <w:color w:val="0D0D0D"/>
                <w:szCs w:val="21"/>
              </w:rPr>
            </w:pPr>
            <w:r>
              <w:rPr>
                <w:color w:val="0D0D0D"/>
                <w:szCs w:val="21"/>
              </w:rPr>
              <w:t>0.12%</w:t>
            </w:r>
          </w:p>
        </w:tc>
      </w:tr>
      <w:tr w:rsidR="00171343" w:rsidRPr="00C30373" w:rsidTr="009071D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71343" w:rsidRPr="00C30373" w:rsidRDefault="00171343" w:rsidP="009071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171343" w:rsidRPr="00C30373" w:rsidRDefault="00171343" w:rsidP="00F026A9">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2012年</w:t>
            </w:r>
            <w:r>
              <w:rPr>
                <w:rFonts w:ascii="楷体_GB2312" w:eastAsia="楷体_GB2312" w:hAnsi="宋体" w:cs="宋体" w:hint="eastAsia"/>
                <w:b/>
                <w:bCs/>
                <w:color w:val="000000"/>
                <w:kern w:val="0"/>
                <w:szCs w:val="21"/>
              </w:rPr>
              <w:t>12</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171343" w:rsidRDefault="00171343">
            <w:pPr>
              <w:jc w:val="right"/>
              <w:rPr>
                <w:rFonts w:ascii="宋体" w:hAnsi="宋体" w:cs="宋体"/>
                <w:color w:val="0D0D0D"/>
                <w:sz w:val="24"/>
              </w:rPr>
            </w:pPr>
            <w:r>
              <w:rPr>
                <w:rFonts w:hint="eastAsia"/>
                <w:color w:val="0D0D0D"/>
              </w:rPr>
              <w:t>12.81%</w:t>
            </w:r>
          </w:p>
        </w:tc>
        <w:tc>
          <w:tcPr>
            <w:tcW w:w="1080" w:type="dxa"/>
            <w:tcBorders>
              <w:top w:val="nil"/>
              <w:left w:val="nil"/>
              <w:bottom w:val="single" w:sz="4" w:space="0" w:color="auto"/>
              <w:right w:val="single" w:sz="4" w:space="0" w:color="auto"/>
            </w:tcBorders>
            <w:shd w:val="clear" w:color="000000" w:fill="FFFFFF"/>
            <w:noWrap/>
            <w:vAlign w:val="bottom"/>
            <w:hideMark/>
          </w:tcPr>
          <w:p w:rsidR="00171343" w:rsidRDefault="00171343">
            <w:pPr>
              <w:jc w:val="right"/>
              <w:rPr>
                <w:rFonts w:ascii="宋体" w:hAnsi="宋体" w:cs="宋体"/>
                <w:color w:val="0D0D0D"/>
                <w:sz w:val="24"/>
              </w:rPr>
            </w:pPr>
            <w:r>
              <w:rPr>
                <w:rFonts w:hint="eastAsia"/>
                <w:color w:val="0D0D0D"/>
              </w:rPr>
              <w:t>12.43%</w:t>
            </w:r>
          </w:p>
        </w:tc>
        <w:tc>
          <w:tcPr>
            <w:tcW w:w="1080" w:type="dxa"/>
            <w:tcBorders>
              <w:top w:val="nil"/>
              <w:left w:val="nil"/>
              <w:bottom w:val="single" w:sz="8" w:space="0" w:color="auto"/>
              <w:right w:val="single" w:sz="8" w:space="0" w:color="auto"/>
            </w:tcBorders>
            <w:shd w:val="clear" w:color="000000" w:fill="FFFFFF"/>
            <w:noWrap/>
            <w:hideMark/>
          </w:tcPr>
          <w:p w:rsidR="00171343" w:rsidRDefault="00171343">
            <w:pPr>
              <w:jc w:val="center"/>
              <w:rPr>
                <w:color w:val="0D0D0D"/>
                <w:szCs w:val="21"/>
              </w:rPr>
            </w:pPr>
            <w:r>
              <w:rPr>
                <w:color w:val="0D0D0D"/>
                <w:szCs w:val="21"/>
              </w:rPr>
              <w:t>0.39%</w:t>
            </w:r>
          </w:p>
        </w:tc>
      </w:tr>
      <w:tr w:rsidR="00171343" w:rsidRPr="00C30373" w:rsidTr="009071D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71343" w:rsidRPr="00C30373" w:rsidRDefault="00171343" w:rsidP="009071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171343" w:rsidRPr="00C30373" w:rsidRDefault="00171343"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171343" w:rsidRDefault="00171343">
            <w:pPr>
              <w:jc w:val="right"/>
              <w:rPr>
                <w:rFonts w:ascii="宋体" w:hAnsi="宋体" w:cs="宋体"/>
                <w:color w:val="0D0D0D"/>
                <w:sz w:val="24"/>
              </w:rPr>
            </w:pPr>
            <w:r>
              <w:rPr>
                <w:rFonts w:hint="eastAsia"/>
                <w:color w:val="0D0D0D"/>
              </w:rPr>
              <w:t>7.58%</w:t>
            </w:r>
          </w:p>
        </w:tc>
        <w:tc>
          <w:tcPr>
            <w:tcW w:w="1080" w:type="dxa"/>
            <w:tcBorders>
              <w:top w:val="nil"/>
              <w:left w:val="nil"/>
              <w:bottom w:val="single" w:sz="4" w:space="0" w:color="auto"/>
              <w:right w:val="single" w:sz="4" w:space="0" w:color="auto"/>
            </w:tcBorders>
            <w:shd w:val="clear" w:color="000000" w:fill="FFFFFF"/>
            <w:noWrap/>
            <w:vAlign w:val="bottom"/>
            <w:hideMark/>
          </w:tcPr>
          <w:p w:rsidR="00171343" w:rsidRDefault="00171343">
            <w:pPr>
              <w:jc w:val="right"/>
              <w:rPr>
                <w:rFonts w:ascii="宋体" w:hAnsi="宋体" w:cs="宋体"/>
                <w:color w:val="0D0D0D"/>
                <w:sz w:val="24"/>
              </w:rPr>
            </w:pPr>
            <w:r>
              <w:rPr>
                <w:rFonts w:hint="eastAsia"/>
                <w:color w:val="0D0D0D"/>
              </w:rPr>
              <w:t>7.04%</w:t>
            </w:r>
          </w:p>
        </w:tc>
        <w:tc>
          <w:tcPr>
            <w:tcW w:w="1080" w:type="dxa"/>
            <w:tcBorders>
              <w:top w:val="nil"/>
              <w:left w:val="nil"/>
              <w:bottom w:val="single" w:sz="8" w:space="0" w:color="auto"/>
              <w:right w:val="single" w:sz="8" w:space="0" w:color="auto"/>
            </w:tcBorders>
            <w:shd w:val="clear" w:color="000000" w:fill="FFFFFF"/>
            <w:noWrap/>
            <w:hideMark/>
          </w:tcPr>
          <w:p w:rsidR="00171343" w:rsidRDefault="00171343">
            <w:pPr>
              <w:jc w:val="center"/>
              <w:rPr>
                <w:color w:val="0D0D0D"/>
                <w:szCs w:val="21"/>
              </w:rPr>
            </w:pPr>
            <w:r>
              <w:rPr>
                <w:color w:val="0D0D0D"/>
                <w:szCs w:val="21"/>
              </w:rPr>
              <w:t>0.54%</w:t>
            </w:r>
          </w:p>
        </w:tc>
      </w:tr>
      <w:tr w:rsidR="00171343"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171343" w:rsidRPr="00C30373" w:rsidRDefault="00171343" w:rsidP="009071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171343" w:rsidRPr="00C30373" w:rsidRDefault="00171343"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171343" w:rsidRDefault="00171343">
            <w:pPr>
              <w:jc w:val="right"/>
              <w:rPr>
                <w:rFonts w:ascii="宋体" w:hAnsi="宋体" w:cs="宋体"/>
                <w:color w:val="0D0D0D"/>
                <w:sz w:val="24"/>
              </w:rPr>
            </w:pPr>
            <w:r>
              <w:rPr>
                <w:rFonts w:hint="eastAsia"/>
                <w:color w:val="0D0D0D"/>
              </w:rPr>
              <w:t>0.31%</w:t>
            </w:r>
          </w:p>
        </w:tc>
        <w:tc>
          <w:tcPr>
            <w:tcW w:w="1080" w:type="dxa"/>
            <w:tcBorders>
              <w:top w:val="nil"/>
              <w:left w:val="nil"/>
              <w:bottom w:val="single" w:sz="4" w:space="0" w:color="auto"/>
              <w:right w:val="single" w:sz="4" w:space="0" w:color="auto"/>
            </w:tcBorders>
            <w:shd w:val="clear" w:color="000000" w:fill="FFFFFF"/>
            <w:noWrap/>
            <w:vAlign w:val="bottom"/>
            <w:hideMark/>
          </w:tcPr>
          <w:p w:rsidR="00171343" w:rsidRDefault="00171343">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171343" w:rsidRDefault="00171343">
            <w:pPr>
              <w:jc w:val="center"/>
              <w:rPr>
                <w:color w:val="0D0D0D"/>
                <w:szCs w:val="21"/>
              </w:rPr>
            </w:pPr>
            <w:r>
              <w:rPr>
                <w:color w:val="0D0D0D"/>
                <w:szCs w:val="21"/>
              </w:rPr>
              <w:t>0.05%</w:t>
            </w:r>
          </w:p>
        </w:tc>
      </w:tr>
      <w:tr w:rsidR="00EC1981" w:rsidRPr="00C30373" w:rsidTr="00346F20">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C1981" w:rsidRPr="00C30373" w:rsidRDefault="00EC1981" w:rsidP="00346F20">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EC1981" w:rsidRPr="00C30373" w:rsidRDefault="00EC1981" w:rsidP="00EC1981">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1</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EC1981" w:rsidRDefault="00EC1981">
            <w:pPr>
              <w:jc w:val="right"/>
              <w:rPr>
                <w:rFonts w:ascii="宋体" w:hAnsi="宋体" w:cs="宋体"/>
                <w:color w:val="0D0D0D"/>
                <w:sz w:val="24"/>
              </w:rPr>
            </w:pPr>
            <w:r>
              <w:rPr>
                <w:rFonts w:hint="eastAsia"/>
                <w:color w:val="0D0D0D"/>
              </w:rPr>
              <w:t>5.28%</w:t>
            </w:r>
          </w:p>
        </w:tc>
        <w:tc>
          <w:tcPr>
            <w:tcW w:w="1080" w:type="dxa"/>
            <w:tcBorders>
              <w:top w:val="nil"/>
              <w:left w:val="nil"/>
              <w:bottom w:val="single" w:sz="4" w:space="0" w:color="auto"/>
              <w:right w:val="single" w:sz="4" w:space="0" w:color="auto"/>
            </w:tcBorders>
            <w:shd w:val="clear" w:color="000000" w:fill="FFFFFF"/>
            <w:noWrap/>
            <w:vAlign w:val="bottom"/>
            <w:hideMark/>
          </w:tcPr>
          <w:p w:rsidR="00EC1981" w:rsidRDefault="00EC1981">
            <w:pPr>
              <w:jc w:val="right"/>
              <w:rPr>
                <w:rFonts w:ascii="宋体" w:hAnsi="宋体" w:cs="宋体"/>
                <w:color w:val="0D0D0D"/>
                <w:sz w:val="24"/>
              </w:rPr>
            </w:pPr>
            <w:r>
              <w:rPr>
                <w:rFonts w:hint="eastAsia"/>
                <w:color w:val="0D0D0D"/>
              </w:rPr>
              <w:t>4.75%</w:t>
            </w:r>
          </w:p>
        </w:tc>
        <w:tc>
          <w:tcPr>
            <w:tcW w:w="1080" w:type="dxa"/>
            <w:tcBorders>
              <w:top w:val="nil"/>
              <w:left w:val="nil"/>
              <w:bottom w:val="single" w:sz="8" w:space="0" w:color="auto"/>
              <w:right w:val="single" w:sz="8" w:space="0" w:color="auto"/>
            </w:tcBorders>
            <w:shd w:val="clear" w:color="000000" w:fill="FFFFFF"/>
            <w:noWrap/>
            <w:hideMark/>
          </w:tcPr>
          <w:p w:rsidR="00EC1981" w:rsidRDefault="00EC1981">
            <w:pPr>
              <w:jc w:val="center"/>
              <w:rPr>
                <w:color w:val="0D0D0D"/>
                <w:szCs w:val="21"/>
              </w:rPr>
            </w:pPr>
            <w:r>
              <w:rPr>
                <w:color w:val="0D0D0D"/>
                <w:szCs w:val="21"/>
              </w:rPr>
              <w:t>0.53%</w:t>
            </w:r>
          </w:p>
        </w:tc>
      </w:tr>
      <w:tr w:rsidR="00EC1981" w:rsidRPr="00C30373" w:rsidTr="00346F20">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C1981" w:rsidRPr="00C30373" w:rsidRDefault="00EC1981" w:rsidP="009071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EC1981" w:rsidRPr="00C30373" w:rsidRDefault="00EC1981"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EC1981" w:rsidRDefault="00EC1981">
            <w:pPr>
              <w:jc w:val="right"/>
              <w:rPr>
                <w:rFonts w:ascii="宋体" w:hAnsi="宋体" w:cs="宋体"/>
                <w:color w:val="0D0D0D"/>
                <w:sz w:val="24"/>
              </w:rPr>
            </w:pPr>
            <w:r>
              <w:rPr>
                <w:rFonts w:hint="eastAsia"/>
                <w:color w:val="0D0D0D"/>
              </w:rPr>
              <w:t>4.60%</w:t>
            </w:r>
          </w:p>
        </w:tc>
        <w:tc>
          <w:tcPr>
            <w:tcW w:w="1080" w:type="dxa"/>
            <w:tcBorders>
              <w:top w:val="nil"/>
              <w:left w:val="nil"/>
              <w:bottom w:val="single" w:sz="4" w:space="0" w:color="auto"/>
              <w:right w:val="single" w:sz="4" w:space="0" w:color="auto"/>
            </w:tcBorders>
            <w:shd w:val="clear" w:color="000000" w:fill="FFFFFF"/>
            <w:noWrap/>
            <w:vAlign w:val="bottom"/>
            <w:hideMark/>
          </w:tcPr>
          <w:p w:rsidR="00EC1981" w:rsidRDefault="00EC1981">
            <w:pPr>
              <w:jc w:val="right"/>
              <w:rPr>
                <w:rFonts w:ascii="宋体" w:hAnsi="宋体" w:cs="宋体"/>
                <w:color w:val="0D0D0D"/>
                <w:sz w:val="24"/>
              </w:rPr>
            </w:pPr>
            <w:r>
              <w:rPr>
                <w:rFonts w:hint="eastAsia"/>
                <w:color w:val="0D0D0D"/>
              </w:rPr>
              <w:t>3.56%</w:t>
            </w:r>
          </w:p>
        </w:tc>
        <w:tc>
          <w:tcPr>
            <w:tcW w:w="1080" w:type="dxa"/>
            <w:tcBorders>
              <w:top w:val="nil"/>
              <w:left w:val="nil"/>
              <w:bottom w:val="single" w:sz="8" w:space="0" w:color="auto"/>
              <w:right w:val="single" w:sz="8" w:space="0" w:color="auto"/>
            </w:tcBorders>
            <w:shd w:val="clear" w:color="000000" w:fill="FFFFFF"/>
            <w:noWrap/>
            <w:hideMark/>
          </w:tcPr>
          <w:p w:rsidR="00EC1981" w:rsidRDefault="00EC1981">
            <w:pPr>
              <w:jc w:val="center"/>
              <w:rPr>
                <w:color w:val="0D0D0D"/>
                <w:szCs w:val="21"/>
              </w:rPr>
            </w:pPr>
            <w:r>
              <w:rPr>
                <w:color w:val="0D0D0D"/>
                <w:szCs w:val="21"/>
              </w:rPr>
              <w:t>1.04%</w:t>
            </w:r>
          </w:p>
        </w:tc>
      </w:tr>
      <w:tr w:rsidR="00EC1981"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C1981" w:rsidRPr="00C30373" w:rsidRDefault="00EC1981" w:rsidP="009071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EC1981" w:rsidRPr="00C30373" w:rsidRDefault="00EC1981"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EC1981" w:rsidRDefault="00EC1981">
            <w:pPr>
              <w:jc w:val="right"/>
              <w:rPr>
                <w:rFonts w:ascii="宋体" w:hAnsi="宋体" w:cs="宋体"/>
                <w:color w:val="0D0D0D"/>
                <w:sz w:val="24"/>
              </w:rPr>
            </w:pPr>
            <w:r>
              <w:rPr>
                <w:rFonts w:hint="eastAsia"/>
                <w:color w:val="0D0D0D"/>
              </w:rPr>
              <w:t>0.29%</w:t>
            </w:r>
          </w:p>
        </w:tc>
        <w:tc>
          <w:tcPr>
            <w:tcW w:w="1080" w:type="dxa"/>
            <w:tcBorders>
              <w:top w:val="nil"/>
              <w:left w:val="nil"/>
              <w:bottom w:val="single" w:sz="4" w:space="0" w:color="auto"/>
              <w:right w:val="single" w:sz="4" w:space="0" w:color="auto"/>
            </w:tcBorders>
            <w:shd w:val="clear" w:color="000000" w:fill="FFFFFF"/>
            <w:noWrap/>
            <w:vAlign w:val="bottom"/>
            <w:hideMark/>
          </w:tcPr>
          <w:p w:rsidR="00EC1981" w:rsidRDefault="00EC1981">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EC1981" w:rsidRDefault="00EC1981">
            <w:pPr>
              <w:jc w:val="center"/>
              <w:rPr>
                <w:color w:val="0D0D0D"/>
                <w:szCs w:val="21"/>
              </w:rPr>
            </w:pPr>
            <w:r>
              <w:rPr>
                <w:color w:val="0D0D0D"/>
                <w:szCs w:val="21"/>
              </w:rPr>
              <w:t>0.03%</w:t>
            </w:r>
          </w:p>
        </w:tc>
      </w:tr>
      <w:tr w:rsidR="00FA0EDE" w:rsidRPr="00C30373" w:rsidTr="004411FE">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A0EDE" w:rsidRPr="00C30373" w:rsidRDefault="00FA0EDE" w:rsidP="004411FE">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FA0EDE" w:rsidRPr="00C30373" w:rsidRDefault="00FA0EDE" w:rsidP="00FA0EDE">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2</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FA0EDE" w:rsidRDefault="00FA0EDE" w:rsidP="004411FE">
            <w:pPr>
              <w:jc w:val="right"/>
              <w:rPr>
                <w:rFonts w:ascii="宋体" w:hAnsi="宋体" w:cs="宋体"/>
                <w:color w:val="0D0D0D"/>
                <w:sz w:val="24"/>
              </w:rPr>
            </w:pPr>
            <w:r>
              <w:rPr>
                <w:rFonts w:hint="eastAsia"/>
                <w:color w:val="0D0D0D"/>
              </w:rPr>
              <w:t>2.42%</w:t>
            </w:r>
          </w:p>
        </w:tc>
        <w:tc>
          <w:tcPr>
            <w:tcW w:w="1080" w:type="dxa"/>
            <w:tcBorders>
              <w:top w:val="nil"/>
              <w:left w:val="nil"/>
              <w:bottom w:val="single" w:sz="4" w:space="0" w:color="auto"/>
              <w:right w:val="single" w:sz="4" w:space="0" w:color="auto"/>
            </w:tcBorders>
            <w:shd w:val="clear" w:color="000000" w:fill="FFFFFF"/>
            <w:noWrap/>
            <w:vAlign w:val="bottom"/>
            <w:hideMark/>
          </w:tcPr>
          <w:p w:rsidR="00FA0EDE" w:rsidRDefault="00FA0EDE" w:rsidP="004411FE">
            <w:pPr>
              <w:jc w:val="right"/>
              <w:rPr>
                <w:rFonts w:ascii="宋体" w:hAnsi="宋体" w:cs="宋体"/>
                <w:color w:val="0D0D0D"/>
                <w:sz w:val="24"/>
              </w:rPr>
            </w:pPr>
            <w:r>
              <w:rPr>
                <w:rFonts w:hint="eastAsia"/>
                <w:color w:val="0D0D0D"/>
              </w:rPr>
              <w:t>2.35%</w:t>
            </w:r>
          </w:p>
        </w:tc>
        <w:tc>
          <w:tcPr>
            <w:tcW w:w="1080" w:type="dxa"/>
            <w:tcBorders>
              <w:top w:val="nil"/>
              <w:left w:val="nil"/>
              <w:bottom w:val="single" w:sz="8" w:space="0" w:color="auto"/>
              <w:right w:val="single" w:sz="8" w:space="0" w:color="auto"/>
            </w:tcBorders>
            <w:shd w:val="clear" w:color="000000" w:fill="FFFFFF"/>
            <w:noWrap/>
            <w:hideMark/>
          </w:tcPr>
          <w:p w:rsidR="00FA0EDE" w:rsidRPr="003565B2" w:rsidRDefault="00FA0EDE" w:rsidP="004411FE">
            <w:pPr>
              <w:jc w:val="center"/>
              <w:rPr>
                <w:b/>
                <w:color w:val="0D0D0D"/>
                <w:szCs w:val="21"/>
              </w:rPr>
            </w:pPr>
            <w:r w:rsidRPr="003565B2">
              <w:rPr>
                <w:b/>
                <w:color w:val="0D0D0D"/>
                <w:szCs w:val="21"/>
              </w:rPr>
              <w:t>0.07%</w:t>
            </w:r>
          </w:p>
        </w:tc>
      </w:tr>
      <w:tr w:rsidR="00FA0EDE" w:rsidRPr="00C30373" w:rsidTr="004411FE">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A0EDE" w:rsidRPr="00C30373" w:rsidRDefault="00FA0EDE" w:rsidP="009071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FA0EDE" w:rsidRPr="00C30373" w:rsidRDefault="00FA0EDE"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FA0EDE" w:rsidRDefault="00FA0EDE" w:rsidP="004411FE">
            <w:pPr>
              <w:jc w:val="right"/>
              <w:rPr>
                <w:rFonts w:ascii="宋体" w:hAnsi="宋体" w:cs="宋体"/>
                <w:color w:val="0D0D0D"/>
                <w:sz w:val="24"/>
              </w:rPr>
            </w:pPr>
            <w:r>
              <w:rPr>
                <w:rFonts w:hint="eastAsia"/>
                <w:color w:val="0D0D0D"/>
              </w:rPr>
              <w:t>1.00%</w:t>
            </w:r>
          </w:p>
        </w:tc>
        <w:tc>
          <w:tcPr>
            <w:tcW w:w="1080" w:type="dxa"/>
            <w:tcBorders>
              <w:top w:val="nil"/>
              <w:left w:val="nil"/>
              <w:bottom w:val="single" w:sz="4" w:space="0" w:color="auto"/>
              <w:right w:val="single" w:sz="4" w:space="0" w:color="auto"/>
            </w:tcBorders>
            <w:shd w:val="clear" w:color="000000" w:fill="FFFFFF"/>
            <w:noWrap/>
            <w:vAlign w:val="bottom"/>
            <w:hideMark/>
          </w:tcPr>
          <w:p w:rsidR="00FA0EDE" w:rsidRDefault="00FA0EDE" w:rsidP="004411FE">
            <w:pPr>
              <w:jc w:val="right"/>
              <w:rPr>
                <w:rFonts w:ascii="宋体" w:hAnsi="宋体" w:cs="宋体"/>
                <w:color w:val="0D0D0D"/>
                <w:sz w:val="24"/>
              </w:rPr>
            </w:pPr>
            <w:r>
              <w:rPr>
                <w:rFonts w:hint="eastAsia"/>
                <w:color w:val="0D0D0D"/>
              </w:rPr>
              <w:t>1.58%</w:t>
            </w:r>
          </w:p>
        </w:tc>
        <w:tc>
          <w:tcPr>
            <w:tcW w:w="1080" w:type="dxa"/>
            <w:tcBorders>
              <w:top w:val="nil"/>
              <w:left w:val="nil"/>
              <w:bottom w:val="single" w:sz="8" w:space="0" w:color="auto"/>
              <w:right w:val="single" w:sz="8" w:space="0" w:color="auto"/>
            </w:tcBorders>
            <w:shd w:val="clear" w:color="000000" w:fill="FFFFFF"/>
            <w:noWrap/>
            <w:hideMark/>
          </w:tcPr>
          <w:p w:rsidR="00FA0EDE" w:rsidRPr="003565B2" w:rsidRDefault="00FA0EDE" w:rsidP="004411FE">
            <w:pPr>
              <w:jc w:val="center"/>
              <w:rPr>
                <w:b/>
                <w:color w:val="0D0D0D"/>
                <w:szCs w:val="21"/>
              </w:rPr>
            </w:pPr>
            <w:r w:rsidRPr="003565B2">
              <w:rPr>
                <w:b/>
                <w:color w:val="FF0000"/>
                <w:szCs w:val="21"/>
              </w:rPr>
              <w:t>-0.58%</w:t>
            </w:r>
          </w:p>
        </w:tc>
      </w:tr>
      <w:tr w:rsidR="00FA0EDE"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A0EDE" w:rsidRPr="00C30373" w:rsidRDefault="00FA0EDE" w:rsidP="009071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FA0EDE" w:rsidRPr="00C30373" w:rsidRDefault="00FA0EDE"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FA0EDE" w:rsidRDefault="00FA0EDE" w:rsidP="004411FE">
            <w:pPr>
              <w:jc w:val="right"/>
              <w:rPr>
                <w:rFonts w:ascii="宋体" w:hAnsi="宋体" w:cs="宋体"/>
                <w:color w:val="0D0D0D"/>
                <w:sz w:val="24"/>
              </w:rPr>
            </w:pPr>
            <w:r>
              <w:rPr>
                <w:rFonts w:hint="eastAsia"/>
                <w:color w:val="0D0D0D"/>
              </w:rPr>
              <w:t>0.31%</w:t>
            </w:r>
          </w:p>
        </w:tc>
        <w:tc>
          <w:tcPr>
            <w:tcW w:w="1080" w:type="dxa"/>
            <w:tcBorders>
              <w:top w:val="nil"/>
              <w:left w:val="nil"/>
              <w:bottom w:val="single" w:sz="4" w:space="0" w:color="auto"/>
              <w:right w:val="single" w:sz="4" w:space="0" w:color="auto"/>
            </w:tcBorders>
            <w:shd w:val="clear" w:color="000000" w:fill="FFFFFF"/>
            <w:noWrap/>
            <w:vAlign w:val="bottom"/>
            <w:hideMark/>
          </w:tcPr>
          <w:p w:rsidR="00FA0EDE" w:rsidRDefault="00FA0EDE" w:rsidP="004411FE">
            <w:pPr>
              <w:jc w:val="right"/>
              <w:rPr>
                <w:rFonts w:ascii="宋体" w:hAnsi="宋体" w:cs="宋体"/>
                <w:color w:val="0D0D0D"/>
                <w:sz w:val="24"/>
              </w:rPr>
            </w:pPr>
            <w:r>
              <w:rPr>
                <w:rFonts w:hint="eastAsia"/>
                <w:color w:val="0D0D0D"/>
              </w:rPr>
              <w:t>0.23%</w:t>
            </w:r>
          </w:p>
        </w:tc>
        <w:tc>
          <w:tcPr>
            <w:tcW w:w="1080" w:type="dxa"/>
            <w:tcBorders>
              <w:top w:val="nil"/>
              <w:left w:val="nil"/>
              <w:bottom w:val="single" w:sz="8" w:space="0" w:color="auto"/>
              <w:right w:val="single" w:sz="8" w:space="0" w:color="auto"/>
            </w:tcBorders>
            <w:shd w:val="clear" w:color="000000" w:fill="FFFFFF"/>
            <w:noWrap/>
            <w:hideMark/>
          </w:tcPr>
          <w:p w:rsidR="00FA0EDE" w:rsidRPr="003565B2" w:rsidRDefault="00FA0EDE" w:rsidP="004411FE">
            <w:pPr>
              <w:jc w:val="center"/>
              <w:rPr>
                <w:b/>
                <w:color w:val="0D0D0D"/>
                <w:szCs w:val="21"/>
              </w:rPr>
            </w:pPr>
            <w:r w:rsidRPr="003565B2">
              <w:rPr>
                <w:b/>
                <w:color w:val="0D0D0D"/>
                <w:szCs w:val="21"/>
              </w:rPr>
              <w:t>0.08%</w:t>
            </w:r>
          </w:p>
        </w:tc>
      </w:tr>
      <w:tr w:rsidR="00931EDE" w:rsidRPr="00C30373" w:rsidTr="00FC295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931EDE" w:rsidRPr="00C30373" w:rsidRDefault="00931EDE" w:rsidP="003E7459">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931EDE" w:rsidRPr="00C30373" w:rsidRDefault="00931EDE" w:rsidP="00E9193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931EDE" w:rsidRDefault="00931EDE">
            <w:pPr>
              <w:jc w:val="right"/>
              <w:rPr>
                <w:rFonts w:ascii="宋体" w:hAnsi="宋体" w:cs="宋体"/>
                <w:color w:val="0D0D0D"/>
                <w:sz w:val="24"/>
              </w:rPr>
            </w:pPr>
            <w:r>
              <w:rPr>
                <w:rFonts w:hint="eastAsia"/>
                <w:color w:val="0D0D0D"/>
              </w:rPr>
              <w:t>0.38%</w:t>
            </w:r>
          </w:p>
        </w:tc>
        <w:tc>
          <w:tcPr>
            <w:tcW w:w="1080" w:type="dxa"/>
            <w:tcBorders>
              <w:top w:val="nil"/>
              <w:left w:val="nil"/>
              <w:bottom w:val="single" w:sz="4" w:space="0" w:color="auto"/>
              <w:right w:val="single" w:sz="4" w:space="0" w:color="auto"/>
            </w:tcBorders>
            <w:shd w:val="clear" w:color="000000" w:fill="FFFFFF"/>
            <w:noWrap/>
            <w:vAlign w:val="bottom"/>
            <w:hideMark/>
          </w:tcPr>
          <w:p w:rsidR="00931EDE" w:rsidRDefault="00931EDE">
            <w:pPr>
              <w:jc w:val="right"/>
              <w:rPr>
                <w:rFonts w:ascii="宋体" w:hAnsi="宋体" w:cs="宋体"/>
                <w:color w:val="0D0D0D"/>
                <w:sz w:val="24"/>
              </w:rPr>
            </w:pPr>
            <w:r>
              <w:rPr>
                <w:rFonts w:hint="eastAsia"/>
                <w:color w:val="FF0000"/>
              </w:rPr>
              <w:t>-1.89%</w:t>
            </w:r>
          </w:p>
        </w:tc>
        <w:tc>
          <w:tcPr>
            <w:tcW w:w="1080" w:type="dxa"/>
            <w:tcBorders>
              <w:top w:val="nil"/>
              <w:left w:val="nil"/>
              <w:bottom w:val="single" w:sz="8" w:space="0" w:color="auto"/>
              <w:right w:val="single" w:sz="8" w:space="0" w:color="auto"/>
            </w:tcBorders>
            <w:shd w:val="clear" w:color="000000" w:fill="FFFFFF"/>
            <w:noWrap/>
            <w:hideMark/>
          </w:tcPr>
          <w:p w:rsidR="00931EDE" w:rsidRPr="00E91933" w:rsidRDefault="00931EDE">
            <w:pPr>
              <w:jc w:val="center"/>
              <w:rPr>
                <w:b/>
                <w:color w:val="0D0D0D"/>
                <w:szCs w:val="21"/>
              </w:rPr>
            </w:pPr>
            <w:r w:rsidRPr="00E91933">
              <w:rPr>
                <w:b/>
                <w:color w:val="0D0D0D"/>
                <w:szCs w:val="21"/>
              </w:rPr>
              <w:t>2.28%</w:t>
            </w:r>
          </w:p>
        </w:tc>
      </w:tr>
      <w:tr w:rsidR="00931EDE" w:rsidRPr="00C30373" w:rsidTr="00FC2953">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931EDE" w:rsidRPr="00C30373" w:rsidRDefault="00931EDE" w:rsidP="003E7459">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931EDE" w:rsidRPr="00C30373" w:rsidRDefault="00931EDE"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931EDE" w:rsidRDefault="00931EDE">
            <w:pPr>
              <w:jc w:val="right"/>
              <w:rPr>
                <w:rFonts w:ascii="宋体" w:hAnsi="宋体" w:cs="宋体"/>
                <w:color w:val="0D0D0D"/>
                <w:sz w:val="24"/>
              </w:rPr>
            </w:pPr>
            <w:r>
              <w:rPr>
                <w:rFonts w:hint="eastAsia"/>
                <w:color w:val="FF0000"/>
              </w:rPr>
              <w:t>-0.53%</w:t>
            </w:r>
          </w:p>
        </w:tc>
        <w:tc>
          <w:tcPr>
            <w:tcW w:w="1080" w:type="dxa"/>
            <w:tcBorders>
              <w:top w:val="nil"/>
              <w:left w:val="nil"/>
              <w:bottom w:val="single" w:sz="4" w:space="0" w:color="auto"/>
              <w:right w:val="single" w:sz="4" w:space="0" w:color="auto"/>
            </w:tcBorders>
            <w:shd w:val="clear" w:color="000000" w:fill="FFFFFF"/>
            <w:noWrap/>
            <w:vAlign w:val="bottom"/>
            <w:hideMark/>
          </w:tcPr>
          <w:p w:rsidR="00931EDE" w:rsidRDefault="00931EDE">
            <w:pPr>
              <w:jc w:val="right"/>
              <w:rPr>
                <w:rFonts w:ascii="宋体" w:hAnsi="宋体" w:cs="宋体"/>
                <w:color w:val="0D0D0D"/>
                <w:sz w:val="24"/>
              </w:rPr>
            </w:pPr>
            <w:r>
              <w:rPr>
                <w:rFonts w:hint="eastAsia"/>
                <w:color w:val="FF0000"/>
              </w:rPr>
              <w:t>-0.88%</w:t>
            </w:r>
          </w:p>
        </w:tc>
        <w:tc>
          <w:tcPr>
            <w:tcW w:w="1080" w:type="dxa"/>
            <w:tcBorders>
              <w:top w:val="nil"/>
              <w:left w:val="nil"/>
              <w:bottom w:val="single" w:sz="8" w:space="0" w:color="auto"/>
              <w:right w:val="single" w:sz="8" w:space="0" w:color="auto"/>
            </w:tcBorders>
            <w:shd w:val="clear" w:color="000000" w:fill="FFFFFF"/>
            <w:noWrap/>
            <w:hideMark/>
          </w:tcPr>
          <w:p w:rsidR="00931EDE" w:rsidRPr="00E91933" w:rsidRDefault="00931EDE">
            <w:pPr>
              <w:jc w:val="center"/>
              <w:rPr>
                <w:b/>
                <w:color w:val="0D0D0D"/>
                <w:szCs w:val="21"/>
              </w:rPr>
            </w:pPr>
            <w:r w:rsidRPr="00E91933">
              <w:rPr>
                <w:b/>
                <w:color w:val="0D0D0D"/>
                <w:szCs w:val="21"/>
              </w:rPr>
              <w:t>0.35%</w:t>
            </w:r>
          </w:p>
        </w:tc>
      </w:tr>
      <w:tr w:rsidR="00931EDE" w:rsidRPr="00C30373" w:rsidTr="003B15E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931EDE" w:rsidRPr="00C30373" w:rsidRDefault="00931EDE" w:rsidP="003E7459">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931EDE" w:rsidRPr="00C30373" w:rsidRDefault="00931EDE"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931EDE" w:rsidRDefault="00931EDE">
            <w:pPr>
              <w:jc w:val="right"/>
              <w:rPr>
                <w:rFonts w:ascii="宋体" w:hAnsi="宋体" w:cs="宋体"/>
                <w:color w:val="0D0D0D"/>
                <w:sz w:val="24"/>
              </w:rPr>
            </w:pPr>
            <w:r>
              <w:rPr>
                <w:rFonts w:hint="eastAsia"/>
                <w:color w:val="0D0D0D"/>
              </w:rPr>
              <w:t>0.33%</w:t>
            </w:r>
          </w:p>
        </w:tc>
        <w:tc>
          <w:tcPr>
            <w:tcW w:w="1080" w:type="dxa"/>
            <w:tcBorders>
              <w:top w:val="nil"/>
              <w:left w:val="nil"/>
              <w:bottom w:val="single" w:sz="4" w:space="0" w:color="auto"/>
              <w:right w:val="single" w:sz="4" w:space="0" w:color="auto"/>
            </w:tcBorders>
            <w:shd w:val="clear" w:color="000000" w:fill="FFFFFF"/>
            <w:noWrap/>
            <w:vAlign w:val="bottom"/>
            <w:hideMark/>
          </w:tcPr>
          <w:p w:rsidR="00931EDE" w:rsidRDefault="00931EDE">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931EDE" w:rsidRPr="00E91933" w:rsidRDefault="00931EDE">
            <w:pPr>
              <w:jc w:val="center"/>
              <w:rPr>
                <w:b/>
                <w:color w:val="0D0D0D"/>
                <w:szCs w:val="21"/>
              </w:rPr>
            </w:pPr>
            <w:r w:rsidRPr="00E91933">
              <w:rPr>
                <w:b/>
                <w:color w:val="0D0D0D"/>
                <w:szCs w:val="21"/>
              </w:rPr>
              <w:t>0.07%</w:t>
            </w:r>
          </w:p>
        </w:tc>
      </w:tr>
      <w:tr w:rsidR="00E92474"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92474" w:rsidRPr="00C30373" w:rsidRDefault="00E92474" w:rsidP="003E7459">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E92474" w:rsidRPr="00C30373" w:rsidRDefault="00E92474" w:rsidP="00931EDE">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4</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E92474" w:rsidRDefault="00E92474">
            <w:pPr>
              <w:jc w:val="right"/>
              <w:rPr>
                <w:rFonts w:ascii="宋体" w:hAnsi="宋体" w:cs="宋体"/>
                <w:color w:val="0D0D0D"/>
                <w:sz w:val="24"/>
              </w:rPr>
            </w:pPr>
            <w:r>
              <w:rPr>
                <w:rFonts w:hint="eastAsia"/>
                <w:color w:val="FF0000"/>
              </w:rPr>
              <w:t>-0.30%</w:t>
            </w:r>
          </w:p>
        </w:tc>
        <w:tc>
          <w:tcPr>
            <w:tcW w:w="1080" w:type="dxa"/>
            <w:tcBorders>
              <w:top w:val="nil"/>
              <w:left w:val="nil"/>
              <w:bottom w:val="single" w:sz="4" w:space="0" w:color="auto"/>
              <w:right w:val="single" w:sz="4" w:space="0" w:color="auto"/>
            </w:tcBorders>
            <w:shd w:val="clear" w:color="000000" w:fill="FFFFFF"/>
            <w:noWrap/>
            <w:vAlign w:val="bottom"/>
            <w:hideMark/>
          </w:tcPr>
          <w:p w:rsidR="00E92474" w:rsidRDefault="00E92474">
            <w:pPr>
              <w:jc w:val="right"/>
              <w:rPr>
                <w:rFonts w:ascii="宋体" w:hAnsi="宋体" w:cs="宋体"/>
                <w:color w:val="0D0D0D"/>
                <w:sz w:val="24"/>
              </w:rPr>
            </w:pPr>
            <w:r>
              <w:rPr>
                <w:rFonts w:hint="eastAsia"/>
                <w:color w:val="FF0000"/>
              </w:rPr>
              <w:t>-0.63%</w:t>
            </w:r>
          </w:p>
        </w:tc>
        <w:tc>
          <w:tcPr>
            <w:tcW w:w="1080" w:type="dxa"/>
            <w:tcBorders>
              <w:top w:val="nil"/>
              <w:left w:val="nil"/>
              <w:bottom w:val="single" w:sz="8" w:space="0" w:color="auto"/>
              <w:right w:val="single" w:sz="8" w:space="0" w:color="auto"/>
            </w:tcBorders>
            <w:shd w:val="clear" w:color="000000" w:fill="FFFFFF"/>
            <w:noWrap/>
            <w:hideMark/>
          </w:tcPr>
          <w:p w:rsidR="00E92474" w:rsidRPr="00FD0A33" w:rsidRDefault="00E92474">
            <w:pPr>
              <w:jc w:val="center"/>
              <w:rPr>
                <w:b/>
                <w:color w:val="0D0D0D"/>
                <w:szCs w:val="21"/>
              </w:rPr>
            </w:pPr>
            <w:r w:rsidRPr="00FD0A33">
              <w:rPr>
                <w:b/>
                <w:color w:val="0D0D0D"/>
                <w:szCs w:val="21"/>
              </w:rPr>
              <w:t>0.33%</w:t>
            </w:r>
          </w:p>
        </w:tc>
      </w:tr>
      <w:tr w:rsidR="00E92474"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92474" w:rsidRPr="00C30373" w:rsidRDefault="00E92474" w:rsidP="003E7459">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E92474" w:rsidRPr="00C30373" w:rsidRDefault="00E92474"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E92474" w:rsidRDefault="00E92474">
            <w:pPr>
              <w:jc w:val="right"/>
              <w:rPr>
                <w:rFonts w:ascii="宋体" w:hAnsi="宋体" w:cs="宋体"/>
                <w:color w:val="0D0D0D"/>
                <w:sz w:val="24"/>
              </w:rPr>
            </w:pPr>
            <w:r>
              <w:rPr>
                <w:rFonts w:hint="eastAsia"/>
                <w:color w:val="FF0000"/>
              </w:rPr>
              <w:t>-0.39%</w:t>
            </w:r>
          </w:p>
        </w:tc>
        <w:tc>
          <w:tcPr>
            <w:tcW w:w="1080" w:type="dxa"/>
            <w:tcBorders>
              <w:top w:val="nil"/>
              <w:left w:val="nil"/>
              <w:bottom w:val="single" w:sz="4" w:space="0" w:color="auto"/>
              <w:right w:val="single" w:sz="4" w:space="0" w:color="auto"/>
            </w:tcBorders>
            <w:shd w:val="clear" w:color="000000" w:fill="FFFFFF"/>
            <w:noWrap/>
            <w:vAlign w:val="bottom"/>
            <w:hideMark/>
          </w:tcPr>
          <w:p w:rsidR="00E92474" w:rsidRDefault="00E92474">
            <w:pPr>
              <w:jc w:val="right"/>
              <w:rPr>
                <w:rFonts w:ascii="宋体" w:hAnsi="宋体" w:cs="宋体"/>
                <w:color w:val="0D0D0D"/>
                <w:sz w:val="24"/>
              </w:rPr>
            </w:pPr>
            <w:r>
              <w:rPr>
                <w:rFonts w:hint="eastAsia"/>
                <w:color w:val="FF0000"/>
              </w:rPr>
              <w:t>-0.35%</w:t>
            </w:r>
          </w:p>
        </w:tc>
        <w:tc>
          <w:tcPr>
            <w:tcW w:w="1080" w:type="dxa"/>
            <w:tcBorders>
              <w:top w:val="nil"/>
              <w:left w:val="nil"/>
              <w:bottom w:val="single" w:sz="8" w:space="0" w:color="auto"/>
              <w:right w:val="single" w:sz="8" w:space="0" w:color="auto"/>
            </w:tcBorders>
            <w:shd w:val="clear" w:color="000000" w:fill="FFFFFF"/>
            <w:noWrap/>
            <w:hideMark/>
          </w:tcPr>
          <w:p w:rsidR="00E92474" w:rsidRPr="00FD0A33" w:rsidRDefault="00E92474">
            <w:pPr>
              <w:jc w:val="center"/>
              <w:rPr>
                <w:b/>
                <w:color w:val="0D0D0D"/>
                <w:szCs w:val="21"/>
              </w:rPr>
            </w:pPr>
            <w:r w:rsidRPr="00FD0A33">
              <w:rPr>
                <w:b/>
                <w:color w:val="FF0000"/>
                <w:szCs w:val="21"/>
              </w:rPr>
              <w:t>-0.04%</w:t>
            </w:r>
          </w:p>
        </w:tc>
      </w:tr>
      <w:tr w:rsidR="00E92474"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92474" w:rsidRPr="00C30373" w:rsidRDefault="00E92474" w:rsidP="003E7459">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E92474" w:rsidRPr="00C30373" w:rsidRDefault="00E92474" w:rsidP="00AD2E8C">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E92474" w:rsidRDefault="00E92474">
            <w:pPr>
              <w:jc w:val="right"/>
              <w:rPr>
                <w:rFonts w:ascii="宋体" w:hAnsi="宋体" w:cs="宋体"/>
                <w:color w:val="0D0D0D"/>
                <w:sz w:val="24"/>
              </w:rPr>
            </w:pPr>
            <w:r>
              <w:rPr>
                <w:rFonts w:hint="eastAsia"/>
                <w:color w:val="0D0D0D"/>
              </w:rPr>
              <w:t>0.42%</w:t>
            </w:r>
          </w:p>
        </w:tc>
        <w:tc>
          <w:tcPr>
            <w:tcW w:w="1080" w:type="dxa"/>
            <w:tcBorders>
              <w:top w:val="nil"/>
              <w:left w:val="nil"/>
              <w:bottom w:val="single" w:sz="4" w:space="0" w:color="auto"/>
              <w:right w:val="single" w:sz="4" w:space="0" w:color="auto"/>
            </w:tcBorders>
            <w:shd w:val="clear" w:color="000000" w:fill="FFFFFF"/>
            <w:noWrap/>
            <w:vAlign w:val="bottom"/>
            <w:hideMark/>
          </w:tcPr>
          <w:p w:rsidR="00E92474" w:rsidRDefault="00E92474">
            <w:pPr>
              <w:jc w:val="right"/>
              <w:rPr>
                <w:rFonts w:ascii="宋体" w:hAnsi="宋体" w:cs="宋体"/>
                <w:color w:val="0D0D0D"/>
                <w:sz w:val="24"/>
              </w:rPr>
            </w:pPr>
            <w:r>
              <w:rPr>
                <w:rFonts w:hint="eastAsia"/>
                <w:color w:val="0D0D0D"/>
              </w:rPr>
              <w:t>0.25%</w:t>
            </w:r>
          </w:p>
        </w:tc>
        <w:tc>
          <w:tcPr>
            <w:tcW w:w="1080" w:type="dxa"/>
            <w:tcBorders>
              <w:top w:val="nil"/>
              <w:left w:val="nil"/>
              <w:bottom w:val="single" w:sz="8" w:space="0" w:color="auto"/>
              <w:right w:val="single" w:sz="8" w:space="0" w:color="auto"/>
            </w:tcBorders>
            <w:shd w:val="clear" w:color="000000" w:fill="FFFFFF"/>
            <w:noWrap/>
            <w:hideMark/>
          </w:tcPr>
          <w:p w:rsidR="00E92474" w:rsidRPr="00FD0A33" w:rsidRDefault="00E92474">
            <w:pPr>
              <w:jc w:val="center"/>
              <w:rPr>
                <w:b/>
                <w:color w:val="0D0D0D"/>
                <w:szCs w:val="21"/>
              </w:rPr>
            </w:pPr>
            <w:r w:rsidRPr="00FD0A33">
              <w:rPr>
                <w:b/>
                <w:color w:val="0D0D0D"/>
                <w:szCs w:val="21"/>
              </w:rPr>
              <w:t>0.17%</w:t>
            </w:r>
          </w:p>
        </w:tc>
      </w:tr>
      <w:tr w:rsidR="0043659A" w:rsidRPr="00C30373" w:rsidTr="0090786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3659A" w:rsidRPr="00C30373" w:rsidRDefault="0043659A" w:rsidP="0090786B">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43659A" w:rsidRPr="00C30373" w:rsidRDefault="0043659A" w:rsidP="0043659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5</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43659A" w:rsidRDefault="0043659A">
            <w:pPr>
              <w:jc w:val="right"/>
              <w:rPr>
                <w:rFonts w:ascii="宋体" w:hAnsi="宋体" w:cs="宋体"/>
                <w:color w:val="0D0D0D"/>
                <w:sz w:val="24"/>
              </w:rPr>
            </w:pPr>
            <w:r>
              <w:rPr>
                <w:rFonts w:hint="eastAsia"/>
                <w:color w:val="0D0D0D"/>
              </w:rPr>
              <w:t>14.92%</w:t>
            </w:r>
          </w:p>
        </w:tc>
        <w:tc>
          <w:tcPr>
            <w:tcW w:w="1080" w:type="dxa"/>
            <w:tcBorders>
              <w:top w:val="nil"/>
              <w:left w:val="nil"/>
              <w:bottom w:val="single" w:sz="4" w:space="0" w:color="auto"/>
              <w:right w:val="single" w:sz="4" w:space="0" w:color="auto"/>
            </w:tcBorders>
            <w:shd w:val="clear" w:color="000000" w:fill="FFFFFF"/>
            <w:noWrap/>
            <w:vAlign w:val="bottom"/>
            <w:hideMark/>
          </w:tcPr>
          <w:p w:rsidR="0043659A" w:rsidRDefault="0043659A">
            <w:pPr>
              <w:jc w:val="right"/>
              <w:rPr>
                <w:rFonts w:ascii="宋体" w:hAnsi="宋体" w:cs="宋体"/>
                <w:color w:val="0D0D0D"/>
                <w:sz w:val="24"/>
              </w:rPr>
            </w:pPr>
            <w:r>
              <w:rPr>
                <w:rFonts w:hint="eastAsia"/>
                <w:color w:val="0D0D0D"/>
              </w:rPr>
              <w:t>9.68%</w:t>
            </w:r>
          </w:p>
        </w:tc>
        <w:tc>
          <w:tcPr>
            <w:tcW w:w="1080" w:type="dxa"/>
            <w:tcBorders>
              <w:top w:val="nil"/>
              <w:left w:val="nil"/>
              <w:bottom w:val="single" w:sz="8" w:space="0" w:color="auto"/>
              <w:right w:val="single" w:sz="8" w:space="0" w:color="auto"/>
            </w:tcBorders>
            <w:shd w:val="clear" w:color="000000" w:fill="FFFFFF"/>
            <w:noWrap/>
            <w:hideMark/>
          </w:tcPr>
          <w:p w:rsidR="0043659A" w:rsidRPr="00784F6A" w:rsidRDefault="0043659A">
            <w:pPr>
              <w:jc w:val="center"/>
              <w:rPr>
                <w:b/>
                <w:color w:val="0D0D0D"/>
                <w:szCs w:val="21"/>
              </w:rPr>
            </w:pPr>
            <w:r w:rsidRPr="00784F6A">
              <w:rPr>
                <w:b/>
                <w:color w:val="0D0D0D"/>
                <w:szCs w:val="21"/>
              </w:rPr>
              <w:t>5.24%</w:t>
            </w:r>
          </w:p>
        </w:tc>
      </w:tr>
      <w:tr w:rsidR="0043659A" w:rsidRPr="00C30373" w:rsidTr="0090786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3659A" w:rsidRPr="00C30373" w:rsidRDefault="0043659A" w:rsidP="0090786B">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43659A" w:rsidRPr="00C30373" w:rsidRDefault="0043659A" w:rsidP="0090786B">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3659A" w:rsidRDefault="0043659A">
            <w:pPr>
              <w:jc w:val="right"/>
              <w:rPr>
                <w:rFonts w:ascii="宋体" w:hAnsi="宋体" w:cs="宋体"/>
                <w:color w:val="0D0D0D"/>
                <w:sz w:val="24"/>
              </w:rPr>
            </w:pPr>
            <w:r>
              <w:rPr>
                <w:rFonts w:hint="eastAsia"/>
                <w:color w:val="0D0D0D"/>
              </w:rPr>
              <w:t>3.88%</w:t>
            </w:r>
          </w:p>
        </w:tc>
        <w:tc>
          <w:tcPr>
            <w:tcW w:w="1080" w:type="dxa"/>
            <w:tcBorders>
              <w:top w:val="nil"/>
              <w:left w:val="nil"/>
              <w:bottom w:val="single" w:sz="4" w:space="0" w:color="auto"/>
              <w:right w:val="single" w:sz="4" w:space="0" w:color="auto"/>
            </w:tcBorders>
            <w:shd w:val="clear" w:color="000000" w:fill="FFFFFF"/>
            <w:noWrap/>
            <w:vAlign w:val="bottom"/>
            <w:hideMark/>
          </w:tcPr>
          <w:p w:rsidR="0043659A" w:rsidRDefault="0043659A">
            <w:pPr>
              <w:jc w:val="right"/>
              <w:rPr>
                <w:rFonts w:ascii="宋体" w:hAnsi="宋体" w:cs="宋体"/>
                <w:color w:val="0D0D0D"/>
                <w:sz w:val="24"/>
              </w:rPr>
            </w:pPr>
            <w:r>
              <w:rPr>
                <w:rFonts w:hint="eastAsia"/>
                <w:color w:val="0D0D0D"/>
              </w:rPr>
              <w:t>5.74%</w:t>
            </w:r>
          </w:p>
        </w:tc>
        <w:tc>
          <w:tcPr>
            <w:tcW w:w="1080" w:type="dxa"/>
            <w:tcBorders>
              <w:top w:val="nil"/>
              <w:left w:val="nil"/>
              <w:bottom w:val="single" w:sz="8" w:space="0" w:color="auto"/>
              <w:right w:val="single" w:sz="8" w:space="0" w:color="auto"/>
            </w:tcBorders>
            <w:shd w:val="clear" w:color="000000" w:fill="FFFFFF"/>
            <w:noWrap/>
            <w:hideMark/>
          </w:tcPr>
          <w:p w:rsidR="0043659A" w:rsidRPr="00784F6A" w:rsidRDefault="0043659A">
            <w:pPr>
              <w:jc w:val="center"/>
              <w:rPr>
                <w:b/>
                <w:color w:val="0D0D0D"/>
                <w:szCs w:val="21"/>
              </w:rPr>
            </w:pPr>
            <w:r w:rsidRPr="00784F6A">
              <w:rPr>
                <w:b/>
                <w:color w:val="FF0000"/>
                <w:szCs w:val="21"/>
              </w:rPr>
              <w:t>-1.86%</w:t>
            </w:r>
          </w:p>
        </w:tc>
      </w:tr>
      <w:tr w:rsidR="0043659A"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43659A" w:rsidRPr="00C30373" w:rsidRDefault="0043659A" w:rsidP="0090786B">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43659A" w:rsidRPr="00C30373" w:rsidRDefault="0043659A" w:rsidP="0090786B">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43659A" w:rsidRDefault="0043659A">
            <w:pPr>
              <w:jc w:val="right"/>
              <w:rPr>
                <w:rFonts w:ascii="宋体" w:hAnsi="宋体" w:cs="宋体"/>
                <w:color w:val="0D0D0D"/>
                <w:sz w:val="24"/>
              </w:rPr>
            </w:pPr>
            <w:r>
              <w:rPr>
                <w:rFonts w:hint="eastAsia"/>
                <w:color w:val="0D0D0D"/>
              </w:rPr>
              <w:t>0.39%</w:t>
            </w:r>
          </w:p>
        </w:tc>
        <w:tc>
          <w:tcPr>
            <w:tcW w:w="1080" w:type="dxa"/>
            <w:tcBorders>
              <w:top w:val="nil"/>
              <w:left w:val="nil"/>
              <w:bottom w:val="single" w:sz="4" w:space="0" w:color="auto"/>
              <w:right w:val="single" w:sz="4" w:space="0" w:color="auto"/>
            </w:tcBorders>
            <w:shd w:val="clear" w:color="000000" w:fill="FFFFFF"/>
            <w:noWrap/>
            <w:vAlign w:val="bottom"/>
            <w:hideMark/>
          </w:tcPr>
          <w:p w:rsidR="0043659A" w:rsidRDefault="0043659A">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43659A" w:rsidRPr="00784F6A" w:rsidRDefault="0043659A">
            <w:pPr>
              <w:jc w:val="center"/>
              <w:rPr>
                <w:b/>
                <w:color w:val="0D0D0D"/>
                <w:szCs w:val="21"/>
              </w:rPr>
            </w:pPr>
            <w:r w:rsidRPr="00784F6A">
              <w:rPr>
                <w:b/>
                <w:color w:val="0D0D0D"/>
                <w:szCs w:val="21"/>
              </w:rPr>
              <w:t>0.13%</w:t>
            </w:r>
          </w:p>
        </w:tc>
      </w:tr>
      <w:tr w:rsidR="00292341" w:rsidRPr="00C30373" w:rsidTr="00FB271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292341" w:rsidRPr="00C30373" w:rsidRDefault="00292341" w:rsidP="00FB271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292341" w:rsidRPr="00C30373" w:rsidRDefault="00292341" w:rsidP="009B07B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6</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FF0000"/>
              </w:rPr>
              <w:t>-8.85%</w:t>
            </w: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FF0000"/>
              </w:rPr>
              <w:t>-8.32%</w:t>
            </w:r>
          </w:p>
        </w:tc>
        <w:tc>
          <w:tcPr>
            <w:tcW w:w="1080" w:type="dxa"/>
            <w:tcBorders>
              <w:top w:val="nil"/>
              <w:left w:val="nil"/>
              <w:bottom w:val="single" w:sz="8" w:space="0" w:color="auto"/>
              <w:right w:val="single" w:sz="8" w:space="0" w:color="auto"/>
            </w:tcBorders>
            <w:shd w:val="clear" w:color="000000" w:fill="FFFFFF"/>
            <w:noWrap/>
            <w:hideMark/>
          </w:tcPr>
          <w:p w:rsidR="00292341" w:rsidRPr="00784F6A" w:rsidRDefault="00292341">
            <w:pPr>
              <w:jc w:val="center"/>
              <w:rPr>
                <w:b/>
                <w:color w:val="0D0D0D"/>
                <w:szCs w:val="21"/>
              </w:rPr>
            </w:pPr>
            <w:r w:rsidRPr="00784F6A">
              <w:rPr>
                <w:b/>
                <w:color w:val="FF0000"/>
                <w:szCs w:val="21"/>
              </w:rPr>
              <w:t>-0.53%</w:t>
            </w:r>
          </w:p>
        </w:tc>
      </w:tr>
      <w:tr w:rsidR="00F56702" w:rsidRPr="00C30373" w:rsidTr="00FB271A">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56702" w:rsidRPr="00C30373" w:rsidRDefault="00F56702" w:rsidP="00FB271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F56702" w:rsidRPr="00C30373" w:rsidRDefault="00F56702"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F56702" w:rsidRDefault="00F56702">
            <w:pPr>
              <w:jc w:val="right"/>
              <w:rPr>
                <w:rFonts w:ascii="宋体" w:hAnsi="宋体" w:cs="宋体"/>
                <w:color w:val="0D0D0D"/>
                <w:sz w:val="24"/>
              </w:rPr>
            </w:pPr>
            <w:r>
              <w:rPr>
                <w:rFonts w:hint="eastAsia"/>
                <w:color w:val="FF0000"/>
              </w:rPr>
              <w:t>-3.38%</w:t>
            </w:r>
          </w:p>
        </w:tc>
        <w:tc>
          <w:tcPr>
            <w:tcW w:w="1080" w:type="dxa"/>
            <w:tcBorders>
              <w:top w:val="nil"/>
              <w:left w:val="nil"/>
              <w:bottom w:val="single" w:sz="4" w:space="0" w:color="auto"/>
              <w:right w:val="single" w:sz="4" w:space="0" w:color="auto"/>
            </w:tcBorders>
            <w:shd w:val="clear" w:color="000000" w:fill="FFFFFF"/>
            <w:noWrap/>
            <w:vAlign w:val="bottom"/>
            <w:hideMark/>
          </w:tcPr>
          <w:p w:rsidR="00F56702" w:rsidRDefault="00F56702">
            <w:pPr>
              <w:jc w:val="right"/>
              <w:rPr>
                <w:rFonts w:ascii="宋体" w:hAnsi="宋体" w:cs="宋体"/>
                <w:color w:val="0D0D0D"/>
                <w:sz w:val="24"/>
              </w:rPr>
            </w:pPr>
            <w:r>
              <w:rPr>
                <w:rFonts w:hint="eastAsia"/>
                <w:color w:val="FF0000"/>
              </w:rPr>
              <w:t>-5.08%</w:t>
            </w:r>
          </w:p>
        </w:tc>
        <w:tc>
          <w:tcPr>
            <w:tcW w:w="1080" w:type="dxa"/>
            <w:tcBorders>
              <w:top w:val="nil"/>
              <w:left w:val="nil"/>
              <w:bottom w:val="single" w:sz="8" w:space="0" w:color="auto"/>
              <w:right w:val="single" w:sz="8" w:space="0" w:color="auto"/>
            </w:tcBorders>
            <w:shd w:val="clear" w:color="000000" w:fill="FFFFFF"/>
            <w:noWrap/>
            <w:hideMark/>
          </w:tcPr>
          <w:p w:rsidR="00F56702" w:rsidRPr="00784F6A" w:rsidRDefault="00F56702">
            <w:pPr>
              <w:jc w:val="center"/>
              <w:rPr>
                <w:b/>
                <w:color w:val="0D0D0D"/>
                <w:szCs w:val="21"/>
              </w:rPr>
            </w:pPr>
            <w:r w:rsidRPr="00784F6A">
              <w:rPr>
                <w:b/>
                <w:color w:val="0D0D0D"/>
                <w:szCs w:val="21"/>
              </w:rPr>
              <w:t>1.70%</w:t>
            </w:r>
          </w:p>
        </w:tc>
      </w:tr>
      <w:tr w:rsidR="00F56702"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56702" w:rsidRPr="00C30373" w:rsidRDefault="00F56702" w:rsidP="00FB271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F56702" w:rsidRPr="00C30373" w:rsidRDefault="00F56702"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F56702" w:rsidRDefault="00F56702">
            <w:pPr>
              <w:jc w:val="right"/>
              <w:rPr>
                <w:rFonts w:ascii="宋体" w:hAnsi="宋体" w:cs="宋体"/>
                <w:color w:val="0D0D0D"/>
                <w:sz w:val="24"/>
              </w:rPr>
            </w:pPr>
            <w:r>
              <w:rPr>
                <w:rFonts w:hint="eastAsia"/>
                <w:color w:val="0D0D0D"/>
              </w:rPr>
              <w:t>0.14%</w:t>
            </w:r>
          </w:p>
        </w:tc>
        <w:tc>
          <w:tcPr>
            <w:tcW w:w="1080" w:type="dxa"/>
            <w:tcBorders>
              <w:top w:val="nil"/>
              <w:left w:val="nil"/>
              <w:bottom w:val="single" w:sz="4" w:space="0" w:color="auto"/>
              <w:right w:val="single" w:sz="4" w:space="0" w:color="auto"/>
            </w:tcBorders>
            <w:shd w:val="clear" w:color="000000" w:fill="FFFFFF"/>
            <w:noWrap/>
            <w:vAlign w:val="bottom"/>
            <w:hideMark/>
          </w:tcPr>
          <w:p w:rsidR="00F56702" w:rsidRDefault="00F56702">
            <w:pPr>
              <w:jc w:val="right"/>
              <w:rPr>
                <w:rFonts w:ascii="宋体" w:hAnsi="宋体" w:cs="宋体"/>
                <w:color w:val="0D0D0D"/>
                <w:sz w:val="24"/>
              </w:rPr>
            </w:pPr>
            <w:r>
              <w:rPr>
                <w:rFonts w:hint="eastAsia"/>
                <w:color w:val="0D0D0D"/>
              </w:rPr>
              <w:t>0.25%</w:t>
            </w:r>
          </w:p>
        </w:tc>
        <w:tc>
          <w:tcPr>
            <w:tcW w:w="1080" w:type="dxa"/>
            <w:tcBorders>
              <w:top w:val="nil"/>
              <w:left w:val="nil"/>
              <w:bottom w:val="single" w:sz="8" w:space="0" w:color="auto"/>
              <w:right w:val="single" w:sz="8" w:space="0" w:color="auto"/>
            </w:tcBorders>
            <w:shd w:val="clear" w:color="000000" w:fill="FFFFFF"/>
            <w:noWrap/>
            <w:hideMark/>
          </w:tcPr>
          <w:p w:rsidR="00F56702" w:rsidRPr="00784F6A" w:rsidRDefault="00F56702">
            <w:pPr>
              <w:jc w:val="center"/>
              <w:rPr>
                <w:b/>
                <w:color w:val="0D0D0D"/>
                <w:szCs w:val="21"/>
              </w:rPr>
            </w:pPr>
            <w:r w:rsidRPr="00784F6A">
              <w:rPr>
                <w:b/>
                <w:color w:val="FF0000"/>
                <w:szCs w:val="21"/>
              </w:rPr>
              <w:t>-0.11%</w:t>
            </w:r>
          </w:p>
        </w:tc>
      </w:tr>
      <w:tr w:rsidR="00292341" w:rsidRPr="00C30373" w:rsidTr="009B07B6">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292341" w:rsidRPr="00C30373" w:rsidRDefault="00292341" w:rsidP="009B07B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292341" w:rsidRPr="00C30373" w:rsidRDefault="00292341" w:rsidP="00292341">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7</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0D0D0D"/>
              </w:rPr>
              <w:t>6.96%</w:t>
            </w: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0D0D0D"/>
              </w:rPr>
              <w:t>1.79%</w:t>
            </w:r>
          </w:p>
        </w:tc>
        <w:tc>
          <w:tcPr>
            <w:tcW w:w="1080" w:type="dxa"/>
            <w:tcBorders>
              <w:top w:val="nil"/>
              <w:left w:val="nil"/>
              <w:bottom w:val="single" w:sz="8" w:space="0" w:color="auto"/>
              <w:right w:val="single" w:sz="8" w:space="0" w:color="auto"/>
            </w:tcBorders>
            <w:shd w:val="clear" w:color="000000" w:fill="FFFFFF"/>
            <w:noWrap/>
            <w:hideMark/>
          </w:tcPr>
          <w:p w:rsidR="00292341" w:rsidRPr="00784F6A" w:rsidRDefault="00292341">
            <w:pPr>
              <w:jc w:val="center"/>
              <w:rPr>
                <w:b/>
                <w:color w:val="0D0D0D"/>
                <w:szCs w:val="21"/>
              </w:rPr>
            </w:pPr>
            <w:r w:rsidRPr="00784F6A">
              <w:rPr>
                <w:b/>
                <w:color w:val="0D0D0D"/>
                <w:szCs w:val="21"/>
              </w:rPr>
              <w:t>5.17%</w:t>
            </w:r>
          </w:p>
        </w:tc>
      </w:tr>
      <w:tr w:rsidR="00292341" w:rsidRPr="00C30373" w:rsidTr="009B07B6">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292341" w:rsidRPr="00C30373" w:rsidRDefault="00292341" w:rsidP="009B07B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292341" w:rsidRPr="00C30373" w:rsidRDefault="00292341"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0D0D0D"/>
              </w:rPr>
              <w:t>1.45%</w:t>
            </w: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0D0D0D"/>
              </w:rPr>
              <w:t>1.82%</w:t>
            </w:r>
          </w:p>
        </w:tc>
        <w:tc>
          <w:tcPr>
            <w:tcW w:w="1080" w:type="dxa"/>
            <w:tcBorders>
              <w:top w:val="nil"/>
              <w:left w:val="nil"/>
              <w:bottom w:val="single" w:sz="8" w:space="0" w:color="auto"/>
              <w:right w:val="single" w:sz="8" w:space="0" w:color="auto"/>
            </w:tcBorders>
            <w:shd w:val="clear" w:color="000000" w:fill="FFFFFF"/>
            <w:noWrap/>
            <w:hideMark/>
          </w:tcPr>
          <w:p w:rsidR="00292341" w:rsidRPr="00224A46" w:rsidRDefault="00292341">
            <w:pPr>
              <w:jc w:val="center"/>
              <w:rPr>
                <w:b/>
                <w:color w:val="0D0D0D"/>
                <w:szCs w:val="21"/>
              </w:rPr>
            </w:pPr>
            <w:r w:rsidRPr="00224A46">
              <w:rPr>
                <w:b/>
                <w:color w:val="FF0000"/>
                <w:szCs w:val="21"/>
              </w:rPr>
              <w:t>-0.37%</w:t>
            </w:r>
          </w:p>
        </w:tc>
      </w:tr>
      <w:tr w:rsidR="00292341"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292341" w:rsidRPr="00C30373" w:rsidRDefault="00292341" w:rsidP="009B07B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292341" w:rsidRPr="00C30373" w:rsidRDefault="00292341"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0D0D0D"/>
              </w:rPr>
              <w:t>0.12%</w:t>
            </w:r>
          </w:p>
        </w:tc>
        <w:tc>
          <w:tcPr>
            <w:tcW w:w="1080" w:type="dxa"/>
            <w:tcBorders>
              <w:top w:val="nil"/>
              <w:left w:val="nil"/>
              <w:bottom w:val="single" w:sz="4" w:space="0" w:color="auto"/>
              <w:right w:val="single" w:sz="4" w:space="0" w:color="auto"/>
            </w:tcBorders>
            <w:shd w:val="clear" w:color="000000" w:fill="FFFFFF"/>
            <w:noWrap/>
            <w:vAlign w:val="bottom"/>
            <w:hideMark/>
          </w:tcPr>
          <w:p w:rsidR="00292341" w:rsidRDefault="00292341">
            <w:pPr>
              <w:jc w:val="right"/>
              <w:rPr>
                <w:rFonts w:ascii="宋体" w:hAnsi="宋体" w:cs="宋体"/>
                <w:color w:val="0D0D0D"/>
                <w:sz w:val="24"/>
              </w:rPr>
            </w:pPr>
            <w:r>
              <w:rPr>
                <w:rFonts w:hint="eastAsia"/>
                <w:color w:val="0D0D0D"/>
              </w:rPr>
              <w:t>0.25%</w:t>
            </w:r>
          </w:p>
        </w:tc>
        <w:tc>
          <w:tcPr>
            <w:tcW w:w="1080" w:type="dxa"/>
            <w:tcBorders>
              <w:top w:val="nil"/>
              <w:left w:val="nil"/>
              <w:bottom w:val="single" w:sz="8" w:space="0" w:color="auto"/>
              <w:right w:val="single" w:sz="8" w:space="0" w:color="auto"/>
            </w:tcBorders>
            <w:shd w:val="clear" w:color="000000" w:fill="FFFFFF"/>
            <w:noWrap/>
            <w:hideMark/>
          </w:tcPr>
          <w:p w:rsidR="00292341" w:rsidRPr="00224A46" w:rsidRDefault="00292341">
            <w:pPr>
              <w:jc w:val="center"/>
              <w:rPr>
                <w:b/>
                <w:color w:val="0D0D0D"/>
                <w:szCs w:val="21"/>
              </w:rPr>
            </w:pPr>
            <w:r w:rsidRPr="00224A46">
              <w:rPr>
                <w:b/>
                <w:color w:val="FF0000"/>
                <w:szCs w:val="21"/>
              </w:rPr>
              <w:t>-0.13%</w:t>
            </w:r>
          </w:p>
        </w:tc>
      </w:tr>
      <w:tr w:rsidR="00F41EAC" w:rsidRPr="00C30373" w:rsidTr="0094030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41EAC" w:rsidRPr="00C30373" w:rsidRDefault="00F41EAC" w:rsidP="0094030B">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F41EAC" w:rsidRPr="00C30373" w:rsidRDefault="00F41EAC" w:rsidP="0094030B">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8</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F41EAC" w:rsidRDefault="00F41EAC" w:rsidP="0094030B">
            <w:pPr>
              <w:jc w:val="right"/>
              <w:rPr>
                <w:rFonts w:ascii="宋体" w:hAnsi="宋体" w:cs="宋体"/>
                <w:color w:val="0D0D0D"/>
                <w:sz w:val="24"/>
              </w:rPr>
            </w:pPr>
            <w:r>
              <w:rPr>
                <w:rFonts w:hint="eastAsia"/>
                <w:color w:val="0D0D0D"/>
              </w:rPr>
              <w:t>2.51%</w:t>
            </w:r>
          </w:p>
        </w:tc>
        <w:tc>
          <w:tcPr>
            <w:tcW w:w="1080" w:type="dxa"/>
            <w:tcBorders>
              <w:top w:val="nil"/>
              <w:left w:val="nil"/>
              <w:bottom w:val="single" w:sz="4" w:space="0" w:color="auto"/>
              <w:right w:val="single" w:sz="4" w:space="0" w:color="auto"/>
            </w:tcBorders>
            <w:shd w:val="clear" w:color="000000" w:fill="FFFFFF"/>
            <w:noWrap/>
            <w:vAlign w:val="bottom"/>
            <w:hideMark/>
          </w:tcPr>
          <w:p w:rsidR="00F41EAC" w:rsidRDefault="00F41EAC" w:rsidP="0094030B">
            <w:pPr>
              <w:jc w:val="right"/>
              <w:rPr>
                <w:rFonts w:ascii="宋体" w:hAnsi="宋体" w:cs="宋体"/>
                <w:color w:val="0D0D0D"/>
                <w:sz w:val="24"/>
              </w:rPr>
            </w:pPr>
            <w:r>
              <w:rPr>
                <w:rFonts w:hint="eastAsia"/>
                <w:color w:val="0D0D0D"/>
              </w:rPr>
              <w:t>2.70%</w:t>
            </w:r>
          </w:p>
        </w:tc>
        <w:tc>
          <w:tcPr>
            <w:tcW w:w="1080" w:type="dxa"/>
            <w:tcBorders>
              <w:top w:val="nil"/>
              <w:left w:val="nil"/>
              <w:bottom w:val="single" w:sz="8" w:space="0" w:color="auto"/>
              <w:right w:val="single" w:sz="8" w:space="0" w:color="auto"/>
            </w:tcBorders>
            <w:shd w:val="clear" w:color="000000" w:fill="FFFFFF"/>
            <w:noWrap/>
            <w:hideMark/>
          </w:tcPr>
          <w:p w:rsidR="00F41EAC" w:rsidRPr="00224A46" w:rsidRDefault="00F41EAC" w:rsidP="0094030B">
            <w:pPr>
              <w:jc w:val="center"/>
              <w:rPr>
                <w:b/>
                <w:color w:val="0D0D0D"/>
                <w:szCs w:val="21"/>
              </w:rPr>
            </w:pPr>
            <w:r w:rsidRPr="00224A46">
              <w:rPr>
                <w:b/>
                <w:color w:val="FF0000"/>
                <w:szCs w:val="21"/>
              </w:rPr>
              <w:t>-0.19%</w:t>
            </w:r>
          </w:p>
        </w:tc>
      </w:tr>
      <w:tr w:rsidR="00F41EAC" w:rsidRPr="00C30373" w:rsidTr="0094030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41EAC" w:rsidRPr="00C30373" w:rsidRDefault="00F41EAC" w:rsidP="009B07B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F41EAC" w:rsidRPr="00C30373" w:rsidRDefault="00F41EAC"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F41EAC" w:rsidRDefault="00F41EAC">
            <w:pPr>
              <w:jc w:val="right"/>
              <w:rPr>
                <w:color w:val="0D0D0D"/>
              </w:rPr>
            </w:pPr>
            <w:r>
              <w:rPr>
                <w:rFonts w:hint="eastAsia"/>
                <w:color w:val="0D0D0D"/>
              </w:rPr>
              <w:t>1.52%</w:t>
            </w:r>
          </w:p>
        </w:tc>
        <w:tc>
          <w:tcPr>
            <w:tcW w:w="1080" w:type="dxa"/>
            <w:tcBorders>
              <w:top w:val="nil"/>
              <w:left w:val="nil"/>
              <w:bottom w:val="single" w:sz="4" w:space="0" w:color="auto"/>
              <w:right w:val="single" w:sz="4" w:space="0" w:color="auto"/>
            </w:tcBorders>
            <w:shd w:val="clear" w:color="000000" w:fill="FFFFFF"/>
            <w:noWrap/>
            <w:vAlign w:val="bottom"/>
            <w:hideMark/>
          </w:tcPr>
          <w:p w:rsidR="00F41EAC" w:rsidRDefault="00F41EAC">
            <w:pPr>
              <w:jc w:val="right"/>
              <w:rPr>
                <w:color w:val="0D0D0D"/>
              </w:rPr>
            </w:pPr>
            <w:r>
              <w:rPr>
                <w:rFonts w:hint="eastAsia"/>
                <w:color w:val="0D0D0D"/>
              </w:rPr>
              <w:t>1.40%</w:t>
            </w:r>
          </w:p>
        </w:tc>
        <w:tc>
          <w:tcPr>
            <w:tcW w:w="1080" w:type="dxa"/>
            <w:tcBorders>
              <w:top w:val="nil"/>
              <w:left w:val="nil"/>
              <w:bottom w:val="single" w:sz="8" w:space="0" w:color="auto"/>
              <w:right w:val="single" w:sz="8" w:space="0" w:color="auto"/>
            </w:tcBorders>
            <w:shd w:val="clear" w:color="000000" w:fill="FFFFFF"/>
            <w:noWrap/>
            <w:hideMark/>
          </w:tcPr>
          <w:p w:rsidR="00F41EAC" w:rsidRPr="00224A46" w:rsidRDefault="00F41EAC">
            <w:pPr>
              <w:jc w:val="center"/>
              <w:rPr>
                <w:b/>
                <w:color w:val="FF0000"/>
                <w:szCs w:val="21"/>
              </w:rPr>
            </w:pPr>
            <w:r w:rsidRPr="00224A46">
              <w:rPr>
                <w:b/>
                <w:color w:val="0D0D0D"/>
                <w:szCs w:val="21"/>
              </w:rPr>
              <w:t>0.12%</w:t>
            </w:r>
          </w:p>
        </w:tc>
      </w:tr>
      <w:tr w:rsidR="00F41EAC"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F41EAC" w:rsidRPr="00C30373" w:rsidRDefault="00F41EAC" w:rsidP="009B07B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F41EAC" w:rsidRPr="00C30373" w:rsidRDefault="00F41EAC"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F41EAC" w:rsidRDefault="00F41EAC">
            <w:pPr>
              <w:jc w:val="right"/>
              <w:rPr>
                <w:color w:val="0D0D0D"/>
              </w:rPr>
            </w:pPr>
            <w:r>
              <w:rPr>
                <w:rFonts w:hint="eastAsia"/>
                <w:color w:val="FF0000"/>
              </w:rPr>
              <w:t>-0.17%</w:t>
            </w:r>
          </w:p>
        </w:tc>
        <w:tc>
          <w:tcPr>
            <w:tcW w:w="1080" w:type="dxa"/>
            <w:tcBorders>
              <w:top w:val="nil"/>
              <w:left w:val="nil"/>
              <w:bottom w:val="single" w:sz="4" w:space="0" w:color="auto"/>
              <w:right w:val="single" w:sz="4" w:space="0" w:color="auto"/>
            </w:tcBorders>
            <w:shd w:val="clear" w:color="000000" w:fill="FFFFFF"/>
            <w:noWrap/>
            <w:vAlign w:val="bottom"/>
            <w:hideMark/>
          </w:tcPr>
          <w:p w:rsidR="00F41EAC" w:rsidRDefault="00F41EAC">
            <w:pPr>
              <w:jc w:val="right"/>
              <w:rPr>
                <w:color w:val="0D0D0D"/>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F41EAC" w:rsidRPr="00224A46" w:rsidRDefault="00F41EAC">
            <w:pPr>
              <w:jc w:val="center"/>
              <w:rPr>
                <w:b/>
                <w:color w:val="FF0000"/>
                <w:szCs w:val="21"/>
              </w:rPr>
            </w:pPr>
            <w:r w:rsidRPr="00224A46">
              <w:rPr>
                <w:b/>
                <w:color w:val="FF0000"/>
                <w:szCs w:val="21"/>
              </w:rPr>
              <w:t>-0.43%</w:t>
            </w:r>
          </w:p>
        </w:tc>
      </w:tr>
      <w:tr w:rsidR="00784F6A" w:rsidRPr="00C30373" w:rsidTr="00E42296">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84F6A" w:rsidRPr="00C30373" w:rsidRDefault="00784F6A" w:rsidP="00E4229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784F6A" w:rsidRPr="00C30373" w:rsidRDefault="00784F6A" w:rsidP="00F41EAC">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9</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784F6A" w:rsidRDefault="00784F6A">
            <w:pPr>
              <w:jc w:val="right"/>
              <w:rPr>
                <w:rFonts w:ascii="宋体" w:hAnsi="宋体" w:cs="宋体"/>
                <w:color w:val="0D0D0D"/>
                <w:sz w:val="24"/>
              </w:rPr>
            </w:pPr>
            <w:r>
              <w:rPr>
                <w:rFonts w:hint="eastAsia"/>
                <w:color w:val="0D0D0D"/>
              </w:rPr>
              <w:t>6.95%</w:t>
            </w:r>
          </w:p>
        </w:tc>
        <w:tc>
          <w:tcPr>
            <w:tcW w:w="1080" w:type="dxa"/>
            <w:tcBorders>
              <w:top w:val="nil"/>
              <w:left w:val="nil"/>
              <w:bottom w:val="single" w:sz="4" w:space="0" w:color="auto"/>
              <w:right w:val="single" w:sz="4" w:space="0" w:color="auto"/>
            </w:tcBorders>
            <w:shd w:val="clear" w:color="000000" w:fill="FFFFFF"/>
            <w:noWrap/>
            <w:vAlign w:val="bottom"/>
            <w:hideMark/>
          </w:tcPr>
          <w:p w:rsidR="00784F6A" w:rsidRDefault="00784F6A">
            <w:pPr>
              <w:jc w:val="right"/>
              <w:rPr>
                <w:rFonts w:ascii="宋体" w:hAnsi="宋体" w:cs="宋体"/>
                <w:color w:val="0D0D0D"/>
                <w:sz w:val="24"/>
              </w:rPr>
            </w:pPr>
            <w:r>
              <w:rPr>
                <w:rFonts w:hint="eastAsia"/>
                <w:color w:val="0D0D0D"/>
              </w:rPr>
              <w:t>5.70%</w:t>
            </w:r>
          </w:p>
        </w:tc>
        <w:tc>
          <w:tcPr>
            <w:tcW w:w="1080" w:type="dxa"/>
            <w:tcBorders>
              <w:top w:val="nil"/>
              <w:left w:val="nil"/>
              <w:bottom w:val="single" w:sz="8" w:space="0" w:color="auto"/>
              <w:right w:val="single" w:sz="8" w:space="0" w:color="auto"/>
            </w:tcBorders>
            <w:shd w:val="clear" w:color="000000" w:fill="FFFFFF"/>
            <w:noWrap/>
            <w:hideMark/>
          </w:tcPr>
          <w:p w:rsidR="00784F6A" w:rsidRPr="00224A46" w:rsidRDefault="00784F6A">
            <w:pPr>
              <w:jc w:val="center"/>
              <w:rPr>
                <w:b/>
                <w:color w:val="0D0D0D"/>
                <w:szCs w:val="21"/>
              </w:rPr>
            </w:pPr>
            <w:r w:rsidRPr="00224A46">
              <w:rPr>
                <w:b/>
                <w:color w:val="0D0D0D"/>
                <w:szCs w:val="21"/>
              </w:rPr>
              <w:t>1.25%</w:t>
            </w:r>
          </w:p>
        </w:tc>
      </w:tr>
      <w:tr w:rsidR="00784F6A" w:rsidRPr="00C30373" w:rsidTr="00E42296">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84F6A" w:rsidRPr="00C30373" w:rsidRDefault="00784F6A" w:rsidP="00E4229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784F6A" w:rsidRPr="00C30373" w:rsidRDefault="00784F6A"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84F6A" w:rsidRDefault="00784F6A">
            <w:pPr>
              <w:jc w:val="right"/>
              <w:rPr>
                <w:rFonts w:ascii="宋体" w:hAnsi="宋体" w:cs="宋体"/>
                <w:color w:val="0D0D0D"/>
                <w:sz w:val="24"/>
              </w:rPr>
            </w:pPr>
            <w:r>
              <w:rPr>
                <w:rFonts w:hint="eastAsia"/>
                <w:color w:val="0D0D0D"/>
              </w:rPr>
              <w:t>5.46%</w:t>
            </w:r>
          </w:p>
        </w:tc>
        <w:tc>
          <w:tcPr>
            <w:tcW w:w="1080" w:type="dxa"/>
            <w:tcBorders>
              <w:top w:val="nil"/>
              <w:left w:val="nil"/>
              <w:bottom w:val="single" w:sz="4" w:space="0" w:color="auto"/>
              <w:right w:val="single" w:sz="4" w:space="0" w:color="auto"/>
            </w:tcBorders>
            <w:shd w:val="clear" w:color="000000" w:fill="FFFFFF"/>
            <w:noWrap/>
            <w:vAlign w:val="bottom"/>
            <w:hideMark/>
          </w:tcPr>
          <w:p w:rsidR="00784F6A" w:rsidRDefault="00784F6A">
            <w:pPr>
              <w:jc w:val="right"/>
              <w:rPr>
                <w:rFonts w:ascii="宋体" w:hAnsi="宋体" w:cs="宋体"/>
                <w:color w:val="0D0D0D"/>
                <w:sz w:val="24"/>
              </w:rPr>
            </w:pPr>
            <w:r>
              <w:rPr>
                <w:rFonts w:hint="eastAsia"/>
                <w:color w:val="0D0D0D"/>
              </w:rPr>
              <w:t>3.18%</w:t>
            </w:r>
          </w:p>
        </w:tc>
        <w:tc>
          <w:tcPr>
            <w:tcW w:w="1080" w:type="dxa"/>
            <w:tcBorders>
              <w:top w:val="nil"/>
              <w:left w:val="nil"/>
              <w:bottom w:val="single" w:sz="8" w:space="0" w:color="auto"/>
              <w:right w:val="single" w:sz="8" w:space="0" w:color="auto"/>
            </w:tcBorders>
            <w:shd w:val="clear" w:color="000000" w:fill="FFFFFF"/>
            <w:noWrap/>
            <w:hideMark/>
          </w:tcPr>
          <w:p w:rsidR="00784F6A" w:rsidRPr="00224A46" w:rsidRDefault="00784F6A">
            <w:pPr>
              <w:jc w:val="center"/>
              <w:rPr>
                <w:b/>
                <w:color w:val="0D0D0D"/>
                <w:szCs w:val="21"/>
              </w:rPr>
            </w:pPr>
            <w:r w:rsidRPr="00224A46">
              <w:rPr>
                <w:b/>
                <w:color w:val="0D0D0D"/>
                <w:szCs w:val="21"/>
              </w:rPr>
              <w:t>2.28%</w:t>
            </w:r>
          </w:p>
        </w:tc>
      </w:tr>
      <w:tr w:rsidR="00784F6A"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84F6A" w:rsidRPr="00C30373" w:rsidRDefault="00784F6A" w:rsidP="00E4229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784F6A" w:rsidRPr="00C30373" w:rsidRDefault="00784F6A"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84F6A" w:rsidRDefault="00784F6A">
            <w:pPr>
              <w:jc w:val="right"/>
              <w:rPr>
                <w:rFonts w:ascii="宋体" w:hAnsi="宋体" w:cs="宋体"/>
                <w:color w:val="0D0D0D"/>
                <w:sz w:val="24"/>
              </w:rPr>
            </w:pPr>
            <w:r>
              <w:rPr>
                <w:rFonts w:hint="eastAsia"/>
                <w:color w:val="0D0D0D"/>
              </w:rPr>
              <w:t>1.71%</w:t>
            </w:r>
          </w:p>
        </w:tc>
        <w:tc>
          <w:tcPr>
            <w:tcW w:w="1080" w:type="dxa"/>
            <w:tcBorders>
              <w:top w:val="nil"/>
              <w:left w:val="nil"/>
              <w:bottom w:val="single" w:sz="4" w:space="0" w:color="auto"/>
              <w:right w:val="single" w:sz="4" w:space="0" w:color="auto"/>
            </w:tcBorders>
            <w:shd w:val="clear" w:color="000000" w:fill="FFFFFF"/>
            <w:noWrap/>
            <w:vAlign w:val="bottom"/>
            <w:hideMark/>
          </w:tcPr>
          <w:p w:rsidR="00784F6A" w:rsidRDefault="00784F6A">
            <w:pPr>
              <w:jc w:val="right"/>
              <w:rPr>
                <w:rFonts w:ascii="宋体" w:hAnsi="宋体" w:cs="宋体"/>
                <w:color w:val="0D0D0D"/>
                <w:sz w:val="24"/>
              </w:rPr>
            </w:pPr>
            <w:r>
              <w:rPr>
                <w:rFonts w:hint="eastAsia"/>
                <w:color w:val="0D0D0D"/>
              </w:rPr>
              <w:t>0.25%</w:t>
            </w:r>
          </w:p>
        </w:tc>
        <w:tc>
          <w:tcPr>
            <w:tcW w:w="1080" w:type="dxa"/>
            <w:tcBorders>
              <w:top w:val="nil"/>
              <w:left w:val="nil"/>
              <w:bottom w:val="single" w:sz="8" w:space="0" w:color="auto"/>
              <w:right w:val="single" w:sz="8" w:space="0" w:color="auto"/>
            </w:tcBorders>
            <w:shd w:val="clear" w:color="000000" w:fill="FFFFFF"/>
            <w:noWrap/>
            <w:hideMark/>
          </w:tcPr>
          <w:p w:rsidR="00784F6A" w:rsidRPr="00224A46" w:rsidRDefault="00784F6A">
            <w:pPr>
              <w:jc w:val="center"/>
              <w:rPr>
                <w:b/>
                <w:color w:val="0D0D0D"/>
                <w:szCs w:val="21"/>
              </w:rPr>
            </w:pPr>
            <w:r w:rsidRPr="00224A46">
              <w:rPr>
                <w:b/>
                <w:color w:val="0D0D0D"/>
                <w:szCs w:val="21"/>
              </w:rPr>
              <w:t>1.46%</w:t>
            </w:r>
          </w:p>
        </w:tc>
      </w:tr>
      <w:tr w:rsidR="007579D3" w:rsidRPr="00C30373" w:rsidTr="00F927FE">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579D3" w:rsidRPr="00C30373" w:rsidRDefault="007579D3" w:rsidP="00F927FE">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7579D3" w:rsidRPr="00C30373" w:rsidRDefault="007579D3" w:rsidP="007579D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10</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7579D3" w:rsidRDefault="007579D3">
            <w:pPr>
              <w:jc w:val="right"/>
              <w:rPr>
                <w:rFonts w:ascii="宋体" w:hAnsi="宋体" w:cs="宋体"/>
                <w:color w:val="0D0D0D"/>
                <w:sz w:val="24"/>
              </w:rPr>
            </w:pPr>
            <w:r>
              <w:rPr>
                <w:rFonts w:hint="eastAsia"/>
                <w:color w:val="FF0000"/>
              </w:rPr>
              <w:t>-3.44%</w:t>
            </w:r>
          </w:p>
        </w:tc>
        <w:tc>
          <w:tcPr>
            <w:tcW w:w="1080" w:type="dxa"/>
            <w:tcBorders>
              <w:top w:val="nil"/>
              <w:left w:val="nil"/>
              <w:bottom w:val="single" w:sz="4" w:space="0" w:color="auto"/>
              <w:right w:val="single" w:sz="4" w:space="0" w:color="auto"/>
            </w:tcBorders>
            <w:shd w:val="clear" w:color="000000" w:fill="FFFFFF"/>
            <w:noWrap/>
            <w:vAlign w:val="bottom"/>
            <w:hideMark/>
          </w:tcPr>
          <w:p w:rsidR="007579D3" w:rsidRDefault="007579D3">
            <w:pPr>
              <w:jc w:val="right"/>
              <w:rPr>
                <w:rFonts w:ascii="宋体" w:hAnsi="宋体" w:cs="宋体"/>
                <w:color w:val="0D0D0D"/>
                <w:sz w:val="24"/>
              </w:rPr>
            </w:pPr>
            <w:r>
              <w:rPr>
                <w:rFonts w:hint="eastAsia"/>
                <w:color w:val="FF0000"/>
              </w:rPr>
              <w:t>-4.32%</w:t>
            </w:r>
          </w:p>
        </w:tc>
        <w:tc>
          <w:tcPr>
            <w:tcW w:w="1080" w:type="dxa"/>
            <w:tcBorders>
              <w:top w:val="nil"/>
              <w:left w:val="nil"/>
              <w:bottom w:val="single" w:sz="8" w:space="0" w:color="auto"/>
              <w:right w:val="single" w:sz="8" w:space="0" w:color="auto"/>
            </w:tcBorders>
            <w:shd w:val="clear" w:color="000000" w:fill="FFFFFF"/>
            <w:noWrap/>
            <w:hideMark/>
          </w:tcPr>
          <w:p w:rsidR="007579D3" w:rsidRPr="00224A46" w:rsidRDefault="007579D3">
            <w:pPr>
              <w:jc w:val="center"/>
              <w:rPr>
                <w:b/>
                <w:color w:val="0D0D0D"/>
                <w:szCs w:val="21"/>
              </w:rPr>
            </w:pPr>
            <w:r w:rsidRPr="00224A46">
              <w:rPr>
                <w:b/>
                <w:color w:val="0D0D0D"/>
                <w:szCs w:val="21"/>
              </w:rPr>
              <w:t>0.88%</w:t>
            </w:r>
          </w:p>
        </w:tc>
      </w:tr>
      <w:tr w:rsidR="007579D3" w:rsidRPr="00C30373" w:rsidTr="00F927FE">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579D3" w:rsidRPr="00C30373" w:rsidRDefault="007579D3" w:rsidP="00E4229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7579D3" w:rsidRPr="00C30373" w:rsidRDefault="007579D3"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579D3" w:rsidRDefault="007579D3">
            <w:pPr>
              <w:jc w:val="right"/>
              <w:rPr>
                <w:rFonts w:ascii="宋体" w:hAnsi="宋体" w:cs="宋体"/>
                <w:color w:val="0D0D0D"/>
                <w:sz w:val="24"/>
              </w:rPr>
            </w:pPr>
            <w:r>
              <w:rPr>
                <w:rFonts w:hint="eastAsia"/>
                <w:color w:val="FF0000"/>
              </w:rPr>
              <w:t>-3.73%</w:t>
            </w:r>
          </w:p>
        </w:tc>
        <w:tc>
          <w:tcPr>
            <w:tcW w:w="1080" w:type="dxa"/>
            <w:tcBorders>
              <w:top w:val="nil"/>
              <w:left w:val="nil"/>
              <w:bottom w:val="single" w:sz="4" w:space="0" w:color="auto"/>
              <w:right w:val="single" w:sz="4" w:space="0" w:color="auto"/>
            </w:tcBorders>
            <w:shd w:val="clear" w:color="000000" w:fill="FFFFFF"/>
            <w:noWrap/>
            <w:vAlign w:val="bottom"/>
            <w:hideMark/>
          </w:tcPr>
          <w:p w:rsidR="007579D3" w:rsidRDefault="007579D3">
            <w:pPr>
              <w:jc w:val="right"/>
              <w:rPr>
                <w:rFonts w:ascii="宋体" w:hAnsi="宋体" w:cs="宋体"/>
                <w:color w:val="0D0D0D"/>
                <w:sz w:val="24"/>
              </w:rPr>
            </w:pPr>
            <w:r>
              <w:rPr>
                <w:rFonts w:hint="eastAsia"/>
                <w:color w:val="FF0000"/>
              </w:rPr>
              <w:t>-2.40%</w:t>
            </w:r>
          </w:p>
        </w:tc>
        <w:tc>
          <w:tcPr>
            <w:tcW w:w="1080" w:type="dxa"/>
            <w:tcBorders>
              <w:top w:val="nil"/>
              <w:left w:val="nil"/>
              <w:bottom w:val="single" w:sz="8" w:space="0" w:color="auto"/>
              <w:right w:val="single" w:sz="8" w:space="0" w:color="auto"/>
            </w:tcBorders>
            <w:shd w:val="clear" w:color="000000" w:fill="FFFFFF"/>
            <w:noWrap/>
            <w:hideMark/>
          </w:tcPr>
          <w:p w:rsidR="007579D3" w:rsidRPr="00224A46" w:rsidRDefault="007579D3">
            <w:pPr>
              <w:jc w:val="center"/>
              <w:rPr>
                <w:b/>
                <w:color w:val="0D0D0D"/>
                <w:szCs w:val="21"/>
              </w:rPr>
            </w:pPr>
            <w:r w:rsidRPr="00224A46">
              <w:rPr>
                <w:b/>
                <w:color w:val="FF0000"/>
                <w:szCs w:val="21"/>
              </w:rPr>
              <w:t>-1.32%</w:t>
            </w:r>
          </w:p>
        </w:tc>
      </w:tr>
      <w:tr w:rsidR="007579D3"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7579D3" w:rsidRPr="00C30373" w:rsidRDefault="007579D3" w:rsidP="00E4229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7579D3" w:rsidRPr="00C30373" w:rsidRDefault="007579D3"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7579D3" w:rsidRDefault="007579D3">
            <w:pPr>
              <w:jc w:val="right"/>
              <w:rPr>
                <w:rFonts w:ascii="宋体" w:hAnsi="宋体" w:cs="宋体"/>
                <w:color w:val="0D0D0D"/>
                <w:sz w:val="24"/>
              </w:rPr>
            </w:pPr>
            <w:r>
              <w:rPr>
                <w:rFonts w:hint="eastAsia"/>
                <w:color w:val="FF0000"/>
              </w:rPr>
              <w:t>-0.76%</w:t>
            </w:r>
          </w:p>
        </w:tc>
        <w:tc>
          <w:tcPr>
            <w:tcW w:w="1080" w:type="dxa"/>
            <w:tcBorders>
              <w:top w:val="nil"/>
              <w:left w:val="nil"/>
              <w:bottom w:val="single" w:sz="4" w:space="0" w:color="auto"/>
              <w:right w:val="single" w:sz="4" w:space="0" w:color="auto"/>
            </w:tcBorders>
            <w:shd w:val="clear" w:color="000000" w:fill="FFFFFF"/>
            <w:noWrap/>
            <w:vAlign w:val="bottom"/>
            <w:hideMark/>
          </w:tcPr>
          <w:p w:rsidR="007579D3" w:rsidRDefault="007579D3">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7579D3" w:rsidRPr="00224A46" w:rsidRDefault="007579D3">
            <w:pPr>
              <w:jc w:val="center"/>
              <w:rPr>
                <w:b/>
                <w:color w:val="0D0D0D"/>
                <w:szCs w:val="21"/>
              </w:rPr>
            </w:pPr>
            <w:r w:rsidRPr="00224A46">
              <w:rPr>
                <w:b/>
                <w:color w:val="FF0000"/>
                <w:szCs w:val="21"/>
              </w:rPr>
              <w:t>-1.02%</w:t>
            </w:r>
          </w:p>
        </w:tc>
      </w:tr>
      <w:tr w:rsidR="00224A46" w:rsidRPr="00C30373" w:rsidTr="00224A46">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224A46" w:rsidRPr="00C30373" w:rsidRDefault="00224A46" w:rsidP="00224A4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224A46" w:rsidRPr="00C30373" w:rsidRDefault="00224A46" w:rsidP="00224A4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11</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224A46" w:rsidRDefault="00224A46">
            <w:pPr>
              <w:jc w:val="right"/>
              <w:rPr>
                <w:rFonts w:ascii="宋体" w:hAnsi="宋体" w:cs="宋体"/>
                <w:color w:val="0D0D0D"/>
                <w:sz w:val="24"/>
              </w:rPr>
            </w:pPr>
            <w:r>
              <w:rPr>
                <w:rFonts w:hint="eastAsia"/>
                <w:color w:val="0D0D0D"/>
              </w:rPr>
              <w:t>4.15%</w:t>
            </w:r>
          </w:p>
        </w:tc>
        <w:tc>
          <w:tcPr>
            <w:tcW w:w="1080" w:type="dxa"/>
            <w:tcBorders>
              <w:top w:val="nil"/>
              <w:left w:val="nil"/>
              <w:bottom w:val="single" w:sz="4" w:space="0" w:color="auto"/>
              <w:right w:val="single" w:sz="4" w:space="0" w:color="auto"/>
            </w:tcBorders>
            <w:shd w:val="clear" w:color="000000" w:fill="FFFFFF"/>
            <w:noWrap/>
            <w:vAlign w:val="bottom"/>
            <w:hideMark/>
          </w:tcPr>
          <w:p w:rsidR="00224A46" w:rsidRDefault="00224A46">
            <w:pPr>
              <w:jc w:val="right"/>
              <w:rPr>
                <w:rFonts w:ascii="宋体" w:hAnsi="宋体" w:cs="宋体"/>
                <w:color w:val="0D0D0D"/>
                <w:sz w:val="24"/>
              </w:rPr>
            </w:pPr>
            <w:r>
              <w:rPr>
                <w:rFonts w:hint="eastAsia"/>
                <w:color w:val="0D0D0D"/>
              </w:rPr>
              <w:t>3.91%</w:t>
            </w:r>
          </w:p>
        </w:tc>
        <w:tc>
          <w:tcPr>
            <w:tcW w:w="1080" w:type="dxa"/>
            <w:tcBorders>
              <w:top w:val="nil"/>
              <w:left w:val="nil"/>
              <w:bottom w:val="single" w:sz="8" w:space="0" w:color="auto"/>
              <w:right w:val="single" w:sz="8" w:space="0" w:color="auto"/>
            </w:tcBorders>
            <w:shd w:val="clear" w:color="000000" w:fill="FFFFFF"/>
            <w:noWrap/>
            <w:hideMark/>
          </w:tcPr>
          <w:p w:rsidR="00224A46" w:rsidRPr="00224A46" w:rsidRDefault="00224A46">
            <w:pPr>
              <w:jc w:val="center"/>
              <w:rPr>
                <w:b/>
                <w:color w:val="0D0D0D"/>
                <w:szCs w:val="21"/>
              </w:rPr>
            </w:pPr>
            <w:r w:rsidRPr="00224A46">
              <w:rPr>
                <w:b/>
                <w:color w:val="0D0D0D"/>
                <w:szCs w:val="21"/>
              </w:rPr>
              <w:t>0.23%</w:t>
            </w:r>
          </w:p>
        </w:tc>
      </w:tr>
      <w:tr w:rsidR="00224A46" w:rsidRPr="00C30373" w:rsidTr="00224A46">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224A46" w:rsidRPr="00C30373" w:rsidRDefault="00224A46" w:rsidP="00E4229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224A46" w:rsidRPr="00C30373" w:rsidRDefault="00224A46"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224A46" w:rsidRDefault="00224A46">
            <w:pPr>
              <w:jc w:val="right"/>
              <w:rPr>
                <w:rFonts w:ascii="宋体" w:hAnsi="宋体" w:cs="宋体"/>
                <w:color w:val="0D0D0D"/>
                <w:sz w:val="24"/>
              </w:rPr>
            </w:pPr>
            <w:r>
              <w:rPr>
                <w:rFonts w:hint="eastAsia"/>
                <w:color w:val="0D0D0D"/>
              </w:rPr>
              <w:t>0.92%</w:t>
            </w:r>
          </w:p>
        </w:tc>
        <w:tc>
          <w:tcPr>
            <w:tcW w:w="1080" w:type="dxa"/>
            <w:tcBorders>
              <w:top w:val="nil"/>
              <w:left w:val="nil"/>
              <w:bottom w:val="single" w:sz="4" w:space="0" w:color="auto"/>
              <w:right w:val="single" w:sz="4" w:space="0" w:color="auto"/>
            </w:tcBorders>
            <w:shd w:val="clear" w:color="000000" w:fill="FFFFFF"/>
            <w:noWrap/>
            <w:vAlign w:val="bottom"/>
            <w:hideMark/>
          </w:tcPr>
          <w:p w:rsidR="00224A46" w:rsidRDefault="00224A46">
            <w:pPr>
              <w:jc w:val="right"/>
              <w:rPr>
                <w:rFonts w:ascii="宋体" w:hAnsi="宋体" w:cs="宋体"/>
                <w:color w:val="0D0D0D"/>
                <w:sz w:val="24"/>
              </w:rPr>
            </w:pPr>
            <w:r>
              <w:rPr>
                <w:rFonts w:hint="eastAsia"/>
                <w:color w:val="0D0D0D"/>
              </w:rPr>
              <w:t>1.43%</w:t>
            </w:r>
          </w:p>
        </w:tc>
        <w:tc>
          <w:tcPr>
            <w:tcW w:w="1080" w:type="dxa"/>
            <w:tcBorders>
              <w:top w:val="nil"/>
              <w:left w:val="nil"/>
              <w:bottom w:val="single" w:sz="8" w:space="0" w:color="auto"/>
              <w:right w:val="single" w:sz="8" w:space="0" w:color="auto"/>
            </w:tcBorders>
            <w:shd w:val="clear" w:color="000000" w:fill="FFFFFF"/>
            <w:noWrap/>
            <w:hideMark/>
          </w:tcPr>
          <w:p w:rsidR="00224A46" w:rsidRPr="00224A46" w:rsidRDefault="00224A46">
            <w:pPr>
              <w:jc w:val="center"/>
              <w:rPr>
                <w:b/>
                <w:color w:val="0D0D0D"/>
                <w:szCs w:val="21"/>
              </w:rPr>
            </w:pPr>
            <w:r w:rsidRPr="00224A46">
              <w:rPr>
                <w:b/>
                <w:color w:val="FF0000"/>
                <w:szCs w:val="21"/>
              </w:rPr>
              <w:t>-0.52%</w:t>
            </w:r>
          </w:p>
        </w:tc>
      </w:tr>
      <w:tr w:rsidR="00224A46"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224A46" w:rsidRPr="00C30373" w:rsidRDefault="00224A46" w:rsidP="00E4229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224A46" w:rsidRPr="00C30373" w:rsidRDefault="00224A46" w:rsidP="00FB271A">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224A46" w:rsidRDefault="00224A46">
            <w:pPr>
              <w:jc w:val="right"/>
              <w:rPr>
                <w:rFonts w:ascii="宋体" w:hAnsi="宋体" w:cs="宋体"/>
                <w:color w:val="0D0D0D"/>
                <w:sz w:val="24"/>
              </w:rPr>
            </w:pPr>
            <w:r>
              <w:rPr>
                <w:rFonts w:hint="eastAsia"/>
                <w:color w:val="0D0D0D"/>
              </w:rPr>
              <w:t>0.09%</w:t>
            </w:r>
          </w:p>
        </w:tc>
        <w:tc>
          <w:tcPr>
            <w:tcW w:w="1080" w:type="dxa"/>
            <w:tcBorders>
              <w:top w:val="nil"/>
              <w:left w:val="nil"/>
              <w:bottom w:val="single" w:sz="4" w:space="0" w:color="auto"/>
              <w:right w:val="single" w:sz="4" w:space="0" w:color="auto"/>
            </w:tcBorders>
            <w:shd w:val="clear" w:color="000000" w:fill="FFFFFF"/>
            <w:noWrap/>
            <w:vAlign w:val="bottom"/>
            <w:hideMark/>
          </w:tcPr>
          <w:p w:rsidR="00224A46" w:rsidRDefault="00224A46">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224A46" w:rsidRPr="00224A46" w:rsidRDefault="00224A46">
            <w:pPr>
              <w:jc w:val="center"/>
              <w:rPr>
                <w:b/>
                <w:color w:val="0D0D0D"/>
                <w:szCs w:val="21"/>
              </w:rPr>
            </w:pPr>
            <w:r w:rsidRPr="00224A46">
              <w:rPr>
                <w:b/>
                <w:color w:val="FF0000"/>
                <w:szCs w:val="21"/>
              </w:rPr>
              <w:t>-0.17%</w:t>
            </w:r>
          </w:p>
        </w:tc>
      </w:tr>
      <w:tr w:rsidR="00ED57A2" w:rsidRPr="00C30373" w:rsidTr="00ED57A2">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D57A2" w:rsidRPr="00C30373" w:rsidRDefault="00ED57A2" w:rsidP="00ED57A2">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left w:val="single" w:sz="4" w:space="0" w:color="auto"/>
              <w:right w:val="single" w:sz="4" w:space="0" w:color="auto"/>
            </w:tcBorders>
            <w:vAlign w:val="center"/>
            <w:hideMark/>
          </w:tcPr>
          <w:p w:rsidR="00ED57A2" w:rsidRPr="00C30373" w:rsidRDefault="00ED57A2" w:rsidP="00ED57A2">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12</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FFFF"/>
            <w:noWrap/>
            <w:vAlign w:val="bottom"/>
            <w:hideMark/>
          </w:tcPr>
          <w:p w:rsidR="00ED57A2" w:rsidRDefault="00ED57A2">
            <w:pPr>
              <w:jc w:val="right"/>
              <w:rPr>
                <w:rFonts w:ascii="宋体" w:hAnsi="宋体" w:cs="宋体"/>
                <w:color w:val="0D0D0D"/>
                <w:sz w:val="24"/>
              </w:rPr>
            </w:pPr>
            <w:r>
              <w:rPr>
                <w:rFonts w:hint="eastAsia"/>
                <w:color w:val="FF0000"/>
              </w:rPr>
              <w:t>-2.33%</w:t>
            </w:r>
          </w:p>
        </w:tc>
        <w:tc>
          <w:tcPr>
            <w:tcW w:w="1080" w:type="dxa"/>
            <w:tcBorders>
              <w:top w:val="nil"/>
              <w:left w:val="nil"/>
              <w:bottom w:val="single" w:sz="4" w:space="0" w:color="auto"/>
              <w:right w:val="single" w:sz="4" w:space="0" w:color="auto"/>
            </w:tcBorders>
            <w:shd w:val="clear" w:color="000000" w:fill="FFFFFF"/>
            <w:noWrap/>
            <w:vAlign w:val="bottom"/>
            <w:hideMark/>
          </w:tcPr>
          <w:p w:rsidR="00ED57A2" w:rsidRDefault="00ED57A2">
            <w:pPr>
              <w:jc w:val="right"/>
              <w:rPr>
                <w:rFonts w:ascii="宋体" w:hAnsi="宋体" w:cs="宋体"/>
                <w:color w:val="0D0D0D"/>
                <w:sz w:val="24"/>
              </w:rPr>
            </w:pPr>
            <w:r>
              <w:rPr>
                <w:rFonts w:hint="eastAsia"/>
                <w:color w:val="FF0000"/>
              </w:rPr>
              <w:t>-2.14%</w:t>
            </w:r>
          </w:p>
        </w:tc>
        <w:tc>
          <w:tcPr>
            <w:tcW w:w="1080" w:type="dxa"/>
            <w:tcBorders>
              <w:top w:val="nil"/>
              <w:left w:val="nil"/>
              <w:bottom w:val="single" w:sz="8" w:space="0" w:color="auto"/>
              <w:right w:val="single" w:sz="8" w:space="0" w:color="auto"/>
            </w:tcBorders>
            <w:shd w:val="clear" w:color="000000" w:fill="FFFFFF"/>
            <w:noWrap/>
            <w:hideMark/>
          </w:tcPr>
          <w:p w:rsidR="00ED57A2" w:rsidRPr="00EC4546" w:rsidRDefault="00ED57A2">
            <w:pPr>
              <w:jc w:val="center"/>
              <w:rPr>
                <w:b/>
                <w:color w:val="0D0D0D"/>
                <w:szCs w:val="21"/>
              </w:rPr>
            </w:pPr>
            <w:r w:rsidRPr="00EC4546">
              <w:rPr>
                <w:b/>
                <w:color w:val="FF0000"/>
                <w:szCs w:val="21"/>
              </w:rPr>
              <w:t>-0.19%</w:t>
            </w:r>
          </w:p>
        </w:tc>
      </w:tr>
      <w:tr w:rsidR="00ED57A2" w:rsidRPr="00C30373" w:rsidTr="00ED57A2">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D57A2" w:rsidRPr="00C30373" w:rsidRDefault="00ED57A2" w:rsidP="00ED57A2">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left w:val="single" w:sz="4" w:space="0" w:color="auto"/>
              <w:right w:val="single" w:sz="4" w:space="0" w:color="auto"/>
            </w:tcBorders>
            <w:vAlign w:val="center"/>
            <w:hideMark/>
          </w:tcPr>
          <w:p w:rsidR="00ED57A2" w:rsidRPr="00C30373" w:rsidRDefault="00ED57A2" w:rsidP="00ED57A2">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ED57A2" w:rsidRDefault="00ED57A2">
            <w:pPr>
              <w:jc w:val="right"/>
              <w:rPr>
                <w:rFonts w:ascii="宋体" w:hAnsi="宋体" w:cs="宋体"/>
                <w:color w:val="0D0D0D"/>
                <w:sz w:val="24"/>
              </w:rPr>
            </w:pPr>
            <w:r>
              <w:rPr>
                <w:rFonts w:hint="eastAsia"/>
                <w:color w:val="FF0000"/>
              </w:rPr>
              <w:t>-0.82%</w:t>
            </w:r>
          </w:p>
        </w:tc>
        <w:tc>
          <w:tcPr>
            <w:tcW w:w="1080" w:type="dxa"/>
            <w:tcBorders>
              <w:top w:val="nil"/>
              <w:left w:val="nil"/>
              <w:bottom w:val="single" w:sz="4" w:space="0" w:color="auto"/>
              <w:right w:val="single" w:sz="4" w:space="0" w:color="auto"/>
            </w:tcBorders>
            <w:shd w:val="clear" w:color="000000" w:fill="FFFFFF"/>
            <w:noWrap/>
            <w:vAlign w:val="bottom"/>
            <w:hideMark/>
          </w:tcPr>
          <w:p w:rsidR="00ED57A2" w:rsidRDefault="00ED57A2">
            <w:pPr>
              <w:jc w:val="right"/>
              <w:rPr>
                <w:rFonts w:ascii="宋体" w:hAnsi="宋体" w:cs="宋体"/>
                <w:color w:val="0D0D0D"/>
                <w:sz w:val="24"/>
              </w:rPr>
            </w:pPr>
            <w:r>
              <w:rPr>
                <w:rFonts w:hint="eastAsia"/>
                <w:color w:val="FF0000"/>
              </w:rPr>
              <w:t>-1.56%</w:t>
            </w:r>
          </w:p>
        </w:tc>
        <w:tc>
          <w:tcPr>
            <w:tcW w:w="1080" w:type="dxa"/>
            <w:tcBorders>
              <w:top w:val="nil"/>
              <w:left w:val="nil"/>
              <w:bottom w:val="single" w:sz="8" w:space="0" w:color="auto"/>
              <w:right w:val="single" w:sz="8" w:space="0" w:color="auto"/>
            </w:tcBorders>
            <w:shd w:val="clear" w:color="000000" w:fill="FFFFFF"/>
            <w:noWrap/>
            <w:hideMark/>
          </w:tcPr>
          <w:p w:rsidR="00ED57A2" w:rsidRPr="00EC4546" w:rsidRDefault="00ED57A2">
            <w:pPr>
              <w:jc w:val="center"/>
              <w:rPr>
                <w:b/>
                <w:color w:val="0D0D0D"/>
                <w:szCs w:val="21"/>
              </w:rPr>
            </w:pPr>
            <w:r w:rsidRPr="00EC4546">
              <w:rPr>
                <w:b/>
                <w:color w:val="0D0D0D"/>
                <w:szCs w:val="21"/>
              </w:rPr>
              <w:t>0.75%</w:t>
            </w:r>
          </w:p>
        </w:tc>
      </w:tr>
      <w:tr w:rsidR="00ED57A2"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FFFF"/>
            <w:vAlign w:val="bottom"/>
            <w:hideMark/>
          </w:tcPr>
          <w:p w:rsidR="00ED57A2" w:rsidRPr="00C30373" w:rsidRDefault="00ED57A2" w:rsidP="00ED57A2">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稳健性</w:t>
            </w:r>
          </w:p>
        </w:tc>
        <w:tc>
          <w:tcPr>
            <w:tcW w:w="1580" w:type="dxa"/>
            <w:vMerge/>
            <w:tcBorders>
              <w:left w:val="single" w:sz="4" w:space="0" w:color="auto"/>
              <w:bottom w:val="single" w:sz="4" w:space="0" w:color="000000"/>
              <w:right w:val="single" w:sz="4" w:space="0" w:color="auto"/>
            </w:tcBorders>
            <w:vAlign w:val="center"/>
            <w:hideMark/>
          </w:tcPr>
          <w:p w:rsidR="00ED57A2" w:rsidRPr="00C30373" w:rsidRDefault="00ED57A2" w:rsidP="00ED57A2">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FFFF"/>
            <w:noWrap/>
            <w:vAlign w:val="bottom"/>
            <w:hideMark/>
          </w:tcPr>
          <w:p w:rsidR="00ED57A2" w:rsidRDefault="00ED57A2">
            <w:pPr>
              <w:jc w:val="right"/>
              <w:rPr>
                <w:rFonts w:ascii="宋体" w:hAnsi="宋体" w:cs="宋体"/>
                <w:color w:val="0D0D0D"/>
                <w:sz w:val="24"/>
              </w:rPr>
            </w:pPr>
            <w:r>
              <w:rPr>
                <w:rFonts w:hint="eastAsia"/>
                <w:color w:val="0D0D0D"/>
              </w:rPr>
              <w:t>0.08%</w:t>
            </w:r>
          </w:p>
        </w:tc>
        <w:tc>
          <w:tcPr>
            <w:tcW w:w="1080" w:type="dxa"/>
            <w:tcBorders>
              <w:top w:val="nil"/>
              <w:left w:val="nil"/>
              <w:bottom w:val="single" w:sz="4" w:space="0" w:color="auto"/>
              <w:right w:val="single" w:sz="4" w:space="0" w:color="auto"/>
            </w:tcBorders>
            <w:shd w:val="clear" w:color="000000" w:fill="FFFFFF"/>
            <w:noWrap/>
            <w:vAlign w:val="bottom"/>
            <w:hideMark/>
          </w:tcPr>
          <w:p w:rsidR="00ED57A2" w:rsidRDefault="00ED57A2">
            <w:pPr>
              <w:jc w:val="right"/>
              <w:rPr>
                <w:rFonts w:ascii="宋体" w:hAnsi="宋体" w:cs="宋体"/>
                <w:color w:val="0D0D0D"/>
                <w:sz w:val="24"/>
              </w:rPr>
            </w:pPr>
            <w:r>
              <w:rPr>
                <w:rFonts w:hint="eastAsia"/>
                <w:color w:val="0D0D0D"/>
              </w:rPr>
              <w:t>0.26%</w:t>
            </w:r>
          </w:p>
        </w:tc>
        <w:tc>
          <w:tcPr>
            <w:tcW w:w="1080" w:type="dxa"/>
            <w:tcBorders>
              <w:top w:val="nil"/>
              <w:left w:val="nil"/>
              <w:bottom w:val="single" w:sz="8" w:space="0" w:color="auto"/>
              <w:right w:val="single" w:sz="8" w:space="0" w:color="auto"/>
            </w:tcBorders>
            <w:shd w:val="clear" w:color="000000" w:fill="FFFFFF"/>
            <w:noWrap/>
            <w:hideMark/>
          </w:tcPr>
          <w:p w:rsidR="00ED57A2" w:rsidRPr="00EC4546" w:rsidRDefault="00ED57A2">
            <w:pPr>
              <w:jc w:val="center"/>
              <w:rPr>
                <w:b/>
                <w:color w:val="0D0D0D"/>
                <w:szCs w:val="21"/>
              </w:rPr>
            </w:pPr>
            <w:r w:rsidRPr="00EC4546">
              <w:rPr>
                <w:b/>
                <w:color w:val="FF0000"/>
                <w:szCs w:val="21"/>
              </w:rPr>
              <w:t>-0.18%</w:t>
            </w:r>
          </w:p>
        </w:tc>
      </w:tr>
      <w:tr w:rsidR="00ED57A2"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C000"/>
            <w:vAlign w:val="bottom"/>
            <w:hideMark/>
          </w:tcPr>
          <w:p w:rsidR="00ED57A2" w:rsidRPr="00C30373" w:rsidRDefault="00ED57A2" w:rsidP="003B15E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积极型</w:t>
            </w:r>
          </w:p>
        </w:tc>
        <w:tc>
          <w:tcPr>
            <w:tcW w:w="1580" w:type="dxa"/>
            <w:vMerge w:val="restart"/>
            <w:tcBorders>
              <w:top w:val="nil"/>
              <w:left w:val="single" w:sz="4" w:space="0" w:color="auto"/>
              <w:bottom w:val="single" w:sz="4" w:space="0" w:color="000000"/>
              <w:right w:val="single" w:sz="4" w:space="0" w:color="auto"/>
            </w:tcBorders>
            <w:shd w:val="clear" w:color="000000" w:fill="FFC000"/>
            <w:vAlign w:val="center"/>
            <w:hideMark/>
          </w:tcPr>
          <w:p w:rsidR="00ED57A2" w:rsidRDefault="00ED57A2" w:rsidP="0059498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2011年2月</w:t>
            </w:r>
          </w:p>
          <w:p w:rsidR="00ED57A2" w:rsidRDefault="00ED57A2" w:rsidP="0059498A">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至</w:t>
            </w:r>
          </w:p>
          <w:p w:rsidR="00ED57A2" w:rsidRPr="00C30373" w:rsidRDefault="00ED57A2" w:rsidP="00EC4546">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lastRenderedPageBreak/>
              <w:t>201</w:t>
            </w:r>
            <w:r>
              <w:rPr>
                <w:rFonts w:ascii="楷体_GB2312" w:eastAsia="楷体_GB2312" w:hAnsi="宋体" w:cs="宋体" w:hint="eastAsia"/>
                <w:b/>
                <w:bCs/>
                <w:color w:val="000000"/>
                <w:kern w:val="0"/>
                <w:szCs w:val="21"/>
              </w:rPr>
              <w:t>3</w:t>
            </w:r>
            <w:r w:rsidRPr="00C30373">
              <w:rPr>
                <w:rFonts w:ascii="楷体_GB2312" w:eastAsia="楷体_GB2312" w:hAnsi="宋体" w:cs="宋体" w:hint="eastAsia"/>
                <w:b/>
                <w:bCs/>
                <w:color w:val="000000"/>
                <w:kern w:val="0"/>
                <w:szCs w:val="21"/>
              </w:rPr>
              <w:t>年</w:t>
            </w:r>
            <w:r>
              <w:rPr>
                <w:rFonts w:ascii="楷体_GB2312" w:eastAsia="楷体_GB2312" w:hAnsi="宋体" w:cs="宋体" w:hint="eastAsia"/>
                <w:b/>
                <w:bCs/>
                <w:color w:val="000000"/>
                <w:kern w:val="0"/>
                <w:szCs w:val="21"/>
              </w:rPr>
              <w:t>1</w:t>
            </w:r>
            <w:r w:rsidR="00EC4546">
              <w:rPr>
                <w:rFonts w:ascii="楷体_GB2312" w:eastAsia="楷体_GB2312" w:hAnsi="宋体" w:cs="宋体" w:hint="eastAsia"/>
                <w:b/>
                <w:bCs/>
                <w:color w:val="000000"/>
                <w:kern w:val="0"/>
                <w:szCs w:val="21"/>
              </w:rPr>
              <w:t>2</w:t>
            </w:r>
            <w:r w:rsidRPr="00C30373">
              <w:rPr>
                <w:rFonts w:ascii="楷体_GB2312" w:eastAsia="楷体_GB2312" w:hAnsi="宋体" w:cs="宋体" w:hint="eastAsia"/>
                <w:b/>
                <w:bCs/>
                <w:color w:val="000000"/>
                <w:kern w:val="0"/>
                <w:szCs w:val="21"/>
              </w:rPr>
              <w:t>月</w:t>
            </w:r>
          </w:p>
        </w:tc>
        <w:tc>
          <w:tcPr>
            <w:tcW w:w="1080" w:type="dxa"/>
            <w:tcBorders>
              <w:top w:val="nil"/>
              <w:left w:val="nil"/>
              <w:bottom w:val="single" w:sz="4" w:space="0" w:color="auto"/>
              <w:right w:val="single" w:sz="4" w:space="0" w:color="auto"/>
            </w:tcBorders>
            <w:shd w:val="clear" w:color="000000" w:fill="FFC000"/>
            <w:noWrap/>
            <w:vAlign w:val="bottom"/>
            <w:hideMark/>
          </w:tcPr>
          <w:p w:rsidR="00ED57A2" w:rsidRDefault="00ED57A2">
            <w:pPr>
              <w:jc w:val="right"/>
              <w:rPr>
                <w:rFonts w:ascii="宋体" w:hAnsi="宋体" w:cs="宋体"/>
                <w:color w:val="0D0D0D"/>
                <w:sz w:val="24"/>
              </w:rPr>
            </w:pPr>
            <w:r>
              <w:rPr>
                <w:rFonts w:hint="eastAsia"/>
                <w:color w:val="0D0D0D"/>
              </w:rPr>
              <w:lastRenderedPageBreak/>
              <w:t>19.12%</w:t>
            </w:r>
          </w:p>
        </w:tc>
        <w:tc>
          <w:tcPr>
            <w:tcW w:w="1080" w:type="dxa"/>
            <w:tcBorders>
              <w:top w:val="nil"/>
              <w:left w:val="nil"/>
              <w:bottom w:val="single" w:sz="4" w:space="0" w:color="auto"/>
              <w:right w:val="single" w:sz="4" w:space="0" w:color="auto"/>
            </w:tcBorders>
            <w:shd w:val="clear" w:color="000000" w:fill="FFC000"/>
            <w:noWrap/>
            <w:vAlign w:val="bottom"/>
            <w:hideMark/>
          </w:tcPr>
          <w:p w:rsidR="00ED57A2" w:rsidRDefault="00ED57A2">
            <w:pPr>
              <w:jc w:val="right"/>
              <w:rPr>
                <w:rFonts w:ascii="宋体" w:hAnsi="宋体" w:cs="宋体"/>
                <w:color w:val="0D0D0D"/>
                <w:sz w:val="24"/>
              </w:rPr>
            </w:pPr>
            <w:r>
              <w:rPr>
                <w:rFonts w:hint="eastAsia"/>
                <w:color w:val="FF0000"/>
              </w:rPr>
              <w:t>-4.25%</w:t>
            </w:r>
          </w:p>
        </w:tc>
        <w:tc>
          <w:tcPr>
            <w:tcW w:w="1080" w:type="dxa"/>
            <w:tcBorders>
              <w:top w:val="nil"/>
              <w:left w:val="nil"/>
              <w:bottom w:val="single" w:sz="8" w:space="0" w:color="auto"/>
              <w:right w:val="single" w:sz="8" w:space="0" w:color="auto"/>
            </w:tcBorders>
            <w:shd w:val="clear" w:color="000000" w:fill="FFC000"/>
            <w:noWrap/>
            <w:hideMark/>
          </w:tcPr>
          <w:p w:rsidR="00ED57A2" w:rsidRPr="00EC4546" w:rsidRDefault="00ED57A2">
            <w:pPr>
              <w:jc w:val="center"/>
              <w:rPr>
                <w:b/>
                <w:color w:val="0D0D0D"/>
                <w:szCs w:val="21"/>
              </w:rPr>
            </w:pPr>
            <w:r w:rsidRPr="00EC4546">
              <w:rPr>
                <w:b/>
                <w:color w:val="0D0D0D"/>
                <w:szCs w:val="21"/>
              </w:rPr>
              <w:t>23.37%</w:t>
            </w:r>
          </w:p>
        </w:tc>
      </w:tr>
      <w:tr w:rsidR="00ED57A2"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C000"/>
            <w:vAlign w:val="bottom"/>
            <w:hideMark/>
          </w:tcPr>
          <w:p w:rsidR="00ED57A2" w:rsidRPr="00C30373" w:rsidRDefault="00ED57A2"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t>平衡型</w:t>
            </w:r>
          </w:p>
        </w:tc>
        <w:tc>
          <w:tcPr>
            <w:tcW w:w="1580" w:type="dxa"/>
            <w:vMerge/>
            <w:tcBorders>
              <w:top w:val="nil"/>
              <w:left w:val="single" w:sz="4" w:space="0" w:color="auto"/>
              <w:bottom w:val="single" w:sz="4" w:space="0" w:color="000000"/>
              <w:right w:val="single" w:sz="4" w:space="0" w:color="auto"/>
            </w:tcBorders>
            <w:vAlign w:val="center"/>
            <w:hideMark/>
          </w:tcPr>
          <w:p w:rsidR="00ED57A2" w:rsidRPr="00C30373" w:rsidRDefault="00ED57A2"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C000"/>
            <w:noWrap/>
            <w:vAlign w:val="bottom"/>
            <w:hideMark/>
          </w:tcPr>
          <w:p w:rsidR="00ED57A2" w:rsidRDefault="00ED57A2">
            <w:pPr>
              <w:jc w:val="right"/>
              <w:rPr>
                <w:rFonts w:ascii="宋体" w:hAnsi="宋体" w:cs="宋体"/>
                <w:color w:val="0D0D0D"/>
                <w:sz w:val="24"/>
              </w:rPr>
            </w:pPr>
            <w:r>
              <w:rPr>
                <w:rFonts w:hint="eastAsia"/>
                <w:color w:val="0D0D0D"/>
              </w:rPr>
              <w:t>15.05%</w:t>
            </w:r>
          </w:p>
        </w:tc>
        <w:tc>
          <w:tcPr>
            <w:tcW w:w="1080" w:type="dxa"/>
            <w:tcBorders>
              <w:top w:val="nil"/>
              <w:left w:val="nil"/>
              <w:bottom w:val="single" w:sz="4" w:space="0" w:color="auto"/>
              <w:right w:val="single" w:sz="4" w:space="0" w:color="auto"/>
            </w:tcBorders>
            <w:shd w:val="clear" w:color="000000" w:fill="FFC000"/>
            <w:noWrap/>
            <w:vAlign w:val="bottom"/>
            <w:hideMark/>
          </w:tcPr>
          <w:p w:rsidR="00ED57A2" w:rsidRDefault="00ED57A2">
            <w:pPr>
              <w:jc w:val="right"/>
              <w:rPr>
                <w:rFonts w:ascii="宋体" w:hAnsi="宋体" w:cs="宋体"/>
                <w:color w:val="0D0D0D"/>
                <w:sz w:val="24"/>
              </w:rPr>
            </w:pPr>
            <w:r>
              <w:rPr>
                <w:rFonts w:hint="eastAsia"/>
                <w:color w:val="0D0D0D"/>
              </w:rPr>
              <w:t>2.46%</w:t>
            </w:r>
          </w:p>
        </w:tc>
        <w:tc>
          <w:tcPr>
            <w:tcW w:w="1080" w:type="dxa"/>
            <w:tcBorders>
              <w:top w:val="nil"/>
              <w:left w:val="nil"/>
              <w:bottom w:val="single" w:sz="8" w:space="0" w:color="auto"/>
              <w:right w:val="single" w:sz="8" w:space="0" w:color="auto"/>
            </w:tcBorders>
            <w:shd w:val="clear" w:color="000000" w:fill="FFC000"/>
            <w:noWrap/>
            <w:hideMark/>
          </w:tcPr>
          <w:p w:rsidR="00ED57A2" w:rsidRPr="00EC4546" w:rsidRDefault="00ED57A2">
            <w:pPr>
              <w:jc w:val="center"/>
              <w:rPr>
                <w:b/>
                <w:color w:val="0D0D0D"/>
                <w:szCs w:val="21"/>
              </w:rPr>
            </w:pPr>
            <w:r w:rsidRPr="00EC4546">
              <w:rPr>
                <w:b/>
                <w:color w:val="0D0D0D"/>
                <w:szCs w:val="21"/>
              </w:rPr>
              <w:t>12.59%</w:t>
            </w:r>
          </w:p>
        </w:tc>
      </w:tr>
      <w:tr w:rsidR="00ED57A2" w:rsidRPr="00C30373" w:rsidTr="0056789B">
        <w:trPr>
          <w:trHeight w:val="300"/>
        </w:trPr>
        <w:tc>
          <w:tcPr>
            <w:tcW w:w="1260" w:type="dxa"/>
            <w:tcBorders>
              <w:top w:val="nil"/>
              <w:left w:val="single" w:sz="4" w:space="0" w:color="auto"/>
              <w:bottom w:val="single" w:sz="4" w:space="0" w:color="auto"/>
              <w:right w:val="single" w:sz="4" w:space="0" w:color="auto"/>
            </w:tcBorders>
            <w:shd w:val="clear" w:color="000000" w:fill="FFC000"/>
            <w:vAlign w:val="bottom"/>
            <w:hideMark/>
          </w:tcPr>
          <w:p w:rsidR="00ED57A2" w:rsidRPr="00C30373" w:rsidRDefault="00ED57A2" w:rsidP="00C30373">
            <w:pPr>
              <w:widowControl/>
              <w:jc w:val="center"/>
              <w:rPr>
                <w:rFonts w:ascii="楷体_GB2312" w:eastAsia="楷体_GB2312" w:hAnsi="宋体" w:cs="宋体"/>
                <w:b/>
                <w:bCs/>
                <w:color w:val="000000"/>
                <w:kern w:val="0"/>
                <w:szCs w:val="21"/>
              </w:rPr>
            </w:pPr>
            <w:r w:rsidRPr="00C30373">
              <w:rPr>
                <w:rFonts w:ascii="楷体_GB2312" w:eastAsia="楷体_GB2312" w:hAnsi="宋体" w:cs="宋体" w:hint="eastAsia"/>
                <w:b/>
                <w:bCs/>
                <w:color w:val="000000"/>
                <w:kern w:val="0"/>
                <w:szCs w:val="21"/>
              </w:rPr>
              <w:lastRenderedPageBreak/>
              <w:t>稳健性</w:t>
            </w:r>
          </w:p>
        </w:tc>
        <w:tc>
          <w:tcPr>
            <w:tcW w:w="1580" w:type="dxa"/>
            <w:vMerge/>
            <w:tcBorders>
              <w:top w:val="nil"/>
              <w:left w:val="single" w:sz="4" w:space="0" w:color="auto"/>
              <w:bottom w:val="single" w:sz="4" w:space="0" w:color="000000"/>
              <w:right w:val="single" w:sz="4" w:space="0" w:color="auto"/>
            </w:tcBorders>
            <w:vAlign w:val="center"/>
            <w:hideMark/>
          </w:tcPr>
          <w:p w:rsidR="00ED57A2" w:rsidRPr="00C30373" w:rsidRDefault="00ED57A2" w:rsidP="00C30373">
            <w:pPr>
              <w:widowControl/>
              <w:jc w:val="left"/>
              <w:rPr>
                <w:rFonts w:ascii="楷体_GB2312" w:eastAsia="楷体_GB2312" w:hAnsi="宋体" w:cs="宋体"/>
                <w:b/>
                <w:bCs/>
                <w:color w:val="000000"/>
                <w:kern w:val="0"/>
                <w:szCs w:val="21"/>
              </w:rPr>
            </w:pPr>
          </w:p>
        </w:tc>
        <w:tc>
          <w:tcPr>
            <w:tcW w:w="1080" w:type="dxa"/>
            <w:tcBorders>
              <w:top w:val="nil"/>
              <w:left w:val="nil"/>
              <w:bottom w:val="single" w:sz="4" w:space="0" w:color="auto"/>
              <w:right w:val="single" w:sz="4" w:space="0" w:color="auto"/>
            </w:tcBorders>
            <w:shd w:val="clear" w:color="000000" w:fill="FFC000"/>
            <w:noWrap/>
            <w:vAlign w:val="bottom"/>
            <w:hideMark/>
          </w:tcPr>
          <w:p w:rsidR="00ED57A2" w:rsidRDefault="00ED57A2">
            <w:pPr>
              <w:jc w:val="right"/>
              <w:rPr>
                <w:rFonts w:ascii="宋体" w:hAnsi="宋体" w:cs="宋体"/>
                <w:color w:val="0D0D0D"/>
                <w:sz w:val="24"/>
              </w:rPr>
            </w:pPr>
            <w:r>
              <w:rPr>
                <w:rFonts w:hint="eastAsia"/>
                <w:color w:val="0D0D0D"/>
              </w:rPr>
              <w:t>11.30%</w:t>
            </w:r>
          </w:p>
        </w:tc>
        <w:tc>
          <w:tcPr>
            <w:tcW w:w="1080" w:type="dxa"/>
            <w:tcBorders>
              <w:top w:val="nil"/>
              <w:left w:val="nil"/>
              <w:bottom w:val="single" w:sz="4" w:space="0" w:color="auto"/>
              <w:right w:val="single" w:sz="4" w:space="0" w:color="auto"/>
            </w:tcBorders>
            <w:shd w:val="clear" w:color="000000" w:fill="FFC000"/>
            <w:noWrap/>
            <w:vAlign w:val="bottom"/>
            <w:hideMark/>
          </w:tcPr>
          <w:p w:rsidR="00ED57A2" w:rsidRDefault="00ED57A2">
            <w:pPr>
              <w:jc w:val="right"/>
              <w:rPr>
                <w:rFonts w:ascii="宋体" w:hAnsi="宋体" w:cs="宋体"/>
                <w:color w:val="0D0D0D"/>
                <w:sz w:val="24"/>
              </w:rPr>
            </w:pPr>
            <w:r>
              <w:rPr>
                <w:rFonts w:hint="eastAsia"/>
                <w:color w:val="0D0D0D"/>
              </w:rPr>
              <w:t>9.71%</w:t>
            </w:r>
          </w:p>
        </w:tc>
        <w:tc>
          <w:tcPr>
            <w:tcW w:w="1080" w:type="dxa"/>
            <w:tcBorders>
              <w:top w:val="nil"/>
              <w:left w:val="nil"/>
              <w:bottom w:val="single" w:sz="8" w:space="0" w:color="auto"/>
              <w:right w:val="single" w:sz="8" w:space="0" w:color="auto"/>
            </w:tcBorders>
            <w:shd w:val="clear" w:color="000000" w:fill="FFC000"/>
            <w:noWrap/>
            <w:hideMark/>
          </w:tcPr>
          <w:p w:rsidR="00ED57A2" w:rsidRPr="00EC4546" w:rsidRDefault="00ED57A2">
            <w:pPr>
              <w:jc w:val="center"/>
              <w:rPr>
                <w:b/>
                <w:color w:val="0D0D0D"/>
                <w:szCs w:val="21"/>
              </w:rPr>
            </w:pPr>
            <w:r w:rsidRPr="00EC4546">
              <w:rPr>
                <w:b/>
                <w:color w:val="0D0D0D"/>
                <w:szCs w:val="21"/>
              </w:rPr>
              <w:t>1.59%</w:t>
            </w:r>
          </w:p>
        </w:tc>
      </w:tr>
    </w:tbl>
    <w:p w:rsidR="00E948C6" w:rsidRDefault="00E948C6" w:rsidP="00E948C6">
      <w:pPr>
        <w:keepLines/>
        <w:adjustRightInd w:val="0"/>
        <w:snapToGrid w:val="0"/>
        <w:jc w:val="left"/>
        <w:rPr>
          <w:rFonts w:ascii="楷体_GB2312" w:eastAsia="楷体_GB2312"/>
          <w:noProof/>
        </w:rPr>
      </w:pPr>
      <w:r>
        <w:rPr>
          <w:rFonts w:ascii="楷体_GB2312" w:eastAsia="楷体_GB2312" w:hint="eastAsia"/>
          <w:noProof/>
        </w:rPr>
        <w:lastRenderedPageBreak/>
        <w:t>注：数据截至</w:t>
      </w:r>
      <w:r w:rsidRPr="00CD771C">
        <w:rPr>
          <w:rFonts w:ascii="楷体_GB2312" w:eastAsia="楷体_GB2312" w:hint="eastAsia"/>
          <w:noProof/>
        </w:rPr>
        <w:t>201</w:t>
      </w:r>
      <w:r w:rsidR="00FA0EDE">
        <w:rPr>
          <w:rFonts w:ascii="楷体_GB2312" w:eastAsia="楷体_GB2312" w:hint="eastAsia"/>
          <w:noProof/>
        </w:rPr>
        <w:t>3</w:t>
      </w:r>
      <w:r w:rsidRPr="00CD771C">
        <w:rPr>
          <w:rFonts w:ascii="楷体_GB2312" w:eastAsia="楷体_GB2312" w:hint="eastAsia"/>
          <w:noProof/>
        </w:rPr>
        <w:t>年</w:t>
      </w:r>
      <w:r w:rsidR="00EC4546">
        <w:rPr>
          <w:rFonts w:ascii="楷体_GB2312" w:eastAsia="楷体_GB2312" w:hint="eastAsia"/>
          <w:noProof/>
        </w:rPr>
        <w:t>12</w:t>
      </w:r>
      <w:r w:rsidRPr="00CD771C">
        <w:rPr>
          <w:rFonts w:ascii="楷体_GB2312" w:eastAsia="楷体_GB2312" w:hint="eastAsia"/>
          <w:noProof/>
        </w:rPr>
        <w:t>月</w:t>
      </w:r>
      <w:r w:rsidR="00EC4546">
        <w:rPr>
          <w:rFonts w:ascii="楷体_GB2312" w:eastAsia="楷体_GB2312" w:hint="eastAsia"/>
          <w:noProof/>
        </w:rPr>
        <w:t>31</w:t>
      </w:r>
      <w:r w:rsidRPr="00CD771C">
        <w:rPr>
          <w:rFonts w:ascii="楷体_GB2312" w:eastAsia="楷体_GB2312" w:hint="eastAsia"/>
          <w:noProof/>
        </w:rPr>
        <w:t>日</w:t>
      </w:r>
      <w:r>
        <w:rPr>
          <w:rFonts w:ascii="楷体_GB2312" w:eastAsia="楷体_GB2312" w:hint="eastAsia"/>
          <w:noProof/>
        </w:rPr>
        <w:t>,组合于2011年2</w:t>
      </w:r>
      <w:r w:rsidR="007475A5">
        <w:rPr>
          <w:rFonts w:ascii="楷体_GB2312" w:eastAsia="楷体_GB2312" w:hint="eastAsia"/>
          <w:noProof/>
        </w:rPr>
        <w:t>月初设立</w:t>
      </w:r>
      <w:r w:rsidR="00C24609">
        <w:rPr>
          <w:rFonts w:ascii="楷体_GB2312" w:eastAsia="楷体_GB2312" w:hint="eastAsia"/>
          <w:noProof/>
        </w:rPr>
        <w:t>。</w:t>
      </w:r>
    </w:p>
    <w:p w:rsidR="00E948C6" w:rsidRPr="003D06B4" w:rsidRDefault="00E948C6" w:rsidP="00E948C6">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E948C6" w:rsidRPr="00960590" w:rsidRDefault="00E948C6" w:rsidP="00E948C6">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p>
    <w:p w:rsidR="00E948C6" w:rsidRPr="00960590" w:rsidRDefault="00E948C6" w:rsidP="00E948C6">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E948C6" w:rsidRPr="00960590" w:rsidRDefault="00E948C6" w:rsidP="00E948C6">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C8243E" w:rsidRPr="00394675" w:rsidRDefault="00C8243E" w:rsidP="00C8243E">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8243E" w:rsidRPr="00394675" w:rsidRDefault="00C8243E" w:rsidP="00254CD8">
      <w:pPr>
        <w:spacing w:beforeLines="50"/>
        <w:rPr>
          <w:rFonts w:eastAsia="楷体_GB2312"/>
          <w:sz w:val="18"/>
          <w:szCs w:val="18"/>
        </w:rPr>
      </w:pPr>
      <w:r w:rsidRPr="00394675">
        <w:rPr>
          <w:rFonts w:eastAsia="楷体_GB2312"/>
          <w:sz w:val="18"/>
          <w:szCs w:val="18"/>
        </w:rPr>
        <w:t>分析师</w:t>
      </w:r>
      <w:r w:rsidR="003957E9">
        <w:rPr>
          <w:rFonts w:eastAsia="楷体_GB2312" w:hint="eastAsia"/>
          <w:sz w:val="18"/>
          <w:szCs w:val="18"/>
        </w:rPr>
        <w:t xml:space="preserve"> </w:t>
      </w:r>
      <w:r>
        <w:rPr>
          <w:rFonts w:eastAsia="楷体_GB2312" w:hint="eastAsia"/>
          <w:sz w:val="18"/>
          <w:szCs w:val="18"/>
        </w:rPr>
        <w:t>刘亦千</w:t>
      </w:r>
    </w:p>
    <w:p w:rsidR="00C8243E" w:rsidRPr="00653644" w:rsidRDefault="00C8243E" w:rsidP="00C8243E">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8243E" w:rsidRDefault="00C8243E" w:rsidP="00C8243E">
      <w:pPr>
        <w:spacing w:line="400" w:lineRule="exact"/>
        <w:jc w:val="left"/>
        <w:rPr>
          <w:rFonts w:ascii="楷体_GB2312" w:eastAsia="楷体_GB2312" w:hAnsi="Arial" w:cs="Arial"/>
          <w:b/>
          <w:bCs/>
          <w:color w:val="FF6600"/>
          <w:szCs w:val="21"/>
        </w:rPr>
      </w:pPr>
    </w:p>
    <w:p w:rsidR="00693B26"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693B26" w:rsidRPr="00867DF5" w:rsidRDefault="00693B26" w:rsidP="00693B26">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693B26" w:rsidRDefault="00693B26" w:rsidP="00693B26">
      <w:pPr>
        <w:spacing w:line="400" w:lineRule="exact"/>
        <w:jc w:val="left"/>
        <w:rPr>
          <w:rFonts w:ascii="楷体_GB2312" w:eastAsia="楷体_GB2312" w:hAnsi="Arial" w:cs="Arial"/>
          <w:b/>
          <w:bCs/>
          <w:color w:val="003366"/>
          <w:szCs w:val="21"/>
        </w:rPr>
      </w:pPr>
    </w:p>
    <w:p w:rsidR="00693B26" w:rsidRPr="008F1970"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693B26" w:rsidRPr="00427DD5" w:rsidRDefault="00693B26" w:rsidP="00693B26">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693B26" w:rsidRPr="00427DD5" w:rsidRDefault="00693B26" w:rsidP="00693B26">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BE3940" w:rsidRPr="00693B26" w:rsidRDefault="00BE3940" w:rsidP="00BE3940">
      <w:pPr>
        <w:spacing w:line="300" w:lineRule="exact"/>
        <w:rPr>
          <w:rFonts w:ascii="楷体_GB2312" w:eastAsia="楷体_GB2312"/>
          <w:sz w:val="18"/>
          <w:szCs w:val="18"/>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sectPr w:rsidR="00BE3940" w:rsidSect="00C24609">
      <w:headerReference w:type="default" r:id="rId2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448" w:rsidRDefault="00B87448">
      <w:r>
        <w:separator/>
      </w:r>
    </w:p>
  </w:endnote>
  <w:endnote w:type="continuationSeparator" w:id="0">
    <w:p w:rsidR="00B87448" w:rsidRDefault="00B87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D8" w:rsidRDefault="00254CD8" w:rsidP="00BE3940">
    <w:pPr>
      <w:pStyle w:val="a5"/>
      <w:framePr w:wrap="around" w:vAnchor="text" w:hAnchor="margin" w:xAlign="right" w:y="1"/>
      <w:rPr>
        <w:rStyle w:val="a7"/>
      </w:rPr>
    </w:pPr>
    <w:r>
      <w:rPr>
        <w:rStyle w:val="a7"/>
        <w:noProof/>
      </w:rPr>
      <w:t>1</w:t>
    </w:r>
  </w:p>
  <w:p w:rsidR="00254CD8" w:rsidRDefault="00254CD8" w:rsidP="00BE394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D8" w:rsidRDefault="00254CD8" w:rsidP="00BE3940">
    <w:pPr>
      <w:pStyle w:val="a5"/>
      <w:framePr w:wrap="around" w:vAnchor="text" w:hAnchor="margin" w:xAlign="right" w:y="1"/>
      <w:rPr>
        <w:rStyle w:val="a7"/>
      </w:rPr>
    </w:pPr>
    <w:r>
      <w:rPr>
        <w:rStyle w:val="a7"/>
        <w:noProof/>
      </w:rPr>
      <w:t>1</w:t>
    </w:r>
  </w:p>
  <w:p w:rsidR="00254CD8" w:rsidRDefault="00254CD8" w:rsidP="00BE3940">
    <w:pPr>
      <w:pStyle w:val="a5"/>
      <w:ind w:right="360"/>
    </w:pPr>
    <w:r>
      <w:rPr>
        <w:noProof/>
      </w:rPr>
      <w:pict>
        <v:shapetype id="_x0000_t202" coordsize="21600,21600" o:spt="202" path="m,l,21600r21600,l21600,xe">
          <v:stroke joinstyle="miter"/>
          <v:path gradientshapeok="t" o:connecttype="rect"/>
        </v:shapetype>
        <v:shape id="_x0000_s2049" type="#_x0000_t202" style="position:absolute;margin-left:28.8pt;margin-top:772.9pt;width:513.45pt;height:18pt;z-index:251656704;mso-position-horizontal-relative:page;mso-position-vertical-relative:page" filled="f" stroked="f">
          <v:textbox style="mso-next-textbox:#_x0000_s2049" inset="0,0,0,0">
            <w:txbxContent>
              <w:p w:rsidR="00254CD8" w:rsidRPr="00FB139B" w:rsidRDefault="00254CD8" w:rsidP="00BE3940">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sidRPr="00FB139B">
                  <w:rPr>
                    <w:rFonts w:ascii="楷体_GB2312" w:eastAsia="楷体_GB2312" w:hint="eastAsia"/>
                    <w:color w:val="003366"/>
                    <w:szCs w:val="21"/>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448" w:rsidRDefault="00B87448">
      <w:r>
        <w:separator/>
      </w:r>
    </w:p>
  </w:footnote>
  <w:footnote w:type="continuationSeparator" w:id="0">
    <w:p w:rsidR="00B87448" w:rsidRDefault="00B87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D8" w:rsidRPr="0010121A" w:rsidRDefault="00254CD8">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D8" w:rsidRPr="00935FC9" w:rsidRDefault="00254CD8" w:rsidP="00CE0CE6">
    <w:pPr>
      <w:pStyle w:val="a4"/>
      <w:jc w:val="left"/>
      <w:rPr>
        <w:rFonts w:ascii="楷体_GB2312" w:eastAsia="楷体_GB2312"/>
        <w:b/>
        <w:color w:val="333399"/>
        <w:sz w:val="24"/>
        <w:szCs w:val="24"/>
      </w:rPr>
    </w:pPr>
    <w:r w:rsidRPr="0076610D">
      <w:rPr>
        <w:rFonts w:ascii="楷体_GB2312" w:eastAsia="楷体_GB2312"/>
        <w:b/>
        <w:noProof/>
        <w:color w:val="003366"/>
        <w:sz w:val="21"/>
        <w:szCs w:val="21"/>
      </w:rPr>
      <w:pict>
        <v:line id="_x0000_s2054" style="position:absolute;z-index:251658752" from="70.1pt,20.55pt" to="459pt,20.55pt" strokecolor="#036" strokeweight="1.5pt"/>
      </w:pict>
    </w:r>
    <w:r>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76610D">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5" type="#_x0000_t202" style="position:absolute;margin-left:-189pt;margin-top:-2.85pt;width:89.25pt;height:30.1pt;z-index:251657728;mso-wrap-style:none;mso-position-horizontal-relative:text;mso-position-vertical-relative:text" stroked="f">
          <v:textbox style="mso-next-textbox:#_x0000_s2055;mso-fit-shape-to-text:t">
            <w:txbxContent>
              <w:p w:rsidR="00254CD8" w:rsidRDefault="00254CD8">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Pr>
        <w:rFonts w:ascii="楷体_GB2312" w:eastAsia="楷体_GB2312" w:hint="eastAsia"/>
        <w:b/>
        <w:color w:val="333399"/>
        <w:sz w:val="21"/>
        <w:szCs w:val="21"/>
      </w:rPr>
      <w:t xml:space="preserve"> </w:t>
    </w:r>
    <w:r w:rsidRPr="00935FC9">
      <w:rPr>
        <w:rFonts w:ascii="楷体_GB2312" w:eastAsia="楷体_GB2312" w:hint="eastAsia"/>
        <w:b/>
        <w:color w:val="333399"/>
        <w:sz w:val="24"/>
        <w:szCs w:val="24"/>
      </w:rPr>
      <w:t xml:space="preserve">   </w:t>
    </w:r>
    <w:r>
      <w:rPr>
        <w:rFonts w:ascii="楷体_GB2312" w:eastAsia="楷体_GB2312" w:hint="eastAsia"/>
        <w:b/>
        <w:color w:val="333399"/>
        <w:sz w:val="24"/>
        <w:szCs w:val="24"/>
      </w:rPr>
      <w:t xml:space="preserve">         </w:t>
    </w:r>
    <w:r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688"/>
    <w:rsid w:val="00000536"/>
    <w:rsid w:val="00000AD4"/>
    <w:rsid w:val="000044F4"/>
    <w:rsid w:val="00005BE8"/>
    <w:rsid w:val="0000648E"/>
    <w:rsid w:val="000106CA"/>
    <w:rsid w:val="0001113C"/>
    <w:rsid w:val="0001127B"/>
    <w:rsid w:val="0001321E"/>
    <w:rsid w:val="0001469B"/>
    <w:rsid w:val="00016CEE"/>
    <w:rsid w:val="00016D23"/>
    <w:rsid w:val="000174A7"/>
    <w:rsid w:val="000202BA"/>
    <w:rsid w:val="00022534"/>
    <w:rsid w:val="000238F6"/>
    <w:rsid w:val="000246CA"/>
    <w:rsid w:val="00024B12"/>
    <w:rsid w:val="000258AD"/>
    <w:rsid w:val="00025F5B"/>
    <w:rsid w:val="00027789"/>
    <w:rsid w:val="00027E1E"/>
    <w:rsid w:val="0003081E"/>
    <w:rsid w:val="00030B24"/>
    <w:rsid w:val="00030BAB"/>
    <w:rsid w:val="00030D7F"/>
    <w:rsid w:val="000314BE"/>
    <w:rsid w:val="00031764"/>
    <w:rsid w:val="000322EF"/>
    <w:rsid w:val="000327E3"/>
    <w:rsid w:val="0003301C"/>
    <w:rsid w:val="000331E5"/>
    <w:rsid w:val="0003332D"/>
    <w:rsid w:val="00034BC1"/>
    <w:rsid w:val="00035714"/>
    <w:rsid w:val="00035A3C"/>
    <w:rsid w:val="00037269"/>
    <w:rsid w:val="00041A04"/>
    <w:rsid w:val="00042120"/>
    <w:rsid w:val="00042CAA"/>
    <w:rsid w:val="0004318E"/>
    <w:rsid w:val="00046606"/>
    <w:rsid w:val="0004775B"/>
    <w:rsid w:val="00047AF8"/>
    <w:rsid w:val="0005043F"/>
    <w:rsid w:val="00050ED4"/>
    <w:rsid w:val="0005103B"/>
    <w:rsid w:val="00052F7F"/>
    <w:rsid w:val="00053075"/>
    <w:rsid w:val="000534E5"/>
    <w:rsid w:val="0005399B"/>
    <w:rsid w:val="00053B65"/>
    <w:rsid w:val="0005451D"/>
    <w:rsid w:val="00055F5A"/>
    <w:rsid w:val="00057986"/>
    <w:rsid w:val="00057C80"/>
    <w:rsid w:val="0006016E"/>
    <w:rsid w:val="0006046B"/>
    <w:rsid w:val="00060998"/>
    <w:rsid w:val="00060F37"/>
    <w:rsid w:val="00063307"/>
    <w:rsid w:val="000633FA"/>
    <w:rsid w:val="00063AC0"/>
    <w:rsid w:val="00064025"/>
    <w:rsid w:val="00064639"/>
    <w:rsid w:val="00065A74"/>
    <w:rsid w:val="00065D61"/>
    <w:rsid w:val="0006601F"/>
    <w:rsid w:val="000665F7"/>
    <w:rsid w:val="00067072"/>
    <w:rsid w:val="000679F2"/>
    <w:rsid w:val="0007102E"/>
    <w:rsid w:val="000730BF"/>
    <w:rsid w:val="00073837"/>
    <w:rsid w:val="00073A20"/>
    <w:rsid w:val="00074C34"/>
    <w:rsid w:val="000753A8"/>
    <w:rsid w:val="00075DEA"/>
    <w:rsid w:val="000765F3"/>
    <w:rsid w:val="000772BD"/>
    <w:rsid w:val="000773C7"/>
    <w:rsid w:val="000803E1"/>
    <w:rsid w:val="0008073B"/>
    <w:rsid w:val="000823FE"/>
    <w:rsid w:val="00083230"/>
    <w:rsid w:val="00083340"/>
    <w:rsid w:val="000838AB"/>
    <w:rsid w:val="000844AB"/>
    <w:rsid w:val="000844E3"/>
    <w:rsid w:val="00084813"/>
    <w:rsid w:val="00084F6B"/>
    <w:rsid w:val="0008663F"/>
    <w:rsid w:val="00087C65"/>
    <w:rsid w:val="000903CC"/>
    <w:rsid w:val="00091B9B"/>
    <w:rsid w:val="00092408"/>
    <w:rsid w:val="00093188"/>
    <w:rsid w:val="00093F2D"/>
    <w:rsid w:val="00095242"/>
    <w:rsid w:val="00095B04"/>
    <w:rsid w:val="00095C41"/>
    <w:rsid w:val="00096293"/>
    <w:rsid w:val="00096A58"/>
    <w:rsid w:val="00096FBA"/>
    <w:rsid w:val="000970EC"/>
    <w:rsid w:val="00097F4B"/>
    <w:rsid w:val="000A06A5"/>
    <w:rsid w:val="000A0CBC"/>
    <w:rsid w:val="000A0D9A"/>
    <w:rsid w:val="000A29F5"/>
    <w:rsid w:val="000A3362"/>
    <w:rsid w:val="000A390F"/>
    <w:rsid w:val="000A3FB9"/>
    <w:rsid w:val="000A5E65"/>
    <w:rsid w:val="000A6448"/>
    <w:rsid w:val="000A7E5D"/>
    <w:rsid w:val="000B0503"/>
    <w:rsid w:val="000B0573"/>
    <w:rsid w:val="000B0C95"/>
    <w:rsid w:val="000B37D0"/>
    <w:rsid w:val="000B40AB"/>
    <w:rsid w:val="000B4882"/>
    <w:rsid w:val="000B488B"/>
    <w:rsid w:val="000B50D6"/>
    <w:rsid w:val="000B5ABE"/>
    <w:rsid w:val="000B6726"/>
    <w:rsid w:val="000B69C4"/>
    <w:rsid w:val="000B72A5"/>
    <w:rsid w:val="000C0C63"/>
    <w:rsid w:val="000C103A"/>
    <w:rsid w:val="000C15E5"/>
    <w:rsid w:val="000C18A0"/>
    <w:rsid w:val="000C24D4"/>
    <w:rsid w:val="000C3C4B"/>
    <w:rsid w:val="000C50F4"/>
    <w:rsid w:val="000C5348"/>
    <w:rsid w:val="000C56F5"/>
    <w:rsid w:val="000C67A7"/>
    <w:rsid w:val="000C6D2E"/>
    <w:rsid w:val="000C791B"/>
    <w:rsid w:val="000D09B6"/>
    <w:rsid w:val="000D141F"/>
    <w:rsid w:val="000D518A"/>
    <w:rsid w:val="000D6473"/>
    <w:rsid w:val="000D7492"/>
    <w:rsid w:val="000D76CD"/>
    <w:rsid w:val="000D787B"/>
    <w:rsid w:val="000D7E85"/>
    <w:rsid w:val="000E0AE9"/>
    <w:rsid w:val="000E209A"/>
    <w:rsid w:val="000E2171"/>
    <w:rsid w:val="000E257F"/>
    <w:rsid w:val="000E3D2E"/>
    <w:rsid w:val="000E41B8"/>
    <w:rsid w:val="000E640F"/>
    <w:rsid w:val="000E6F1C"/>
    <w:rsid w:val="000E7BF8"/>
    <w:rsid w:val="000F0B66"/>
    <w:rsid w:val="000F0DFF"/>
    <w:rsid w:val="000F0EAA"/>
    <w:rsid w:val="000F35EA"/>
    <w:rsid w:val="000F3B44"/>
    <w:rsid w:val="000F4524"/>
    <w:rsid w:val="000F6411"/>
    <w:rsid w:val="000F6EE1"/>
    <w:rsid w:val="000F7237"/>
    <w:rsid w:val="00100C8A"/>
    <w:rsid w:val="00102450"/>
    <w:rsid w:val="001026DB"/>
    <w:rsid w:val="00103390"/>
    <w:rsid w:val="00103762"/>
    <w:rsid w:val="00105F08"/>
    <w:rsid w:val="00110B48"/>
    <w:rsid w:val="001129F3"/>
    <w:rsid w:val="00112BF0"/>
    <w:rsid w:val="00112EB3"/>
    <w:rsid w:val="00114C8D"/>
    <w:rsid w:val="00115273"/>
    <w:rsid w:val="001153EB"/>
    <w:rsid w:val="00115520"/>
    <w:rsid w:val="00115CB5"/>
    <w:rsid w:val="00121950"/>
    <w:rsid w:val="001224D9"/>
    <w:rsid w:val="0012296B"/>
    <w:rsid w:val="00122AC5"/>
    <w:rsid w:val="0012322E"/>
    <w:rsid w:val="001236F7"/>
    <w:rsid w:val="00123C08"/>
    <w:rsid w:val="00123D36"/>
    <w:rsid w:val="00123D74"/>
    <w:rsid w:val="001257DF"/>
    <w:rsid w:val="001265A1"/>
    <w:rsid w:val="0012674B"/>
    <w:rsid w:val="001268D9"/>
    <w:rsid w:val="00126966"/>
    <w:rsid w:val="001275F8"/>
    <w:rsid w:val="0013007A"/>
    <w:rsid w:val="00130869"/>
    <w:rsid w:val="00130E8B"/>
    <w:rsid w:val="001316D7"/>
    <w:rsid w:val="001316F6"/>
    <w:rsid w:val="0013271C"/>
    <w:rsid w:val="001329DD"/>
    <w:rsid w:val="00132F20"/>
    <w:rsid w:val="00133570"/>
    <w:rsid w:val="00134A4E"/>
    <w:rsid w:val="00134A97"/>
    <w:rsid w:val="00135E33"/>
    <w:rsid w:val="00135F63"/>
    <w:rsid w:val="001365B3"/>
    <w:rsid w:val="00137360"/>
    <w:rsid w:val="001407BA"/>
    <w:rsid w:val="00140CA2"/>
    <w:rsid w:val="001414CB"/>
    <w:rsid w:val="001417EA"/>
    <w:rsid w:val="001430A8"/>
    <w:rsid w:val="00143200"/>
    <w:rsid w:val="001436D8"/>
    <w:rsid w:val="00143870"/>
    <w:rsid w:val="00143B16"/>
    <w:rsid w:val="00144B28"/>
    <w:rsid w:val="00144B9D"/>
    <w:rsid w:val="001459B6"/>
    <w:rsid w:val="00145C28"/>
    <w:rsid w:val="00146029"/>
    <w:rsid w:val="0014719B"/>
    <w:rsid w:val="00147DFB"/>
    <w:rsid w:val="00151072"/>
    <w:rsid w:val="00151C0B"/>
    <w:rsid w:val="00151D25"/>
    <w:rsid w:val="00152623"/>
    <w:rsid w:val="00153698"/>
    <w:rsid w:val="00154A1D"/>
    <w:rsid w:val="00154B70"/>
    <w:rsid w:val="00154B82"/>
    <w:rsid w:val="00155200"/>
    <w:rsid w:val="00155D60"/>
    <w:rsid w:val="00156066"/>
    <w:rsid w:val="00156DE0"/>
    <w:rsid w:val="00157CE6"/>
    <w:rsid w:val="00157F9D"/>
    <w:rsid w:val="00160415"/>
    <w:rsid w:val="001615A4"/>
    <w:rsid w:val="00161882"/>
    <w:rsid w:val="0016234D"/>
    <w:rsid w:val="00162C24"/>
    <w:rsid w:val="00164099"/>
    <w:rsid w:val="00164D19"/>
    <w:rsid w:val="001666B3"/>
    <w:rsid w:val="001703C2"/>
    <w:rsid w:val="0017080E"/>
    <w:rsid w:val="001708E7"/>
    <w:rsid w:val="00171343"/>
    <w:rsid w:val="001715AE"/>
    <w:rsid w:val="00171A0B"/>
    <w:rsid w:val="00172373"/>
    <w:rsid w:val="0017273B"/>
    <w:rsid w:val="001738B3"/>
    <w:rsid w:val="001746AF"/>
    <w:rsid w:val="001747A9"/>
    <w:rsid w:val="0017543C"/>
    <w:rsid w:val="0017553B"/>
    <w:rsid w:val="0017636C"/>
    <w:rsid w:val="00176ED8"/>
    <w:rsid w:val="00176F9A"/>
    <w:rsid w:val="00177718"/>
    <w:rsid w:val="0017773A"/>
    <w:rsid w:val="00181228"/>
    <w:rsid w:val="001821C3"/>
    <w:rsid w:val="0018246B"/>
    <w:rsid w:val="00183900"/>
    <w:rsid w:val="0018520D"/>
    <w:rsid w:val="00185EC4"/>
    <w:rsid w:val="0018636B"/>
    <w:rsid w:val="001906A8"/>
    <w:rsid w:val="0019149C"/>
    <w:rsid w:val="001914BE"/>
    <w:rsid w:val="00191FE7"/>
    <w:rsid w:val="001930E1"/>
    <w:rsid w:val="001932B8"/>
    <w:rsid w:val="00193442"/>
    <w:rsid w:val="00193900"/>
    <w:rsid w:val="001941AC"/>
    <w:rsid w:val="00194851"/>
    <w:rsid w:val="00195F1F"/>
    <w:rsid w:val="001964B3"/>
    <w:rsid w:val="001965E6"/>
    <w:rsid w:val="00197219"/>
    <w:rsid w:val="00197E58"/>
    <w:rsid w:val="001A016D"/>
    <w:rsid w:val="001A0F60"/>
    <w:rsid w:val="001A1808"/>
    <w:rsid w:val="001A35BB"/>
    <w:rsid w:val="001A39A9"/>
    <w:rsid w:val="001A459A"/>
    <w:rsid w:val="001A531F"/>
    <w:rsid w:val="001A5ED5"/>
    <w:rsid w:val="001A7A43"/>
    <w:rsid w:val="001A7ADF"/>
    <w:rsid w:val="001B06C6"/>
    <w:rsid w:val="001B1274"/>
    <w:rsid w:val="001B29C8"/>
    <w:rsid w:val="001B2BBD"/>
    <w:rsid w:val="001B2BF1"/>
    <w:rsid w:val="001B31CA"/>
    <w:rsid w:val="001B36C6"/>
    <w:rsid w:val="001B3C4A"/>
    <w:rsid w:val="001B448B"/>
    <w:rsid w:val="001B4DA7"/>
    <w:rsid w:val="001B6499"/>
    <w:rsid w:val="001B7054"/>
    <w:rsid w:val="001B7782"/>
    <w:rsid w:val="001B7C7E"/>
    <w:rsid w:val="001C061E"/>
    <w:rsid w:val="001C0795"/>
    <w:rsid w:val="001C0B5C"/>
    <w:rsid w:val="001C147C"/>
    <w:rsid w:val="001C224D"/>
    <w:rsid w:val="001C28A8"/>
    <w:rsid w:val="001C2C6D"/>
    <w:rsid w:val="001C2F3D"/>
    <w:rsid w:val="001C3ED6"/>
    <w:rsid w:val="001C3F10"/>
    <w:rsid w:val="001C469A"/>
    <w:rsid w:val="001C612F"/>
    <w:rsid w:val="001C6F20"/>
    <w:rsid w:val="001C7FC6"/>
    <w:rsid w:val="001D2B7F"/>
    <w:rsid w:val="001D2C9C"/>
    <w:rsid w:val="001D2FBB"/>
    <w:rsid w:val="001D34AE"/>
    <w:rsid w:val="001D4266"/>
    <w:rsid w:val="001D46E2"/>
    <w:rsid w:val="001D51CB"/>
    <w:rsid w:val="001D60FD"/>
    <w:rsid w:val="001D7989"/>
    <w:rsid w:val="001D7C41"/>
    <w:rsid w:val="001E02C6"/>
    <w:rsid w:val="001E13C5"/>
    <w:rsid w:val="001E1514"/>
    <w:rsid w:val="001E2B99"/>
    <w:rsid w:val="001E2CE9"/>
    <w:rsid w:val="001E3FB5"/>
    <w:rsid w:val="001E43A9"/>
    <w:rsid w:val="001E4F7C"/>
    <w:rsid w:val="001E4FCF"/>
    <w:rsid w:val="001E58E3"/>
    <w:rsid w:val="001E6F81"/>
    <w:rsid w:val="001E7B9E"/>
    <w:rsid w:val="001F0ADF"/>
    <w:rsid w:val="001F19EB"/>
    <w:rsid w:val="001F201E"/>
    <w:rsid w:val="001F3351"/>
    <w:rsid w:val="001F3A40"/>
    <w:rsid w:val="001F47C8"/>
    <w:rsid w:val="001F50E0"/>
    <w:rsid w:val="001F588F"/>
    <w:rsid w:val="001F753A"/>
    <w:rsid w:val="00200135"/>
    <w:rsid w:val="00202BBF"/>
    <w:rsid w:val="00202DC8"/>
    <w:rsid w:val="00202E80"/>
    <w:rsid w:val="002034E5"/>
    <w:rsid w:val="00203A74"/>
    <w:rsid w:val="00204E69"/>
    <w:rsid w:val="002054F9"/>
    <w:rsid w:val="00205C76"/>
    <w:rsid w:val="00205CA0"/>
    <w:rsid w:val="00205E93"/>
    <w:rsid w:val="002060BF"/>
    <w:rsid w:val="002061DB"/>
    <w:rsid w:val="00206AAE"/>
    <w:rsid w:val="00206EC0"/>
    <w:rsid w:val="0020740C"/>
    <w:rsid w:val="00207A34"/>
    <w:rsid w:val="00210BB8"/>
    <w:rsid w:val="00211265"/>
    <w:rsid w:val="002119BF"/>
    <w:rsid w:val="002123DB"/>
    <w:rsid w:val="00212B1B"/>
    <w:rsid w:val="0021478A"/>
    <w:rsid w:val="00214A1E"/>
    <w:rsid w:val="00214DD5"/>
    <w:rsid w:val="00216951"/>
    <w:rsid w:val="00217F1C"/>
    <w:rsid w:val="002202BB"/>
    <w:rsid w:val="0022085F"/>
    <w:rsid w:val="00221988"/>
    <w:rsid w:val="00222784"/>
    <w:rsid w:val="00222F76"/>
    <w:rsid w:val="002241BD"/>
    <w:rsid w:val="0022495E"/>
    <w:rsid w:val="00224A46"/>
    <w:rsid w:val="00224D21"/>
    <w:rsid w:val="00232C2C"/>
    <w:rsid w:val="002334E6"/>
    <w:rsid w:val="00233775"/>
    <w:rsid w:val="002347B3"/>
    <w:rsid w:val="00234DE6"/>
    <w:rsid w:val="0023524D"/>
    <w:rsid w:val="0023557C"/>
    <w:rsid w:val="00235F92"/>
    <w:rsid w:val="00236340"/>
    <w:rsid w:val="00236E90"/>
    <w:rsid w:val="0023739B"/>
    <w:rsid w:val="0024105D"/>
    <w:rsid w:val="002411EE"/>
    <w:rsid w:val="00241290"/>
    <w:rsid w:val="00241C6D"/>
    <w:rsid w:val="00241DF7"/>
    <w:rsid w:val="00241F1F"/>
    <w:rsid w:val="0024346C"/>
    <w:rsid w:val="00243549"/>
    <w:rsid w:val="002455A4"/>
    <w:rsid w:val="002465D1"/>
    <w:rsid w:val="002467A7"/>
    <w:rsid w:val="0024692D"/>
    <w:rsid w:val="002474B9"/>
    <w:rsid w:val="002505FB"/>
    <w:rsid w:val="0025064E"/>
    <w:rsid w:val="00254235"/>
    <w:rsid w:val="00254CD8"/>
    <w:rsid w:val="00254CF1"/>
    <w:rsid w:val="002553D3"/>
    <w:rsid w:val="00255EC9"/>
    <w:rsid w:val="00256C63"/>
    <w:rsid w:val="00256F73"/>
    <w:rsid w:val="002574A6"/>
    <w:rsid w:val="00257BBD"/>
    <w:rsid w:val="00260438"/>
    <w:rsid w:val="00260FCD"/>
    <w:rsid w:val="00261226"/>
    <w:rsid w:val="00262C4D"/>
    <w:rsid w:val="00263270"/>
    <w:rsid w:val="00263915"/>
    <w:rsid w:val="00264916"/>
    <w:rsid w:val="00264E74"/>
    <w:rsid w:val="00265082"/>
    <w:rsid w:val="00265A72"/>
    <w:rsid w:val="002663EA"/>
    <w:rsid w:val="0026756C"/>
    <w:rsid w:val="002676E2"/>
    <w:rsid w:val="00267FA7"/>
    <w:rsid w:val="00270AFD"/>
    <w:rsid w:val="00270CB7"/>
    <w:rsid w:val="00271C01"/>
    <w:rsid w:val="00271D70"/>
    <w:rsid w:val="00273844"/>
    <w:rsid w:val="00273F63"/>
    <w:rsid w:val="00274854"/>
    <w:rsid w:val="00275121"/>
    <w:rsid w:val="0027717C"/>
    <w:rsid w:val="0027751C"/>
    <w:rsid w:val="0028065C"/>
    <w:rsid w:val="002806D6"/>
    <w:rsid w:val="00280C0A"/>
    <w:rsid w:val="00281F74"/>
    <w:rsid w:val="00282778"/>
    <w:rsid w:val="0028289B"/>
    <w:rsid w:val="00282B35"/>
    <w:rsid w:val="002836AC"/>
    <w:rsid w:val="00285937"/>
    <w:rsid w:val="002867AA"/>
    <w:rsid w:val="00286AEF"/>
    <w:rsid w:val="00286C20"/>
    <w:rsid w:val="0028775D"/>
    <w:rsid w:val="00290A0F"/>
    <w:rsid w:val="00292341"/>
    <w:rsid w:val="00292B58"/>
    <w:rsid w:val="002944F6"/>
    <w:rsid w:val="00294DE6"/>
    <w:rsid w:val="00295348"/>
    <w:rsid w:val="00297330"/>
    <w:rsid w:val="002978C0"/>
    <w:rsid w:val="002A00D8"/>
    <w:rsid w:val="002A0BCE"/>
    <w:rsid w:val="002A17EB"/>
    <w:rsid w:val="002A1944"/>
    <w:rsid w:val="002A3613"/>
    <w:rsid w:val="002A372B"/>
    <w:rsid w:val="002A400A"/>
    <w:rsid w:val="002A5A04"/>
    <w:rsid w:val="002A5DEB"/>
    <w:rsid w:val="002A5F4C"/>
    <w:rsid w:val="002A6044"/>
    <w:rsid w:val="002A6E25"/>
    <w:rsid w:val="002A73B2"/>
    <w:rsid w:val="002A762A"/>
    <w:rsid w:val="002B07A1"/>
    <w:rsid w:val="002B0C0F"/>
    <w:rsid w:val="002B0F26"/>
    <w:rsid w:val="002B10A2"/>
    <w:rsid w:val="002B3004"/>
    <w:rsid w:val="002B3AB8"/>
    <w:rsid w:val="002B66F9"/>
    <w:rsid w:val="002C046D"/>
    <w:rsid w:val="002C0CC2"/>
    <w:rsid w:val="002C106C"/>
    <w:rsid w:val="002C1BB3"/>
    <w:rsid w:val="002C1F66"/>
    <w:rsid w:val="002C22EC"/>
    <w:rsid w:val="002C5ABE"/>
    <w:rsid w:val="002C7367"/>
    <w:rsid w:val="002C7D69"/>
    <w:rsid w:val="002D0E08"/>
    <w:rsid w:val="002D16FA"/>
    <w:rsid w:val="002D337A"/>
    <w:rsid w:val="002D34CE"/>
    <w:rsid w:val="002D376D"/>
    <w:rsid w:val="002D564B"/>
    <w:rsid w:val="002D6B9F"/>
    <w:rsid w:val="002D6C88"/>
    <w:rsid w:val="002D7097"/>
    <w:rsid w:val="002D7925"/>
    <w:rsid w:val="002D7E9F"/>
    <w:rsid w:val="002E161D"/>
    <w:rsid w:val="002E1BA3"/>
    <w:rsid w:val="002E27C6"/>
    <w:rsid w:val="002E554F"/>
    <w:rsid w:val="002E6353"/>
    <w:rsid w:val="002F01D5"/>
    <w:rsid w:val="002F02D3"/>
    <w:rsid w:val="002F0403"/>
    <w:rsid w:val="002F0686"/>
    <w:rsid w:val="002F0E46"/>
    <w:rsid w:val="002F1241"/>
    <w:rsid w:val="002F14CD"/>
    <w:rsid w:val="002F203C"/>
    <w:rsid w:val="002F28B4"/>
    <w:rsid w:val="002F38AF"/>
    <w:rsid w:val="002F4E9C"/>
    <w:rsid w:val="002F5AB6"/>
    <w:rsid w:val="002F5AD6"/>
    <w:rsid w:val="002F5BDE"/>
    <w:rsid w:val="002F6019"/>
    <w:rsid w:val="002F6EB6"/>
    <w:rsid w:val="00301409"/>
    <w:rsid w:val="00302194"/>
    <w:rsid w:val="00302CA1"/>
    <w:rsid w:val="00302E15"/>
    <w:rsid w:val="00303430"/>
    <w:rsid w:val="00303F87"/>
    <w:rsid w:val="0030540B"/>
    <w:rsid w:val="0030702B"/>
    <w:rsid w:val="00307945"/>
    <w:rsid w:val="00307DE8"/>
    <w:rsid w:val="003109A0"/>
    <w:rsid w:val="00312E28"/>
    <w:rsid w:val="00313499"/>
    <w:rsid w:val="003141B8"/>
    <w:rsid w:val="003143CE"/>
    <w:rsid w:val="00314BDE"/>
    <w:rsid w:val="0031586F"/>
    <w:rsid w:val="00316364"/>
    <w:rsid w:val="003167B4"/>
    <w:rsid w:val="00316D63"/>
    <w:rsid w:val="0031747A"/>
    <w:rsid w:val="00317751"/>
    <w:rsid w:val="0032138F"/>
    <w:rsid w:val="00322AB5"/>
    <w:rsid w:val="00322B42"/>
    <w:rsid w:val="00325A9C"/>
    <w:rsid w:val="00325E7E"/>
    <w:rsid w:val="003269F0"/>
    <w:rsid w:val="003271B4"/>
    <w:rsid w:val="00331B2C"/>
    <w:rsid w:val="00331B97"/>
    <w:rsid w:val="00331C1C"/>
    <w:rsid w:val="00331E2B"/>
    <w:rsid w:val="003327A0"/>
    <w:rsid w:val="00332814"/>
    <w:rsid w:val="0033288B"/>
    <w:rsid w:val="00332986"/>
    <w:rsid w:val="0033333C"/>
    <w:rsid w:val="00334900"/>
    <w:rsid w:val="0033497B"/>
    <w:rsid w:val="0033517E"/>
    <w:rsid w:val="0033677C"/>
    <w:rsid w:val="00336810"/>
    <w:rsid w:val="00337E3C"/>
    <w:rsid w:val="00341B08"/>
    <w:rsid w:val="00341B6C"/>
    <w:rsid w:val="0034474F"/>
    <w:rsid w:val="00344E75"/>
    <w:rsid w:val="00345C07"/>
    <w:rsid w:val="00345C30"/>
    <w:rsid w:val="00345F80"/>
    <w:rsid w:val="00345FFE"/>
    <w:rsid w:val="00346B2B"/>
    <w:rsid w:val="00346F20"/>
    <w:rsid w:val="00347655"/>
    <w:rsid w:val="00350AA8"/>
    <w:rsid w:val="00350C0F"/>
    <w:rsid w:val="003513D1"/>
    <w:rsid w:val="003513EC"/>
    <w:rsid w:val="00352243"/>
    <w:rsid w:val="00352426"/>
    <w:rsid w:val="00352CFC"/>
    <w:rsid w:val="00353041"/>
    <w:rsid w:val="00355320"/>
    <w:rsid w:val="00356211"/>
    <w:rsid w:val="003565B2"/>
    <w:rsid w:val="00356E05"/>
    <w:rsid w:val="003573AD"/>
    <w:rsid w:val="003606C4"/>
    <w:rsid w:val="00361FAC"/>
    <w:rsid w:val="003622FB"/>
    <w:rsid w:val="00363247"/>
    <w:rsid w:val="00364C92"/>
    <w:rsid w:val="003651FA"/>
    <w:rsid w:val="003654F4"/>
    <w:rsid w:val="00366027"/>
    <w:rsid w:val="00367579"/>
    <w:rsid w:val="0037014B"/>
    <w:rsid w:val="00370889"/>
    <w:rsid w:val="003714C6"/>
    <w:rsid w:val="00371987"/>
    <w:rsid w:val="00373108"/>
    <w:rsid w:val="00374EF7"/>
    <w:rsid w:val="00375A2A"/>
    <w:rsid w:val="00375D93"/>
    <w:rsid w:val="0037683F"/>
    <w:rsid w:val="00377D61"/>
    <w:rsid w:val="00383B2B"/>
    <w:rsid w:val="00384A06"/>
    <w:rsid w:val="0038537E"/>
    <w:rsid w:val="00385AC0"/>
    <w:rsid w:val="003861EE"/>
    <w:rsid w:val="003866C5"/>
    <w:rsid w:val="003872F7"/>
    <w:rsid w:val="0038731D"/>
    <w:rsid w:val="003878AA"/>
    <w:rsid w:val="00392033"/>
    <w:rsid w:val="0039288C"/>
    <w:rsid w:val="00392B27"/>
    <w:rsid w:val="00392CB8"/>
    <w:rsid w:val="003938CE"/>
    <w:rsid w:val="0039420E"/>
    <w:rsid w:val="00394563"/>
    <w:rsid w:val="00394899"/>
    <w:rsid w:val="00394A98"/>
    <w:rsid w:val="00394D75"/>
    <w:rsid w:val="00395169"/>
    <w:rsid w:val="003957E9"/>
    <w:rsid w:val="003A0202"/>
    <w:rsid w:val="003A028A"/>
    <w:rsid w:val="003A03A9"/>
    <w:rsid w:val="003A0EF2"/>
    <w:rsid w:val="003A378F"/>
    <w:rsid w:val="003A46B9"/>
    <w:rsid w:val="003A4FFC"/>
    <w:rsid w:val="003A500C"/>
    <w:rsid w:val="003B0BA7"/>
    <w:rsid w:val="003B12D1"/>
    <w:rsid w:val="003B15EA"/>
    <w:rsid w:val="003B2326"/>
    <w:rsid w:val="003B23EC"/>
    <w:rsid w:val="003B2AE7"/>
    <w:rsid w:val="003B35B7"/>
    <w:rsid w:val="003B6035"/>
    <w:rsid w:val="003B62DB"/>
    <w:rsid w:val="003B75F1"/>
    <w:rsid w:val="003B7FDA"/>
    <w:rsid w:val="003C0276"/>
    <w:rsid w:val="003C0B76"/>
    <w:rsid w:val="003C1B80"/>
    <w:rsid w:val="003C1C2A"/>
    <w:rsid w:val="003C203B"/>
    <w:rsid w:val="003C2560"/>
    <w:rsid w:val="003C3F4C"/>
    <w:rsid w:val="003C427A"/>
    <w:rsid w:val="003C42D6"/>
    <w:rsid w:val="003C48CC"/>
    <w:rsid w:val="003C4FF2"/>
    <w:rsid w:val="003C51B1"/>
    <w:rsid w:val="003C704D"/>
    <w:rsid w:val="003C725C"/>
    <w:rsid w:val="003D06B4"/>
    <w:rsid w:val="003D07F2"/>
    <w:rsid w:val="003D2709"/>
    <w:rsid w:val="003D3074"/>
    <w:rsid w:val="003D45D2"/>
    <w:rsid w:val="003D489E"/>
    <w:rsid w:val="003D501E"/>
    <w:rsid w:val="003D58A2"/>
    <w:rsid w:val="003D6B9D"/>
    <w:rsid w:val="003D794D"/>
    <w:rsid w:val="003D7E5C"/>
    <w:rsid w:val="003E111F"/>
    <w:rsid w:val="003E1A6F"/>
    <w:rsid w:val="003E2C4C"/>
    <w:rsid w:val="003E400F"/>
    <w:rsid w:val="003E47AC"/>
    <w:rsid w:val="003E4DD6"/>
    <w:rsid w:val="003E58A0"/>
    <w:rsid w:val="003E647F"/>
    <w:rsid w:val="003E6496"/>
    <w:rsid w:val="003E7459"/>
    <w:rsid w:val="003F0079"/>
    <w:rsid w:val="003F05C6"/>
    <w:rsid w:val="003F17A2"/>
    <w:rsid w:val="003F266A"/>
    <w:rsid w:val="003F4621"/>
    <w:rsid w:val="003F48B1"/>
    <w:rsid w:val="003F6C3F"/>
    <w:rsid w:val="003F6E6F"/>
    <w:rsid w:val="00400401"/>
    <w:rsid w:val="00400DC8"/>
    <w:rsid w:val="00401948"/>
    <w:rsid w:val="00401D08"/>
    <w:rsid w:val="00401DAB"/>
    <w:rsid w:val="00401F23"/>
    <w:rsid w:val="00401F69"/>
    <w:rsid w:val="00402500"/>
    <w:rsid w:val="00402545"/>
    <w:rsid w:val="00402728"/>
    <w:rsid w:val="00410BEB"/>
    <w:rsid w:val="00410D48"/>
    <w:rsid w:val="004112FF"/>
    <w:rsid w:val="004119EE"/>
    <w:rsid w:val="00411CB3"/>
    <w:rsid w:val="00412AA3"/>
    <w:rsid w:val="00412D07"/>
    <w:rsid w:val="004137DF"/>
    <w:rsid w:val="0041510B"/>
    <w:rsid w:val="004201C3"/>
    <w:rsid w:val="00420EDB"/>
    <w:rsid w:val="00421041"/>
    <w:rsid w:val="00422ADC"/>
    <w:rsid w:val="00422F77"/>
    <w:rsid w:val="00423075"/>
    <w:rsid w:val="00423E3D"/>
    <w:rsid w:val="00423F40"/>
    <w:rsid w:val="0042645F"/>
    <w:rsid w:val="004272DE"/>
    <w:rsid w:val="004274CC"/>
    <w:rsid w:val="00430167"/>
    <w:rsid w:val="00430FB7"/>
    <w:rsid w:val="00431C1E"/>
    <w:rsid w:val="004327E5"/>
    <w:rsid w:val="004332FB"/>
    <w:rsid w:val="00435214"/>
    <w:rsid w:val="0043599C"/>
    <w:rsid w:val="00435C00"/>
    <w:rsid w:val="0043659A"/>
    <w:rsid w:val="00436D85"/>
    <w:rsid w:val="00437B7A"/>
    <w:rsid w:val="00437DAE"/>
    <w:rsid w:val="0044016E"/>
    <w:rsid w:val="00440A19"/>
    <w:rsid w:val="00440C4B"/>
    <w:rsid w:val="004411FE"/>
    <w:rsid w:val="004441B0"/>
    <w:rsid w:val="00444205"/>
    <w:rsid w:val="00444C56"/>
    <w:rsid w:val="00444FA9"/>
    <w:rsid w:val="00445554"/>
    <w:rsid w:val="0044568D"/>
    <w:rsid w:val="00445E4E"/>
    <w:rsid w:val="00446308"/>
    <w:rsid w:val="00446A98"/>
    <w:rsid w:val="00447186"/>
    <w:rsid w:val="00447B2C"/>
    <w:rsid w:val="004521C5"/>
    <w:rsid w:val="004528C2"/>
    <w:rsid w:val="004531FB"/>
    <w:rsid w:val="004539A3"/>
    <w:rsid w:val="00453CFD"/>
    <w:rsid w:val="00453E03"/>
    <w:rsid w:val="004548AB"/>
    <w:rsid w:val="00454EF0"/>
    <w:rsid w:val="00455952"/>
    <w:rsid w:val="004566D7"/>
    <w:rsid w:val="00457BB0"/>
    <w:rsid w:val="00457BEC"/>
    <w:rsid w:val="00460E2E"/>
    <w:rsid w:val="00463B3E"/>
    <w:rsid w:val="00463BF8"/>
    <w:rsid w:val="00464200"/>
    <w:rsid w:val="00464573"/>
    <w:rsid w:val="004647C0"/>
    <w:rsid w:val="004648FE"/>
    <w:rsid w:val="00464D73"/>
    <w:rsid w:val="00464F86"/>
    <w:rsid w:val="00465178"/>
    <w:rsid w:val="00465589"/>
    <w:rsid w:val="0046639F"/>
    <w:rsid w:val="00466D17"/>
    <w:rsid w:val="00466EB1"/>
    <w:rsid w:val="00467550"/>
    <w:rsid w:val="00470443"/>
    <w:rsid w:val="004723A4"/>
    <w:rsid w:val="00474106"/>
    <w:rsid w:val="00474C96"/>
    <w:rsid w:val="00475167"/>
    <w:rsid w:val="004773CE"/>
    <w:rsid w:val="00480005"/>
    <w:rsid w:val="004801C8"/>
    <w:rsid w:val="004808FB"/>
    <w:rsid w:val="00482AEB"/>
    <w:rsid w:val="004841E1"/>
    <w:rsid w:val="00484654"/>
    <w:rsid w:val="00484F1C"/>
    <w:rsid w:val="00485E6F"/>
    <w:rsid w:val="004878B8"/>
    <w:rsid w:val="0049029B"/>
    <w:rsid w:val="0049464C"/>
    <w:rsid w:val="0049553F"/>
    <w:rsid w:val="00495E95"/>
    <w:rsid w:val="00495FCE"/>
    <w:rsid w:val="0049658D"/>
    <w:rsid w:val="00497A37"/>
    <w:rsid w:val="004A04AC"/>
    <w:rsid w:val="004A095A"/>
    <w:rsid w:val="004A12A8"/>
    <w:rsid w:val="004A186F"/>
    <w:rsid w:val="004A1B9A"/>
    <w:rsid w:val="004A1FDA"/>
    <w:rsid w:val="004A23CB"/>
    <w:rsid w:val="004A2740"/>
    <w:rsid w:val="004A47E2"/>
    <w:rsid w:val="004A5675"/>
    <w:rsid w:val="004A57CE"/>
    <w:rsid w:val="004A634E"/>
    <w:rsid w:val="004A7C9D"/>
    <w:rsid w:val="004B0218"/>
    <w:rsid w:val="004B0A06"/>
    <w:rsid w:val="004B1569"/>
    <w:rsid w:val="004B1687"/>
    <w:rsid w:val="004B2D87"/>
    <w:rsid w:val="004B35C7"/>
    <w:rsid w:val="004B3929"/>
    <w:rsid w:val="004B49D3"/>
    <w:rsid w:val="004B4BDB"/>
    <w:rsid w:val="004B66EF"/>
    <w:rsid w:val="004C0D35"/>
    <w:rsid w:val="004C0DB0"/>
    <w:rsid w:val="004C1094"/>
    <w:rsid w:val="004C1825"/>
    <w:rsid w:val="004C288F"/>
    <w:rsid w:val="004C29EE"/>
    <w:rsid w:val="004C3DB1"/>
    <w:rsid w:val="004C453E"/>
    <w:rsid w:val="004C517B"/>
    <w:rsid w:val="004C60A2"/>
    <w:rsid w:val="004C6627"/>
    <w:rsid w:val="004C678A"/>
    <w:rsid w:val="004D029D"/>
    <w:rsid w:val="004D23FB"/>
    <w:rsid w:val="004D2579"/>
    <w:rsid w:val="004D283A"/>
    <w:rsid w:val="004D2A49"/>
    <w:rsid w:val="004D3951"/>
    <w:rsid w:val="004D397F"/>
    <w:rsid w:val="004D3A81"/>
    <w:rsid w:val="004D403C"/>
    <w:rsid w:val="004D47F7"/>
    <w:rsid w:val="004D587E"/>
    <w:rsid w:val="004D5F89"/>
    <w:rsid w:val="004E1F15"/>
    <w:rsid w:val="004E2FFA"/>
    <w:rsid w:val="004E3270"/>
    <w:rsid w:val="004E3A3F"/>
    <w:rsid w:val="004E3A52"/>
    <w:rsid w:val="004E3BC4"/>
    <w:rsid w:val="004E51BD"/>
    <w:rsid w:val="004E62DA"/>
    <w:rsid w:val="004E6E1E"/>
    <w:rsid w:val="004E6F1D"/>
    <w:rsid w:val="004E6FB3"/>
    <w:rsid w:val="004E7646"/>
    <w:rsid w:val="004F0323"/>
    <w:rsid w:val="004F0559"/>
    <w:rsid w:val="004F1DDE"/>
    <w:rsid w:val="004F310E"/>
    <w:rsid w:val="004F39C7"/>
    <w:rsid w:val="004F3B1D"/>
    <w:rsid w:val="004F4964"/>
    <w:rsid w:val="004F4C19"/>
    <w:rsid w:val="004F6111"/>
    <w:rsid w:val="004F6B74"/>
    <w:rsid w:val="004F756D"/>
    <w:rsid w:val="005043A4"/>
    <w:rsid w:val="00505F78"/>
    <w:rsid w:val="00506208"/>
    <w:rsid w:val="0050679A"/>
    <w:rsid w:val="00510432"/>
    <w:rsid w:val="00510490"/>
    <w:rsid w:val="00510494"/>
    <w:rsid w:val="00510F22"/>
    <w:rsid w:val="005114CE"/>
    <w:rsid w:val="00511987"/>
    <w:rsid w:val="00513BA9"/>
    <w:rsid w:val="00513CE4"/>
    <w:rsid w:val="00514118"/>
    <w:rsid w:val="00515162"/>
    <w:rsid w:val="00515301"/>
    <w:rsid w:val="00516A90"/>
    <w:rsid w:val="00516DFF"/>
    <w:rsid w:val="00517517"/>
    <w:rsid w:val="00517522"/>
    <w:rsid w:val="00517D38"/>
    <w:rsid w:val="00520327"/>
    <w:rsid w:val="00521202"/>
    <w:rsid w:val="00521752"/>
    <w:rsid w:val="005240DF"/>
    <w:rsid w:val="0052496A"/>
    <w:rsid w:val="00525D81"/>
    <w:rsid w:val="00526296"/>
    <w:rsid w:val="00526B70"/>
    <w:rsid w:val="005272AE"/>
    <w:rsid w:val="005277CA"/>
    <w:rsid w:val="005307B5"/>
    <w:rsid w:val="00530FF0"/>
    <w:rsid w:val="0053265B"/>
    <w:rsid w:val="00532803"/>
    <w:rsid w:val="00533939"/>
    <w:rsid w:val="00534A78"/>
    <w:rsid w:val="00534FF3"/>
    <w:rsid w:val="0053627A"/>
    <w:rsid w:val="005365A7"/>
    <w:rsid w:val="00536ECF"/>
    <w:rsid w:val="005376AE"/>
    <w:rsid w:val="005379AD"/>
    <w:rsid w:val="00537E84"/>
    <w:rsid w:val="005400CC"/>
    <w:rsid w:val="0054017D"/>
    <w:rsid w:val="00540255"/>
    <w:rsid w:val="00540A20"/>
    <w:rsid w:val="00540A5A"/>
    <w:rsid w:val="005425B0"/>
    <w:rsid w:val="00543163"/>
    <w:rsid w:val="00544589"/>
    <w:rsid w:val="00547236"/>
    <w:rsid w:val="0054776F"/>
    <w:rsid w:val="00547B23"/>
    <w:rsid w:val="005505B7"/>
    <w:rsid w:val="00550B91"/>
    <w:rsid w:val="00553024"/>
    <w:rsid w:val="00553F0A"/>
    <w:rsid w:val="00554D53"/>
    <w:rsid w:val="00554F5D"/>
    <w:rsid w:val="00556B80"/>
    <w:rsid w:val="00556E15"/>
    <w:rsid w:val="00556EEE"/>
    <w:rsid w:val="00556FDE"/>
    <w:rsid w:val="00557295"/>
    <w:rsid w:val="005578EC"/>
    <w:rsid w:val="005621B9"/>
    <w:rsid w:val="00562CE0"/>
    <w:rsid w:val="00562D3C"/>
    <w:rsid w:val="00564163"/>
    <w:rsid w:val="00565260"/>
    <w:rsid w:val="005658C4"/>
    <w:rsid w:val="00566EFD"/>
    <w:rsid w:val="0056750B"/>
    <w:rsid w:val="0056789B"/>
    <w:rsid w:val="005679FE"/>
    <w:rsid w:val="005708E3"/>
    <w:rsid w:val="005714DE"/>
    <w:rsid w:val="00571D01"/>
    <w:rsid w:val="00572902"/>
    <w:rsid w:val="005734FA"/>
    <w:rsid w:val="005762BC"/>
    <w:rsid w:val="005773E7"/>
    <w:rsid w:val="00577BE2"/>
    <w:rsid w:val="00580BE7"/>
    <w:rsid w:val="00581A62"/>
    <w:rsid w:val="00582A38"/>
    <w:rsid w:val="00582E42"/>
    <w:rsid w:val="00583B71"/>
    <w:rsid w:val="00583DAC"/>
    <w:rsid w:val="0058574F"/>
    <w:rsid w:val="0058593C"/>
    <w:rsid w:val="00587DC4"/>
    <w:rsid w:val="00590F9A"/>
    <w:rsid w:val="00592211"/>
    <w:rsid w:val="00592B87"/>
    <w:rsid w:val="00592EFA"/>
    <w:rsid w:val="00592FD9"/>
    <w:rsid w:val="00593804"/>
    <w:rsid w:val="0059498A"/>
    <w:rsid w:val="00594DE3"/>
    <w:rsid w:val="00595C0D"/>
    <w:rsid w:val="00595EBF"/>
    <w:rsid w:val="005960D8"/>
    <w:rsid w:val="005963D2"/>
    <w:rsid w:val="00596956"/>
    <w:rsid w:val="005A024A"/>
    <w:rsid w:val="005A135D"/>
    <w:rsid w:val="005A1D66"/>
    <w:rsid w:val="005A2477"/>
    <w:rsid w:val="005A26CA"/>
    <w:rsid w:val="005A336F"/>
    <w:rsid w:val="005A4102"/>
    <w:rsid w:val="005A4414"/>
    <w:rsid w:val="005A461F"/>
    <w:rsid w:val="005A4EA9"/>
    <w:rsid w:val="005A5843"/>
    <w:rsid w:val="005A5A97"/>
    <w:rsid w:val="005A6E5D"/>
    <w:rsid w:val="005A7AC1"/>
    <w:rsid w:val="005A7F1E"/>
    <w:rsid w:val="005B0559"/>
    <w:rsid w:val="005B0EB5"/>
    <w:rsid w:val="005B1335"/>
    <w:rsid w:val="005B197C"/>
    <w:rsid w:val="005B219D"/>
    <w:rsid w:val="005B2953"/>
    <w:rsid w:val="005B313D"/>
    <w:rsid w:val="005B3FA7"/>
    <w:rsid w:val="005B45AA"/>
    <w:rsid w:val="005B4F6E"/>
    <w:rsid w:val="005B5148"/>
    <w:rsid w:val="005B6093"/>
    <w:rsid w:val="005B6506"/>
    <w:rsid w:val="005B6B28"/>
    <w:rsid w:val="005B6EFF"/>
    <w:rsid w:val="005B759C"/>
    <w:rsid w:val="005B78A9"/>
    <w:rsid w:val="005C0ED0"/>
    <w:rsid w:val="005C14D1"/>
    <w:rsid w:val="005C24E2"/>
    <w:rsid w:val="005C2C69"/>
    <w:rsid w:val="005C2E50"/>
    <w:rsid w:val="005C4505"/>
    <w:rsid w:val="005C55A4"/>
    <w:rsid w:val="005C6799"/>
    <w:rsid w:val="005C7DFA"/>
    <w:rsid w:val="005D07FA"/>
    <w:rsid w:val="005D1D63"/>
    <w:rsid w:val="005D355A"/>
    <w:rsid w:val="005D3CCA"/>
    <w:rsid w:val="005D4DF5"/>
    <w:rsid w:val="005D5EB4"/>
    <w:rsid w:val="005D61D6"/>
    <w:rsid w:val="005D6271"/>
    <w:rsid w:val="005D7855"/>
    <w:rsid w:val="005D7D4E"/>
    <w:rsid w:val="005E0C54"/>
    <w:rsid w:val="005E0FB6"/>
    <w:rsid w:val="005E1094"/>
    <w:rsid w:val="005E1141"/>
    <w:rsid w:val="005E284F"/>
    <w:rsid w:val="005E4E9C"/>
    <w:rsid w:val="005E5026"/>
    <w:rsid w:val="005E514A"/>
    <w:rsid w:val="005F0884"/>
    <w:rsid w:val="005F1F68"/>
    <w:rsid w:val="005F27BD"/>
    <w:rsid w:val="005F2951"/>
    <w:rsid w:val="005F36DB"/>
    <w:rsid w:val="005F4DD2"/>
    <w:rsid w:val="005F54DC"/>
    <w:rsid w:val="005F556A"/>
    <w:rsid w:val="005F715F"/>
    <w:rsid w:val="005F75A3"/>
    <w:rsid w:val="006000E3"/>
    <w:rsid w:val="00600958"/>
    <w:rsid w:val="00600C17"/>
    <w:rsid w:val="00601334"/>
    <w:rsid w:val="00601777"/>
    <w:rsid w:val="00602E97"/>
    <w:rsid w:val="006034FD"/>
    <w:rsid w:val="00604445"/>
    <w:rsid w:val="00604617"/>
    <w:rsid w:val="006073BB"/>
    <w:rsid w:val="00607663"/>
    <w:rsid w:val="0061039F"/>
    <w:rsid w:val="006111EC"/>
    <w:rsid w:val="006115DC"/>
    <w:rsid w:val="0061168B"/>
    <w:rsid w:val="00612702"/>
    <w:rsid w:val="006128F7"/>
    <w:rsid w:val="00612927"/>
    <w:rsid w:val="00616ECB"/>
    <w:rsid w:val="00617CA6"/>
    <w:rsid w:val="0062092B"/>
    <w:rsid w:val="00620F29"/>
    <w:rsid w:val="006216FC"/>
    <w:rsid w:val="00621C6F"/>
    <w:rsid w:val="00621E8A"/>
    <w:rsid w:val="006226EA"/>
    <w:rsid w:val="00623A81"/>
    <w:rsid w:val="00623F83"/>
    <w:rsid w:val="00624ACC"/>
    <w:rsid w:val="00624D66"/>
    <w:rsid w:val="00624FCB"/>
    <w:rsid w:val="0062526E"/>
    <w:rsid w:val="0062623C"/>
    <w:rsid w:val="006263A6"/>
    <w:rsid w:val="0062658D"/>
    <w:rsid w:val="006268E3"/>
    <w:rsid w:val="00626F82"/>
    <w:rsid w:val="00632398"/>
    <w:rsid w:val="00632D04"/>
    <w:rsid w:val="006331A0"/>
    <w:rsid w:val="006335FF"/>
    <w:rsid w:val="00634137"/>
    <w:rsid w:val="00634558"/>
    <w:rsid w:val="00634627"/>
    <w:rsid w:val="00635CB5"/>
    <w:rsid w:val="00641429"/>
    <w:rsid w:val="00641F0E"/>
    <w:rsid w:val="00641FE3"/>
    <w:rsid w:val="00642622"/>
    <w:rsid w:val="00642968"/>
    <w:rsid w:val="00642B9D"/>
    <w:rsid w:val="006447B8"/>
    <w:rsid w:val="00644EC5"/>
    <w:rsid w:val="006454E1"/>
    <w:rsid w:val="0064579A"/>
    <w:rsid w:val="00650105"/>
    <w:rsid w:val="00652DF2"/>
    <w:rsid w:val="00654017"/>
    <w:rsid w:val="0065559E"/>
    <w:rsid w:val="00660A4E"/>
    <w:rsid w:val="00660BF4"/>
    <w:rsid w:val="00661078"/>
    <w:rsid w:val="00661F1A"/>
    <w:rsid w:val="0066258C"/>
    <w:rsid w:val="00662DE0"/>
    <w:rsid w:val="00663435"/>
    <w:rsid w:val="0066380D"/>
    <w:rsid w:val="00663EB0"/>
    <w:rsid w:val="00663FA4"/>
    <w:rsid w:val="00664952"/>
    <w:rsid w:val="00665995"/>
    <w:rsid w:val="00665B43"/>
    <w:rsid w:val="006666D0"/>
    <w:rsid w:val="00667372"/>
    <w:rsid w:val="00667DAD"/>
    <w:rsid w:val="0067227A"/>
    <w:rsid w:val="00672BC0"/>
    <w:rsid w:val="00672FA4"/>
    <w:rsid w:val="00672FA5"/>
    <w:rsid w:val="00675EE3"/>
    <w:rsid w:val="00676C35"/>
    <w:rsid w:val="0067781E"/>
    <w:rsid w:val="00677BD1"/>
    <w:rsid w:val="006803F3"/>
    <w:rsid w:val="0068041F"/>
    <w:rsid w:val="006812DC"/>
    <w:rsid w:val="00681ECA"/>
    <w:rsid w:val="00682013"/>
    <w:rsid w:val="00685851"/>
    <w:rsid w:val="0068769F"/>
    <w:rsid w:val="006908EB"/>
    <w:rsid w:val="0069123A"/>
    <w:rsid w:val="00693B26"/>
    <w:rsid w:val="00694AB1"/>
    <w:rsid w:val="006959FD"/>
    <w:rsid w:val="00696DA6"/>
    <w:rsid w:val="00697456"/>
    <w:rsid w:val="0069779F"/>
    <w:rsid w:val="00697B2F"/>
    <w:rsid w:val="006A008C"/>
    <w:rsid w:val="006A01CF"/>
    <w:rsid w:val="006A024A"/>
    <w:rsid w:val="006A0D08"/>
    <w:rsid w:val="006A183D"/>
    <w:rsid w:val="006A1F85"/>
    <w:rsid w:val="006A253D"/>
    <w:rsid w:val="006A2A31"/>
    <w:rsid w:val="006A2CC7"/>
    <w:rsid w:val="006A3469"/>
    <w:rsid w:val="006A5167"/>
    <w:rsid w:val="006A51B9"/>
    <w:rsid w:val="006A589B"/>
    <w:rsid w:val="006A5FD1"/>
    <w:rsid w:val="006A6470"/>
    <w:rsid w:val="006A6B4B"/>
    <w:rsid w:val="006A6C4A"/>
    <w:rsid w:val="006B0508"/>
    <w:rsid w:val="006B10F4"/>
    <w:rsid w:val="006B1DB9"/>
    <w:rsid w:val="006B25F8"/>
    <w:rsid w:val="006B28C2"/>
    <w:rsid w:val="006B2C42"/>
    <w:rsid w:val="006B3BD7"/>
    <w:rsid w:val="006B5549"/>
    <w:rsid w:val="006B5A1D"/>
    <w:rsid w:val="006B6097"/>
    <w:rsid w:val="006B69F7"/>
    <w:rsid w:val="006B7846"/>
    <w:rsid w:val="006C1583"/>
    <w:rsid w:val="006C2505"/>
    <w:rsid w:val="006C3313"/>
    <w:rsid w:val="006C336F"/>
    <w:rsid w:val="006C34D2"/>
    <w:rsid w:val="006C3CA8"/>
    <w:rsid w:val="006C4956"/>
    <w:rsid w:val="006C4C58"/>
    <w:rsid w:val="006C5367"/>
    <w:rsid w:val="006C596B"/>
    <w:rsid w:val="006C66C1"/>
    <w:rsid w:val="006C6E1A"/>
    <w:rsid w:val="006C7923"/>
    <w:rsid w:val="006D042E"/>
    <w:rsid w:val="006D05BE"/>
    <w:rsid w:val="006D074A"/>
    <w:rsid w:val="006D139B"/>
    <w:rsid w:val="006D13E9"/>
    <w:rsid w:val="006D237B"/>
    <w:rsid w:val="006D350C"/>
    <w:rsid w:val="006D5202"/>
    <w:rsid w:val="006D52D9"/>
    <w:rsid w:val="006D5DC1"/>
    <w:rsid w:val="006D5F01"/>
    <w:rsid w:val="006D6106"/>
    <w:rsid w:val="006D630C"/>
    <w:rsid w:val="006D6429"/>
    <w:rsid w:val="006D6453"/>
    <w:rsid w:val="006D7710"/>
    <w:rsid w:val="006D7EFB"/>
    <w:rsid w:val="006E18A6"/>
    <w:rsid w:val="006E29F5"/>
    <w:rsid w:val="006E308E"/>
    <w:rsid w:val="006E3428"/>
    <w:rsid w:val="006E3CFD"/>
    <w:rsid w:val="006E432A"/>
    <w:rsid w:val="006E55F2"/>
    <w:rsid w:val="006F0963"/>
    <w:rsid w:val="006F0F25"/>
    <w:rsid w:val="006F355C"/>
    <w:rsid w:val="006F4B43"/>
    <w:rsid w:val="006F51D7"/>
    <w:rsid w:val="006F7D97"/>
    <w:rsid w:val="0070096B"/>
    <w:rsid w:val="00701E2C"/>
    <w:rsid w:val="00701EBF"/>
    <w:rsid w:val="007020E3"/>
    <w:rsid w:val="0070230B"/>
    <w:rsid w:val="00702706"/>
    <w:rsid w:val="0070400D"/>
    <w:rsid w:val="007041DA"/>
    <w:rsid w:val="0070490A"/>
    <w:rsid w:val="00704944"/>
    <w:rsid w:val="007059BA"/>
    <w:rsid w:val="00705E5A"/>
    <w:rsid w:val="00707217"/>
    <w:rsid w:val="00707D25"/>
    <w:rsid w:val="00710382"/>
    <w:rsid w:val="00710464"/>
    <w:rsid w:val="00712326"/>
    <w:rsid w:val="0071294A"/>
    <w:rsid w:val="00712BD0"/>
    <w:rsid w:val="00712CDE"/>
    <w:rsid w:val="00713755"/>
    <w:rsid w:val="00713ACA"/>
    <w:rsid w:val="00713D59"/>
    <w:rsid w:val="00715274"/>
    <w:rsid w:val="00715512"/>
    <w:rsid w:val="00715901"/>
    <w:rsid w:val="007176F1"/>
    <w:rsid w:val="00717709"/>
    <w:rsid w:val="00717DD8"/>
    <w:rsid w:val="007201D8"/>
    <w:rsid w:val="007213AE"/>
    <w:rsid w:val="00721618"/>
    <w:rsid w:val="00721955"/>
    <w:rsid w:val="00723AD7"/>
    <w:rsid w:val="00724295"/>
    <w:rsid w:val="00726109"/>
    <w:rsid w:val="007269AA"/>
    <w:rsid w:val="00726CE2"/>
    <w:rsid w:val="00726EB2"/>
    <w:rsid w:val="00727D3C"/>
    <w:rsid w:val="00730BFC"/>
    <w:rsid w:val="007312F9"/>
    <w:rsid w:val="00731448"/>
    <w:rsid w:val="00732119"/>
    <w:rsid w:val="00732343"/>
    <w:rsid w:val="00732372"/>
    <w:rsid w:val="00734602"/>
    <w:rsid w:val="00734701"/>
    <w:rsid w:val="00735366"/>
    <w:rsid w:val="007356B1"/>
    <w:rsid w:val="00736AF2"/>
    <w:rsid w:val="00737925"/>
    <w:rsid w:val="00737A32"/>
    <w:rsid w:val="007400AC"/>
    <w:rsid w:val="0074013E"/>
    <w:rsid w:val="00740667"/>
    <w:rsid w:val="007414A5"/>
    <w:rsid w:val="00741CB4"/>
    <w:rsid w:val="00742D21"/>
    <w:rsid w:val="00742E0D"/>
    <w:rsid w:val="00743087"/>
    <w:rsid w:val="00744678"/>
    <w:rsid w:val="00744A6B"/>
    <w:rsid w:val="00744C33"/>
    <w:rsid w:val="007456F4"/>
    <w:rsid w:val="00746F59"/>
    <w:rsid w:val="0074753C"/>
    <w:rsid w:val="007475A5"/>
    <w:rsid w:val="00750518"/>
    <w:rsid w:val="00752375"/>
    <w:rsid w:val="00752F85"/>
    <w:rsid w:val="00754109"/>
    <w:rsid w:val="00754180"/>
    <w:rsid w:val="00754AB3"/>
    <w:rsid w:val="00755407"/>
    <w:rsid w:val="0075607E"/>
    <w:rsid w:val="007563FA"/>
    <w:rsid w:val="00756820"/>
    <w:rsid w:val="0075693C"/>
    <w:rsid w:val="00757118"/>
    <w:rsid w:val="0075714E"/>
    <w:rsid w:val="007579D3"/>
    <w:rsid w:val="007579F2"/>
    <w:rsid w:val="00761260"/>
    <w:rsid w:val="0076138F"/>
    <w:rsid w:val="007624D9"/>
    <w:rsid w:val="00763146"/>
    <w:rsid w:val="007644C3"/>
    <w:rsid w:val="00764792"/>
    <w:rsid w:val="00764C61"/>
    <w:rsid w:val="00764CFC"/>
    <w:rsid w:val="00765BEC"/>
    <w:rsid w:val="0076610D"/>
    <w:rsid w:val="00766F92"/>
    <w:rsid w:val="00767678"/>
    <w:rsid w:val="007677F3"/>
    <w:rsid w:val="007702D3"/>
    <w:rsid w:val="00770BF8"/>
    <w:rsid w:val="007711BA"/>
    <w:rsid w:val="00771D42"/>
    <w:rsid w:val="00772264"/>
    <w:rsid w:val="00773353"/>
    <w:rsid w:val="0077389B"/>
    <w:rsid w:val="007738F4"/>
    <w:rsid w:val="00775108"/>
    <w:rsid w:val="007765EC"/>
    <w:rsid w:val="00776ACE"/>
    <w:rsid w:val="0077785C"/>
    <w:rsid w:val="00780447"/>
    <w:rsid w:val="007808AD"/>
    <w:rsid w:val="00780E11"/>
    <w:rsid w:val="0078156E"/>
    <w:rsid w:val="0078243A"/>
    <w:rsid w:val="007844A9"/>
    <w:rsid w:val="007844F6"/>
    <w:rsid w:val="00784F6A"/>
    <w:rsid w:val="0078584B"/>
    <w:rsid w:val="00786B2F"/>
    <w:rsid w:val="00787896"/>
    <w:rsid w:val="007878E7"/>
    <w:rsid w:val="007902DD"/>
    <w:rsid w:val="00790DF7"/>
    <w:rsid w:val="007912D2"/>
    <w:rsid w:val="00791990"/>
    <w:rsid w:val="00794AE5"/>
    <w:rsid w:val="00794D1C"/>
    <w:rsid w:val="007960B0"/>
    <w:rsid w:val="00796387"/>
    <w:rsid w:val="00797698"/>
    <w:rsid w:val="007A2D23"/>
    <w:rsid w:val="007A2EB7"/>
    <w:rsid w:val="007A324A"/>
    <w:rsid w:val="007A37F8"/>
    <w:rsid w:val="007A4B7B"/>
    <w:rsid w:val="007A4BCD"/>
    <w:rsid w:val="007A5EE9"/>
    <w:rsid w:val="007A77CA"/>
    <w:rsid w:val="007B0D99"/>
    <w:rsid w:val="007B11DB"/>
    <w:rsid w:val="007B13E5"/>
    <w:rsid w:val="007B31B6"/>
    <w:rsid w:val="007B39D4"/>
    <w:rsid w:val="007B41D6"/>
    <w:rsid w:val="007B4BD1"/>
    <w:rsid w:val="007B4F87"/>
    <w:rsid w:val="007B51BD"/>
    <w:rsid w:val="007B5699"/>
    <w:rsid w:val="007B6BB7"/>
    <w:rsid w:val="007B795E"/>
    <w:rsid w:val="007B7B65"/>
    <w:rsid w:val="007C0F99"/>
    <w:rsid w:val="007C178A"/>
    <w:rsid w:val="007C1C3D"/>
    <w:rsid w:val="007C30B0"/>
    <w:rsid w:val="007C30BD"/>
    <w:rsid w:val="007C3D51"/>
    <w:rsid w:val="007C3DC5"/>
    <w:rsid w:val="007C3F7F"/>
    <w:rsid w:val="007C486D"/>
    <w:rsid w:val="007C48E5"/>
    <w:rsid w:val="007C5C94"/>
    <w:rsid w:val="007C62FC"/>
    <w:rsid w:val="007C685E"/>
    <w:rsid w:val="007C75E1"/>
    <w:rsid w:val="007C7A17"/>
    <w:rsid w:val="007C7A75"/>
    <w:rsid w:val="007D08BE"/>
    <w:rsid w:val="007D138E"/>
    <w:rsid w:val="007D33F2"/>
    <w:rsid w:val="007D3A00"/>
    <w:rsid w:val="007D60D0"/>
    <w:rsid w:val="007D70AB"/>
    <w:rsid w:val="007D7336"/>
    <w:rsid w:val="007E1665"/>
    <w:rsid w:val="007E2908"/>
    <w:rsid w:val="007E467D"/>
    <w:rsid w:val="007E4F1C"/>
    <w:rsid w:val="007E51FE"/>
    <w:rsid w:val="007E5803"/>
    <w:rsid w:val="007E6BFF"/>
    <w:rsid w:val="007E7140"/>
    <w:rsid w:val="007E7E60"/>
    <w:rsid w:val="007F0C35"/>
    <w:rsid w:val="007F1070"/>
    <w:rsid w:val="007F1274"/>
    <w:rsid w:val="007F1DEA"/>
    <w:rsid w:val="007F2A1A"/>
    <w:rsid w:val="007F3262"/>
    <w:rsid w:val="007F33BE"/>
    <w:rsid w:val="007F37A2"/>
    <w:rsid w:val="007F4A7E"/>
    <w:rsid w:val="007F4AB1"/>
    <w:rsid w:val="007F5933"/>
    <w:rsid w:val="007F5F57"/>
    <w:rsid w:val="007F62A3"/>
    <w:rsid w:val="007F694D"/>
    <w:rsid w:val="007F6D4E"/>
    <w:rsid w:val="007F7334"/>
    <w:rsid w:val="007F73EC"/>
    <w:rsid w:val="007F78DF"/>
    <w:rsid w:val="007F7C2B"/>
    <w:rsid w:val="00800242"/>
    <w:rsid w:val="008016D4"/>
    <w:rsid w:val="0080220B"/>
    <w:rsid w:val="008028D3"/>
    <w:rsid w:val="0080356E"/>
    <w:rsid w:val="008042E1"/>
    <w:rsid w:val="00804862"/>
    <w:rsid w:val="00804B1A"/>
    <w:rsid w:val="0080552B"/>
    <w:rsid w:val="0081275E"/>
    <w:rsid w:val="00812FE3"/>
    <w:rsid w:val="00813094"/>
    <w:rsid w:val="00814FE5"/>
    <w:rsid w:val="00815D62"/>
    <w:rsid w:val="00815EB0"/>
    <w:rsid w:val="008160C9"/>
    <w:rsid w:val="00816D44"/>
    <w:rsid w:val="00820412"/>
    <w:rsid w:val="00820840"/>
    <w:rsid w:val="008215D6"/>
    <w:rsid w:val="0082176D"/>
    <w:rsid w:val="0082234F"/>
    <w:rsid w:val="00822411"/>
    <w:rsid w:val="00823079"/>
    <w:rsid w:val="00823A16"/>
    <w:rsid w:val="00823A1E"/>
    <w:rsid w:val="00825B04"/>
    <w:rsid w:val="00825BE2"/>
    <w:rsid w:val="00825DFE"/>
    <w:rsid w:val="008261FB"/>
    <w:rsid w:val="00826AA3"/>
    <w:rsid w:val="008271C8"/>
    <w:rsid w:val="00827215"/>
    <w:rsid w:val="00827583"/>
    <w:rsid w:val="00827688"/>
    <w:rsid w:val="00827BB2"/>
    <w:rsid w:val="00830730"/>
    <w:rsid w:val="0083077F"/>
    <w:rsid w:val="00830EA5"/>
    <w:rsid w:val="00831030"/>
    <w:rsid w:val="00831FE8"/>
    <w:rsid w:val="0083314E"/>
    <w:rsid w:val="00833DB9"/>
    <w:rsid w:val="00835548"/>
    <w:rsid w:val="00837665"/>
    <w:rsid w:val="008403BD"/>
    <w:rsid w:val="00840C13"/>
    <w:rsid w:val="0084167C"/>
    <w:rsid w:val="00841EC7"/>
    <w:rsid w:val="0084204D"/>
    <w:rsid w:val="008424AB"/>
    <w:rsid w:val="008429A5"/>
    <w:rsid w:val="00842E7E"/>
    <w:rsid w:val="00842ECD"/>
    <w:rsid w:val="00843DE3"/>
    <w:rsid w:val="0084430F"/>
    <w:rsid w:val="00844606"/>
    <w:rsid w:val="008450AD"/>
    <w:rsid w:val="00847531"/>
    <w:rsid w:val="008475D7"/>
    <w:rsid w:val="00851081"/>
    <w:rsid w:val="0085159C"/>
    <w:rsid w:val="00851A78"/>
    <w:rsid w:val="00852170"/>
    <w:rsid w:val="0085223E"/>
    <w:rsid w:val="0085325D"/>
    <w:rsid w:val="00853371"/>
    <w:rsid w:val="008535B4"/>
    <w:rsid w:val="008544AD"/>
    <w:rsid w:val="0085450A"/>
    <w:rsid w:val="00854771"/>
    <w:rsid w:val="00854779"/>
    <w:rsid w:val="00855227"/>
    <w:rsid w:val="00855EAF"/>
    <w:rsid w:val="00856997"/>
    <w:rsid w:val="00856AA1"/>
    <w:rsid w:val="00857A1C"/>
    <w:rsid w:val="0086216C"/>
    <w:rsid w:val="0086228F"/>
    <w:rsid w:val="00862D68"/>
    <w:rsid w:val="0086368F"/>
    <w:rsid w:val="0086392C"/>
    <w:rsid w:val="00863D6C"/>
    <w:rsid w:val="008659CC"/>
    <w:rsid w:val="00866A62"/>
    <w:rsid w:val="00866EEB"/>
    <w:rsid w:val="00871EEE"/>
    <w:rsid w:val="00873401"/>
    <w:rsid w:val="0087376E"/>
    <w:rsid w:val="00873F0D"/>
    <w:rsid w:val="00874105"/>
    <w:rsid w:val="008746CF"/>
    <w:rsid w:val="00875973"/>
    <w:rsid w:val="00877553"/>
    <w:rsid w:val="0087787B"/>
    <w:rsid w:val="0088011B"/>
    <w:rsid w:val="008801F0"/>
    <w:rsid w:val="00882609"/>
    <w:rsid w:val="00882D19"/>
    <w:rsid w:val="00882DA0"/>
    <w:rsid w:val="00885484"/>
    <w:rsid w:val="008873F1"/>
    <w:rsid w:val="00887749"/>
    <w:rsid w:val="00887987"/>
    <w:rsid w:val="008903B9"/>
    <w:rsid w:val="00890DBE"/>
    <w:rsid w:val="008911ED"/>
    <w:rsid w:val="00891524"/>
    <w:rsid w:val="00891EE8"/>
    <w:rsid w:val="008921B6"/>
    <w:rsid w:val="00892AC2"/>
    <w:rsid w:val="008937E3"/>
    <w:rsid w:val="008939AB"/>
    <w:rsid w:val="0089483D"/>
    <w:rsid w:val="0089514B"/>
    <w:rsid w:val="00895812"/>
    <w:rsid w:val="00895838"/>
    <w:rsid w:val="00895F34"/>
    <w:rsid w:val="00896996"/>
    <w:rsid w:val="00897923"/>
    <w:rsid w:val="008A03B4"/>
    <w:rsid w:val="008A03BF"/>
    <w:rsid w:val="008A2AEB"/>
    <w:rsid w:val="008A2E73"/>
    <w:rsid w:val="008A3635"/>
    <w:rsid w:val="008A3E69"/>
    <w:rsid w:val="008A485A"/>
    <w:rsid w:val="008A69C4"/>
    <w:rsid w:val="008A6C46"/>
    <w:rsid w:val="008B07E5"/>
    <w:rsid w:val="008B094D"/>
    <w:rsid w:val="008B0FEC"/>
    <w:rsid w:val="008B1474"/>
    <w:rsid w:val="008B1629"/>
    <w:rsid w:val="008B2BA6"/>
    <w:rsid w:val="008B3109"/>
    <w:rsid w:val="008B3433"/>
    <w:rsid w:val="008B581A"/>
    <w:rsid w:val="008B72A5"/>
    <w:rsid w:val="008B7429"/>
    <w:rsid w:val="008C0ECC"/>
    <w:rsid w:val="008C1389"/>
    <w:rsid w:val="008C15C5"/>
    <w:rsid w:val="008C2B87"/>
    <w:rsid w:val="008C3178"/>
    <w:rsid w:val="008C596A"/>
    <w:rsid w:val="008C60BB"/>
    <w:rsid w:val="008C6B3F"/>
    <w:rsid w:val="008D02B5"/>
    <w:rsid w:val="008D07E0"/>
    <w:rsid w:val="008D1111"/>
    <w:rsid w:val="008D1576"/>
    <w:rsid w:val="008D1B8D"/>
    <w:rsid w:val="008D1D6A"/>
    <w:rsid w:val="008D2154"/>
    <w:rsid w:val="008D24A6"/>
    <w:rsid w:val="008D5175"/>
    <w:rsid w:val="008D7DF4"/>
    <w:rsid w:val="008D7E87"/>
    <w:rsid w:val="008E06B9"/>
    <w:rsid w:val="008E0A57"/>
    <w:rsid w:val="008E1E94"/>
    <w:rsid w:val="008E25CC"/>
    <w:rsid w:val="008E544A"/>
    <w:rsid w:val="008F0703"/>
    <w:rsid w:val="008F1823"/>
    <w:rsid w:val="008F18C8"/>
    <w:rsid w:val="008F1924"/>
    <w:rsid w:val="008F2053"/>
    <w:rsid w:val="008F244E"/>
    <w:rsid w:val="008F29FD"/>
    <w:rsid w:val="008F348B"/>
    <w:rsid w:val="008F62AF"/>
    <w:rsid w:val="008F6447"/>
    <w:rsid w:val="008F6DD7"/>
    <w:rsid w:val="008F785A"/>
    <w:rsid w:val="008F7ABD"/>
    <w:rsid w:val="00900280"/>
    <w:rsid w:val="00903187"/>
    <w:rsid w:val="009041D0"/>
    <w:rsid w:val="0090667C"/>
    <w:rsid w:val="00906C57"/>
    <w:rsid w:val="009071D3"/>
    <w:rsid w:val="0090786B"/>
    <w:rsid w:val="009078BE"/>
    <w:rsid w:val="00910D98"/>
    <w:rsid w:val="00911279"/>
    <w:rsid w:val="00911F58"/>
    <w:rsid w:val="009143E9"/>
    <w:rsid w:val="009153A4"/>
    <w:rsid w:val="009157F1"/>
    <w:rsid w:val="00915AA6"/>
    <w:rsid w:val="00915D13"/>
    <w:rsid w:val="0091600A"/>
    <w:rsid w:val="009163FD"/>
    <w:rsid w:val="00916461"/>
    <w:rsid w:val="0091725B"/>
    <w:rsid w:val="00920344"/>
    <w:rsid w:val="00920C64"/>
    <w:rsid w:val="009211CA"/>
    <w:rsid w:val="0092248F"/>
    <w:rsid w:val="00922EEE"/>
    <w:rsid w:val="00923EE3"/>
    <w:rsid w:val="009243A2"/>
    <w:rsid w:val="00924F65"/>
    <w:rsid w:val="00925225"/>
    <w:rsid w:val="0092537F"/>
    <w:rsid w:val="009302A1"/>
    <w:rsid w:val="00931EDE"/>
    <w:rsid w:val="009321AC"/>
    <w:rsid w:val="00932C8B"/>
    <w:rsid w:val="00933177"/>
    <w:rsid w:val="0093517B"/>
    <w:rsid w:val="0093578A"/>
    <w:rsid w:val="00935B94"/>
    <w:rsid w:val="00936573"/>
    <w:rsid w:val="00936AD5"/>
    <w:rsid w:val="009370FD"/>
    <w:rsid w:val="00940141"/>
    <w:rsid w:val="0094030B"/>
    <w:rsid w:val="00940459"/>
    <w:rsid w:val="00941000"/>
    <w:rsid w:val="00941315"/>
    <w:rsid w:val="009415AA"/>
    <w:rsid w:val="00942014"/>
    <w:rsid w:val="009439A1"/>
    <w:rsid w:val="00944B02"/>
    <w:rsid w:val="00945D03"/>
    <w:rsid w:val="00945D68"/>
    <w:rsid w:val="0094610E"/>
    <w:rsid w:val="0094648A"/>
    <w:rsid w:val="00946E31"/>
    <w:rsid w:val="009476E9"/>
    <w:rsid w:val="00947905"/>
    <w:rsid w:val="00947E9B"/>
    <w:rsid w:val="0095070F"/>
    <w:rsid w:val="00950CC6"/>
    <w:rsid w:val="0095156F"/>
    <w:rsid w:val="0095187A"/>
    <w:rsid w:val="00951967"/>
    <w:rsid w:val="00952669"/>
    <w:rsid w:val="009541E7"/>
    <w:rsid w:val="00954C0A"/>
    <w:rsid w:val="00954E68"/>
    <w:rsid w:val="0095537F"/>
    <w:rsid w:val="00955683"/>
    <w:rsid w:val="00955C46"/>
    <w:rsid w:val="00956F75"/>
    <w:rsid w:val="00957CEE"/>
    <w:rsid w:val="00960590"/>
    <w:rsid w:val="00960A7F"/>
    <w:rsid w:val="00960E68"/>
    <w:rsid w:val="009611F9"/>
    <w:rsid w:val="009623B9"/>
    <w:rsid w:val="00962536"/>
    <w:rsid w:val="00962654"/>
    <w:rsid w:val="0096291B"/>
    <w:rsid w:val="00964C2F"/>
    <w:rsid w:val="00964C9F"/>
    <w:rsid w:val="009659A8"/>
    <w:rsid w:val="00966BA7"/>
    <w:rsid w:val="00967A9D"/>
    <w:rsid w:val="00970252"/>
    <w:rsid w:val="0097093A"/>
    <w:rsid w:val="00970E8D"/>
    <w:rsid w:val="00970E9F"/>
    <w:rsid w:val="009712BC"/>
    <w:rsid w:val="0097144D"/>
    <w:rsid w:val="009721B1"/>
    <w:rsid w:val="009729D1"/>
    <w:rsid w:val="00973149"/>
    <w:rsid w:val="00973833"/>
    <w:rsid w:val="009738DC"/>
    <w:rsid w:val="00973993"/>
    <w:rsid w:val="00973DF6"/>
    <w:rsid w:val="00974005"/>
    <w:rsid w:val="00974B66"/>
    <w:rsid w:val="00975FCF"/>
    <w:rsid w:val="009760D5"/>
    <w:rsid w:val="009771AA"/>
    <w:rsid w:val="00980391"/>
    <w:rsid w:val="0098067E"/>
    <w:rsid w:val="009808A4"/>
    <w:rsid w:val="0098168F"/>
    <w:rsid w:val="0098313C"/>
    <w:rsid w:val="009848A4"/>
    <w:rsid w:val="00985115"/>
    <w:rsid w:val="00985133"/>
    <w:rsid w:val="009859B6"/>
    <w:rsid w:val="00985C1E"/>
    <w:rsid w:val="009860C3"/>
    <w:rsid w:val="00987250"/>
    <w:rsid w:val="009908B0"/>
    <w:rsid w:val="00990C6A"/>
    <w:rsid w:val="009911DB"/>
    <w:rsid w:val="009918BC"/>
    <w:rsid w:val="009925F0"/>
    <w:rsid w:val="00992AA5"/>
    <w:rsid w:val="0099355D"/>
    <w:rsid w:val="00994757"/>
    <w:rsid w:val="0099503D"/>
    <w:rsid w:val="0099515A"/>
    <w:rsid w:val="00996278"/>
    <w:rsid w:val="009A05FD"/>
    <w:rsid w:val="009A0A69"/>
    <w:rsid w:val="009A11F1"/>
    <w:rsid w:val="009A190D"/>
    <w:rsid w:val="009A3502"/>
    <w:rsid w:val="009A38CE"/>
    <w:rsid w:val="009A4B6E"/>
    <w:rsid w:val="009A52CA"/>
    <w:rsid w:val="009A62F5"/>
    <w:rsid w:val="009A6FD1"/>
    <w:rsid w:val="009A70A3"/>
    <w:rsid w:val="009A736B"/>
    <w:rsid w:val="009A77DF"/>
    <w:rsid w:val="009A7B3D"/>
    <w:rsid w:val="009A7BD2"/>
    <w:rsid w:val="009B07A8"/>
    <w:rsid w:val="009B07B6"/>
    <w:rsid w:val="009B1986"/>
    <w:rsid w:val="009B1F35"/>
    <w:rsid w:val="009B289A"/>
    <w:rsid w:val="009B3083"/>
    <w:rsid w:val="009B342A"/>
    <w:rsid w:val="009B44BB"/>
    <w:rsid w:val="009B44DF"/>
    <w:rsid w:val="009B504B"/>
    <w:rsid w:val="009B51F1"/>
    <w:rsid w:val="009B555E"/>
    <w:rsid w:val="009B604F"/>
    <w:rsid w:val="009B6079"/>
    <w:rsid w:val="009B6C05"/>
    <w:rsid w:val="009B7304"/>
    <w:rsid w:val="009B7C2D"/>
    <w:rsid w:val="009C03D1"/>
    <w:rsid w:val="009C1719"/>
    <w:rsid w:val="009C4169"/>
    <w:rsid w:val="009C4C65"/>
    <w:rsid w:val="009C4CAD"/>
    <w:rsid w:val="009C59F2"/>
    <w:rsid w:val="009C7CCD"/>
    <w:rsid w:val="009D1454"/>
    <w:rsid w:val="009D3119"/>
    <w:rsid w:val="009D3F01"/>
    <w:rsid w:val="009D43C3"/>
    <w:rsid w:val="009D51C5"/>
    <w:rsid w:val="009D5EEE"/>
    <w:rsid w:val="009D623D"/>
    <w:rsid w:val="009D6F9A"/>
    <w:rsid w:val="009E1264"/>
    <w:rsid w:val="009E25A6"/>
    <w:rsid w:val="009E30F3"/>
    <w:rsid w:val="009E377E"/>
    <w:rsid w:val="009E4517"/>
    <w:rsid w:val="009E4DB2"/>
    <w:rsid w:val="009E50D4"/>
    <w:rsid w:val="009E589D"/>
    <w:rsid w:val="009E5D91"/>
    <w:rsid w:val="009E6052"/>
    <w:rsid w:val="009E69B4"/>
    <w:rsid w:val="009E73D4"/>
    <w:rsid w:val="009E78C8"/>
    <w:rsid w:val="009F0F61"/>
    <w:rsid w:val="009F1D47"/>
    <w:rsid w:val="009F22A4"/>
    <w:rsid w:val="009F26DF"/>
    <w:rsid w:val="009F2922"/>
    <w:rsid w:val="009F32E8"/>
    <w:rsid w:val="009F47BF"/>
    <w:rsid w:val="009F47E5"/>
    <w:rsid w:val="009F49C5"/>
    <w:rsid w:val="009F5105"/>
    <w:rsid w:val="009F530B"/>
    <w:rsid w:val="009F60D8"/>
    <w:rsid w:val="009F65FD"/>
    <w:rsid w:val="009F68F2"/>
    <w:rsid w:val="009F6A5B"/>
    <w:rsid w:val="00A0231D"/>
    <w:rsid w:val="00A034D8"/>
    <w:rsid w:val="00A03933"/>
    <w:rsid w:val="00A03ED6"/>
    <w:rsid w:val="00A05CD1"/>
    <w:rsid w:val="00A064EF"/>
    <w:rsid w:val="00A103CB"/>
    <w:rsid w:val="00A10D2B"/>
    <w:rsid w:val="00A12A06"/>
    <w:rsid w:val="00A13008"/>
    <w:rsid w:val="00A1356A"/>
    <w:rsid w:val="00A13EE8"/>
    <w:rsid w:val="00A14081"/>
    <w:rsid w:val="00A1423A"/>
    <w:rsid w:val="00A15B9C"/>
    <w:rsid w:val="00A15C7A"/>
    <w:rsid w:val="00A168FF"/>
    <w:rsid w:val="00A17089"/>
    <w:rsid w:val="00A179BA"/>
    <w:rsid w:val="00A17D7C"/>
    <w:rsid w:val="00A20015"/>
    <w:rsid w:val="00A21372"/>
    <w:rsid w:val="00A21ED2"/>
    <w:rsid w:val="00A22F56"/>
    <w:rsid w:val="00A233E9"/>
    <w:rsid w:val="00A247C3"/>
    <w:rsid w:val="00A258A9"/>
    <w:rsid w:val="00A27622"/>
    <w:rsid w:val="00A30731"/>
    <w:rsid w:val="00A30AF2"/>
    <w:rsid w:val="00A30DAA"/>
    <w:rsid w:val="00A31243"/>
    <w:rsid w:val="00A314A3"/>
    <w:rsid w:val="00A315CF"/>
    <w:rsid w:val="00A316E2"/>
    <w:rsid w:val="00A31890"/>
    <w:rsid w:val="00A32C7A"/>
    <w:rsid w:val="00A344AD"/>
    <w:rsid w:val="00A3457F"/>
    <w:rsid w:val="00A35BD8"/>
    <w:rsid w:val="00A35DF0"/>
    <w:rsid w:val="00A367A4"/>
    <w:rsid w:val="00A37304"/>
    <w:rsid w:val="00A379A7"/>
    <w:rsid w:val="00A40FFC"/>
    <w:rsid w:val="00A42FDF"/>
    <w:rsid w:val="00A43B19"/>
    <w:rsid w:val="00A44CFF"/>
    <w:rsid w:val="00A451AE"/>
    <w:rsid w:val="00A45A2E"/>
    <w:rsid w:val="00A45E66"/>
    <w:rsid w:val="00A4677E"/>
    <w:rsid w:val="00A47B5C"/>
    <w:rsid w:val="00A51A12"/>
    <w:rsid w:val="00A52037"/>
    <w:rsid w:val="00A52B79"/>
    <w:rsid w:val="00A5537D"/>
    <w:rsid w:val="00A554A1"/>
    <w:rsid w:val="00A559BD"/>
    <w:rsid w:val="00A56406"/>
    <w:rsid w:val="00A57B5D"/>
    <w:rsid w:val="00A607DB"/>
    <w:rsid w:val="00A60FCC"/>
    <w:rsid w:val="00A61070"/>
    <w:rsid w:val="00A61316"/>
    <w:rsid w:val="00A62922"/>
    <w:rsid w:val="00A63DA6"/>
    <w:rsid w:val="00A65CEF"/>
    <w:rsid w:val="00A67871"/>
    <w:rsid w:val="00A678B9"/>
    <w:rsid w:val="00A700CC"/>
    <w:rsid w:val="00A70186"/>
    <w:rsid w:val="00A70E28"/>
    <w:rsid w:val="00A7126B"/>
    <w:rsid w:val="00A7161E"/>
    <w:rsid w:val="00A71B4D"/>
    <w:rsid w:val="00A7282E"/>
    <w:rsid w:val="00A7319E"/>
    <w:rsid w:val="00A74993"/>
    <w:rsid w:val="00A75EAE"/>
    <w:rsid w:val="00A76826"/>
    <w:rsid w:val="00A774A5"/>
    <w:rsid w:val="00A7799B"/>
    <w:rsid w:val="00A77CA8"/>
    <w:rsid w:val="00A808D3"/>
    <w:rsid w:val="00A85CD5"/>
    <w:rsid w:val="00A86147"/>
    <w:rsid w:val="00A86324"/>
    <w:rsid w:val="00A870F8"/>
    <w:rsid w:val="00A90593"/>
    <w:rsid w:val="00A920DC"/>
    <w:rsid w:val="00A92AC4"/>
    <w:rsid w:val="00A93303"/>
    <w:rsid w:val="00A933BE"/>
    <w:rsid w:val="00A93615"/>
    <w:rsid w:val="00A93907"/>
    <w:rsid w:val="00A93B35"/>
    <w:rsid w:val="00A95492"/>
    <w:rsid w:val="00A95F20"/>
    <w:rsid w:val="00A95F55"/>
    <w:rsid w:val="00A962E3"/>
    <w:rsid w:val="00A964BF"/>
    <w:rsid w:val="00A97355"/>
    <w:rsid w:val="00A973F1"/>
    <w:rsid w:val="00A977F4"/>
    <w:rsid w:val="00AA0E32"/>
    <w:rsid w:val="00AA104F"/>
    <w:rsid w:val="00AA11D5"/>
    <w:rsid w:val="00AA18B9"/>
    <w:rsid w:val="00AA19C8"/>
    <w:rsid w:val="00AA1C59"/>
    <w:rsid w:val="00AA3E37"/>
    <w:rsid w:val="00AA5D1F"/>
    <w:rsid w:val="00AA6138"/>
    <w:rsid w:val="00AA61A4"/>
    <w:rsid w:val="00AA75D4"/>
    <w:rsid w:val="00AA7A52"/>
    <w:rsid w:val="00AB0632"/>
    <w:rsid w:val="00AB08B9"/>
    <w:rsid w:val="00AB2690"/>
    <w:rsid w:val="00AB2E96"/>
    <w:rsid w:val="00AB352A"/>
    <w:rsid w:val="00AB68B8"/>
    <w:rsid w:val="00AC088F"/>
    <w:rsid w:val="00AC1DE0"/>
    <w:rsid w:val="00AC1F74"/>
    <w:rsid w:val="00AC20A4"/>
    <w:rsid w:val="00AC4E9B"/>
    <w:rsid w:val="00AC535B"/>
    <w:rsid w:val="00AC5465"/>
    <w:rsid w:val="00AC5D6F"/>
    <w:rsid w:val="00AD0F10"/>
    <w:rsid w:val="00AD12BC"/>
    <w:rsid w:val="00AD1719"/>
    <w:rsid w:val="00AD2E8C"/>
    <w:rsid w:val="00AD3FFC"/>
    <w:rsid w:val="00AD4C16"/>
    <w:rsid w:val="00AD5065"/>
    <w:rsid w:val="00AD5CA5"/>
    <w:rsid w:val="00AD5F0B"/>
    <w:rsid w:val="00AD653B"/>
    <w:rsid w:val="00AD7C72"/>
    <w:rsid w:val="00AE03DD"/>
    <w:rsid w:val="00AE11CA"/>
    <w:rsid w:val="00AE27D4"/>
    <w:rsid w:val="00AE2958"/>
    <w:rsid w:val="00AE4B4D"/>
    <w:rsid w:val="00AE7DE7"/>
    <w:rsid w:val="00AF02CC"/>
    <w:rsid w:val="00AF074E"/>
    <w:rsid w:val="00AF07FB"/>
    <w:rsid w:val="00AF1AF7"/>
    <w:rsid w:val="00AF1F38"/>
    <w:rsid w:val="00AF451A"/>
    <w:rsid w:val="00AF49AF"/>
    <w:rsid w:val="00AF57A6"/>
    <w:rsid w:val="00AF5927"/>
    <w:rsid w:val="00AF5E4F"/>
    <w:rsid w:val="00AF6155"/>
    <w:rsid w:val="00AF7CB1"/>
    <w:rsid w:val="00AF7DC8"/>
    <w:rsid w:val="00B00080"/>
    <w:rsid w:val="00B006DF"/>
    <w:rsid w:val="00B00985"/>
    <w:rsid w:val="00B00CB4"/>
    <w:rsid w:val="00B017C2"/>
    <w:rsid w:val="00B02B07"/>
    <w:rsid w:val="00B03F67"/>
    <w:rsid w:val="00B04DA1"/>
    <w:rsid w:val="00B06489"/>
    <w:rsid w:val="00B071C8"/>
    <w:rsid w:val="00B10015"/>
    <w:rsid w:val="00B104D1"/>
    <w:rsid w:val="00B10923"/>
    <w:rsid w:val="00B11CA0"/>
    <w:rsid w:val="00B12964"/>
    <w:rsid w:val="00B15358"/>
    <w:rsid w:val="00B1550A"/>
    <w:rsid w:val="00B156F9"/>
    <w:rsid w:val="00B178A3"/>
    <w:rsid w:val="00B17AAE"/>
    <w:rsid w:val="00B17C92"/>
    <w:rsid w:val="00B209C2"/>
    <w:rsid w:val="00B21AA6"/>
    <w:rsid w:val="00B21B57"/>
    <w:rsid w:val="00B2289B"/>
    <w:rsid w:val="00B23014"/>
    <w:rsid w:val="00B24FDC"/>
    <w:rsid w:val="00B25E41"/>
    <w:rsid w:val="00B2718D"/>
    <w:rsid w:val="00B3080A"/>
    <w:rsid w:val="00B30B90"/>
    <w:rsid w:val="00B318AD"/>
    <w:rsid w:val="00B32135"/>
    <w:rsid w:val="00B32A78"/>
    <w:rsid w:val="00B32DE5"/>
    <w:rsid w:val="00B32EE1"/>
    <w:rsid w:val="00B33888"/>
    <w:rsid w:val="00B34485"/>
    <w:rsid w:val="00B34537"/>
    <w:rsid w:val="00B34987"/>
    <w:rsid w:val="00B35209"/>
    <w:rsid w:val="00B35622"/>
    <w:rsid w:val="00B35647"/>
    <w:rsid w:val="00B35B0B"/>
    <w:rsid w:val="00B35BF3"/>
    <w:rsid w:val="00B36191"/>
    <w:rsid w:val="00B36D3B"/>
    <w:rsid w:val="00B37089"/>
    <w:rsid w:val="00B372BC"/>
    <w:rsid w:val="00B375F4"/>
    <w:rsid w:val="00B37917"/>
    <w:rsid w:val="00B37D87"/>
    <w:rsid w:val="00B37EF1"/>
    <w:rsid w:val="00B40D90"/>
    <w:rsid w:val="00B41BA4"/>
    <w:rsid w:val="00B42678"/>
    <w:rsid w:val="00B42C5B"/>
    <w:rsid w:val="00B432DF"/>
    <w:rsid w:val="00B434C2"/>
    <w:rsid w:val="00B44C7B"/>
    <w:rsid w:val="00B462E5"/>
    <w:rsid w:val="00B46EC5"/>
    <w:rsid w:val="00B4735F"/>
    <w:rsid w:val="00B47FC4"/>
    <w:rsid w:val="00B50129"/>
    <w:rsid w:val="00B50150"/>
    <w:rsid w:val="00B51934"/>
    <w:rsid w:val="00B51CC6"/>
    <w:rsid w:val="00B51EB1"/>
    <w:rsid w:val="00B52613"/>
    <w:rsid w:val="00B532CF"/>
    <w:rsid w:val="00B53654"/>
    <w:rsid w:val="00B536D7"/>
    <w:rsid w:val="00B54A74"/>
    <w:rsid w:val="00B54CFF"/>
    <w:rsid w:val="00B5524B"/>
    <w:rsid w:val="00B556A8"/>
    <w:rsid w:val="00B560F1"/>
    <w:rsid w:val="00B56296"/>
    <w:rsid w:val="00B57641"/>
    <w:rsid w:val="00B57B35"/>
    <w:rsid w:val="00B60EF4"/>
    <w:rsid w:val="00B61274"/>
    <w:rsid w:val="00B6147C"/>
    <w:rsid w:val="00B62188"/>
    <w:rsid w:val="00B6224C"/>
    <w:rsid w:val="00B627F2"/>
    <w:rsid w:val="00B6393A"/>
    <w:rsid w:val="00B64A28"/>
    <w:rsid w:val="00B64E97"/>
    <w:rsid w:val="00B64ED9"/>
    <w:rsid w:val="00B674A7"/>
    <w:rsid w:val="00B6781B"/>
    <w:rsid w:val="00B67ADD"/>
    <w:rsid w:val="00B70D0C"/>
    <w:rsid w:val="00B70F2C"/>
    <w:rsid w:val="00B73C2D"/>
    <w:rsid w:val="00B74290"/>
    <w:rsid w:val="00B756B1"/>
    <w:rsid w:val="00B76BDD"/>
    <w:rsid w:val="00B7750A"/>
    <w:rsid w:val="00B80ADA"/>
    <w:rsid w:val="00B8182E"/>
    <w:rsid w:val="00B81846"/>
    <w:rsid w:val="00B825E8"/>
    <w:rsid w:val="00B82CF1"/>
    <w:rsid w:val="00B855B8"/>
    <w:rsid w:val="00B85A89"/>
    <w:rsid w:val="00B85EEA"/>
    <w:rsid w:val="00B863F8"/>
    <w:rsid w:val="00B87448"/>
    <w:rsid w:val="00B874E0"/>
    <w:rsid w:val="00B87A7A"/>
    <w:rsid w:val="00B87E88"/>
    <w:rsid w:val="00B87FF8"/>
    <w:rsid w:val="00B90233"/>
    <w:rsid w:val="00B903AC"/>
    <w:rsid w:val="00B911CA"/>
    <w:rsid w:val="00B93398"/>
    <w:rsid w:val="00B93538"/>
    <w:rsid w:val="00B9443A"/>
    <w:rsid w:val="00B94AA0"/>
    <w:rsid w:val="00B95813"/>
    <w:rsid w:val="00B9591C"/>
    <w:rsid w:val="00B95BB2"/>
    <w:rsid w:val="00B95EA8"/>
    <w:rsid w:val="00BA00D6"/>
    <w:rsid w:val="00BA0449"/>
    <w:rsid w:val="00BA2033"/>
    <w:rsid w:val="00BA2563"/>
    <w:rsid w:val="00BA30A1"/>
    <w:rsid w:val="00BA3F9E"/>
    <w:rsid w:val="00BA4994"/>
    <w:rsid w:val="00BA4FEE"/>
    <w:rsid w:val="00BA5462"/>
    <w:rsid w:val="00BA5C78"/>
    <w:rsid w:val="00BA66E0"/>
    <w:rsid w:val="00BA67AD"/>
    <w:rsid w:val="00BA684C"/>
    <w:rsid w:val="00BA6A6A"/>
    <w:rsid w:val="00BA6F42"/>
    <w:rsid w:val="00BA780E"/>
    <w:rsid w:val="00BA7A5F"/>
    <w:rsid w:val="00BB0408"/>
    <w:rsid w:val="00BB0C74"/>
    <w:rsid w:val="00BB1604"/>
    <w:rsid w:val="00BB1AEA"/>
    <w:rsid w:val="00BB2EB2"/>
    <w:rsid w:val="00BB334C"/>
    <w:rsid w:val="00BB35B7"/>
    <w:rsid w:val="00BB3D0A"/>
    <w:rsid w:val="00BB4120"/>
    <w:rsid w:val="00BB44B0"/>
    <w:rsid w:val="00BB46E5"/>
    <w:rsid w:val="00BB5FCD"/>
    <w:rsid w:val="00BB633C"/>
    <w:rsid w:val="00BB6A41"/>
    <w:rsid w:val="00BB6DB7"/>
    <w:rsid w:val="00BB7663"/>
    <w:rsid w:val="00BB77F0"/>
    <w:rsid w:val="00BC08AD"/>
    <w:rsid w:val="00BC450E"/>
    <w:rsid w:val="00BC4AD4"/>
    <w:rsid w:val="00BC5425"/>
    <w:rsid w:val="00BC6854"/>
    <w:rsid w:val="00BC7540"/>
    <w:rsid w:val="00BC7571"/>
    <w:rsid w:val="00BC7651"/>
    <w:rsid w:val="00BD1E88"/>
    <w:rsid w:val="00BD240D"/>
    <w:rsid w:val="00BD2C25"/>
    <w:rsid w:val="00BD3BD5"/>
    <w:rsid w:val="00BD4558"/>
    <w:rsid w:val="00BD562A"/>
    <w:rsid w:val="00BD6D0D"/>
    <w:rsid w:val="00BD73AF"/>
    <w:rsid w:val="00BE0ED3"/>
    <w:rsid w:val="00BE1F72"/>
    <w:rsid w:val="00BE238B"/>
    <w:rsid w:val="00BE2BA3"/>
    <w:rsid w:val="00BE33D2"/>
    <w:rsid w:val="00BE3940"/>
    <w:rsid w:val="00BE3ABC"/>
    <w:rsid w:val="00BE4891"/>
    <w:rsid w:val="00BE5306"/>
    <w:rsid w:val="00BE5321"/>
    <w:rsid w:val="00BE5720"/>
    <w:rsid w:val="00BE57DB"/>
    <w:rsid w:val="00BF0E3B"/>
    <w:rsid w:val="00BF0F56"/>
    <w:rsid w:val="00BF1198"/>
    <w:rsid w:val="00BF1A23"/>
    <w:rsid w:val="00BF29B7"/>
    <w:rsid w:val="00BF3052"/>
    <w:rsid w:val="00BF5DE4"/>
    <w:rsid w:val="00BF680A"/>
    <w:rsid w:val="00C025B3"/>
    <w:rsid w:val="00C02CB4"/>
    <w:rsid w:val="00C03C19"/>
    <w:rsid w:val="00C059AB"/>
    <w:rsid w:val="00C06E19"/>
    <w:rsid w:val="00C1099D"/>
    <w:rsid w:val="00C10B91"/>
    <w:rsid w:val="00C11A7F"/>
    <w:rsid w:val="00C12E91"/>
    <w:rsid w:val="00C1401C"/>
    <w:rsid w:val="00C143EF"/>
    <w:rsid w:val="00C1523A"/>
    <w:rsid w:val="00C15781"/>
    <w:rsid w:val="00C2125F"/>
    <w:rsid w:val="00C2139E"/>
    <w:rsid w:val="00C2157C"/>
    <w:rsid w:val="00C2157D"/>
    <w:rsid w:val="00C21F16"/>
    <w:rsid w:val="00C228DD"/>
    <w:rsid w:val="00C23458"/>
    <w:rsid w:val="00C24609"/>
    <w:rsid w:val="00C24DA2"/>
    <w:rsid w:val="00C24FD4"/>
    <w:rsid w:val="00C2752B"/>
    <w:rsid w:val="00C27FE6"/>
    <w:rsid w:val="00C301A8"/>
    <w:rsid w:val="00C30373"/>
    <w:rsid w:val="00C30387"/>
    <w:rsid w:val="00C30829"/>
    <w:rsid w:val="00C317B8"/>
    <w:rsid w:val="00C33886"/>
    <w:rsid w:val="00C346BB"/>
    <w:rsid w:val="00C3514D"/>
    <w:rsid w:val="00C3572C"/>
    <w:rsid w:val="00C35A8D"/>
    <w:rsid w:val="00C35C46"/>
    <w:rsid w:val="00C36589"/>
    <w:rsid w:val="00C36D55"/>
    <w:rsid w:val="00C3705C"/>
    <w:rsid w:val="00C404A9"/>
    <w:rsid w:val="00C40B19"/>
    <w:rsid w:val="00C40C17"/>
    <w:rsid w:val="00C41959"/>
    <w:rsid w:val="00C41D39"/>
    <w:rsid w:val="00C43B51"/>
    <w:rsid w:val="00C4485C"/>
    <w:rsid w:val="00C47790"/>
    <w:rsid w:val="00C47BF6"/>
    <w:rsid w:val="00C50029"/>
    <w:rsid w:val="00C500CC"/>
    <w:rsid w:val="00C52877"/>
    <w:rsid w:val="00C5393D"/>
    <w:rsid w:val="00C5394E"/>
    <w:rsid w:val="00C541D6"/>
    <w:rsid w:val="00C54202"/>
    <w:rsid w:val="00C55CBF"/>
    <w:rsid w:val="00C5638A"/>
    <w:rsid w:val="00C573AC"/>
    <w:rsid w:val="00C57D87"/>
    <w:rsid w:val="00C57F91"/>
    <w:rsid w:val="00C6009A"/>
    <w:rsid w:val="00C63D05"/>
    <w:rsid w:val="00C646B9"/>
    <w:rsid w:val="00C64B20"/>
    <w:rsid w:val="00C64C69"/>
    <w:rsid w:val="00C656EE"/>
    <w:rsid w:val="00C667E5"/>
    <w:rsid w:val="00C67012"/>
    <w:rsid w:val="00C678FB"/>
    <w:rsid w:val="00C679CA"/>
    <w:rsid w:val="00C71869"/>
    <w:rsid w:val="00C72D2A"/>
    <w:rsid w:val="00C738D6"/>
    <w:rsid w:val="00C73A9F"/>
    <w:rsid w:val="00C73AD3"/>
    <w:rsid w:val="00C74302"/>
    <w:rsid w:val="00C749B2"/>
    <w:rsid w:val="00C75613"/>
    <w:rsid w:val="00C772FE"/>
    <w:rsid w:val="00C811AD"/>
    <w:rsid w:val="00C816A5"/>
    <w:rsid w:val="00C8202F"/>
    <w:rsid w:val="00C8243E"/>
    <w:rsid w:val="00C8283A"/>
    <w:rsid w:val="00C8316A"/>
    <w:rsid w:val="00C83572"/>
    <w:rsid w:val="00C8384E"/>
    <w:rsid w:val="00C84260"/>
    <w:rsid w:val="00C84564"/>
    <w:rsid w:val="00C845FC"/>
    <w:rsid w:val="00C85175"/>
    <w:rsid w:val="00C85420"/>
    <w:rsid w:val="00C87D20"/>
    <w:rsid w:val="00C87D9B"/>
    <w:rsid w:val="00C90678"/>
    <w:rsid w:val="00C911EC"/>
    <w:rsid w:val="00C91524"/>
    <w:rsid w:val="00C92F10"/>
    <w:rsid w:val="00C9352A"/>
    <w:rsid w:val="00C95B98"/>
    <w:rsid w:val="00C961B2"/>
    <w:rsid w:val="00C97834"/>
    <w:rsid w:val="00C97F0F"/>
    <w:rsid w:val="00CA0317"/>
    <w:rsid w:val="00CA0664"/>
    <w:rsid w:val="00CA06F9"/>
    <w:rsid w:val="00CA1FD2"/>
    <w:rsid w:val="00CA345B"/>
    <w:rsid w:val="00CA37C7"/>
    <w:rsid w:val="00CA3A03"/>
    <w:rsid w:val="00CA3AAE"/>
    <w:rsid w:val="00CA43DD"/>
    <w:rsid w:val="00CA7032"/>
    <w:rsid w:val="00CA7350"/>
    <w:rsid w:val="00CA7D36"/>
    <w:rsid w:val="00CB0712"/>
    <w:rsid w:val="00CB0E20"/>
    <w:rsid w:val="00CB1609"/>
    <w:rsid w:val="00CB1AF5"/>
    <w:rsid w:val="00CB1BBC"/>
    <w:rsid w:val="00CB2475"/>
    <w:rsid w:val="00CB2C2C"/>
    <w:rsid w:val="00CB4614"/>
    <w:rsid w:val="00CB493D"/>
    <w:rsid w:val="00CB49C8"/>
    <w:rsid w:val="00CB5401"/>
    <w:rsid w:val="00CB5FF6"/>
    <w:rsid w:val="00CB66EC"/>
    <w:rsid w:val="00CB78D1"/>
    <w:rsid w:val="00CC1832"/>
    <w:rsid w:val="00CC197E"/>
    <w:rsid w:val="00CC4655"/>
    <w:rsid w:val="00CC52DB"/>
    <w:rsid w:val="00CC5A28"/>
    <w:rsid w:val="00CC63BC"/>
    <w:rsid w:val="00CC695F"/>
    <w:rsid w:val="00CC7B25"/>
    <w:rsid w:val="00CD0677"/>
    <w:rsid w:val="00CD079B"/>
    <w:rsid w:val="00CD10E7"/>
    <w:rsid w:val="00CD1B13"/>
    <w:rsid w:val="00CD1C91"/>
    <w:rsid w:val="00CD241E"/>
    <w:rsid w:val="00CD292B"/>
    <w:rsid w:val="00CD2A1A"/>
    <w:rsid w:val="00CD4A5F"/>
    <w:rsid w:val="00CD5982"/>
    <w:rsid w:val="00CD7020"/>
    <w:rsid w:val="00CD7632"/>
    <w:rsid w:val="00CD771C"/>
    <w:rsid w:val="00CD7F4D"/>
    <w:rsid w:val="00CE014B"/>
    <w:rsid w:val="00CE0159"/>
    <w:rsid w:val="00CE0CE6"/>
    <w:rsid w:val="00CE0F35"/>
    <w:rsid w:val="00CE1A25"/>
    <w:rsid w:val="00CE1D49"/>
    <w:rsid w:val="00CE2253"/>
    <w:rsid w:val="00CE2676"/>
    <w:rsid w:val="00CE3CA4"/>
    <w:rsid w:val="00CE45A7"/>
    <w:rsid w:val="00CE5716"/>
    <w:rsid w:val="00CE57F8"/>
    <w:rsid w:val="00CE5E05"/>
    <w:rsid w:val="00CE6BE9"/>
    <w:rsid w:val="00CE6E28"/>
    <w:rsid w:val="00CE6FA0"/>
    <w:rsid w:val="00CF01C1"/>
    <w:rsid w:val="00CF0B54"/>
    <w:rsid w:val="00CF0DA6"/>
    <w:rsid w:val="00CF1B83"/>
    <w:rsid w:val="00CF2B5D"/>
    <w:rsid w:val="00CF2C99"/>
    <w:rsid w:val="00CF41A2"/>
    <w:rsid w:val="00CF4728"/>
    <w:rsid w:val="00CF5170"/>
    <w:rsid w:val="00CF51C0"/>
    <w:rsid w:val="00CF56D7"/>
    <w:rsid w:val="00CF588C"/>
    <w:rsid w:val="00CF5DA1"/>
    <w:rsid w:val="00CF5E9F"/>
    <w:rsid w:val="00CF621C"/>
    <w:rsid w:val="00CF7877"/>
    <w:rsid w:val="00CF7A32"/>
    <w:rsid w:val="00CF7B02"/>
    <w:rsid w:val="00CF7E84"/>
    <w:rsid w:val="00D003C6"/>
    <w:rsid w:val="00D0129E"/>
    <w:rsid w:val="00D01B43"/>
    <w:rsid w:val="00D0210A"/>
    <w:rsid w:val="00D03190"/>
    <w:rsid w:val="00D03457"/>
    <w:rsid w:val="00D047D3"/>
    <w:rsid w:val="00D05AD8"/>
    <w:rsid w:val="00D0771E"/>
    <w:rsid w:val="00D112F3"/>
    <w:rsid w:val="00D11558"/>
    <w:rsid w:val="00D116A3"/>
    <w:rsid w:val="00D124D3"/>
    <w:rsid w:val="00D1335D"/>
    <w:rsid w:val="00D137D8"/>
    <w:rsid w:val="00D140B7"/>
    <w:rsid w:val="00D14D50"/>
    <w:rsid w:val="00D15B78"/>
    <w:rsid w:val="00D15CF8"/>
    <w:rsid w:val="00D16AB4"/>
    <w:rsid w:val="00D23092"/>
    <w:rsid w:val="00D25A99"/>
    <w:rsid w:val="00D2646E"/>
    <w:rsid w:val="00D26557"/>
    <w:rsid w:val="00D267A0"/>
    <w:rsid w:val="00D2787A"/>
    <w:rsid w:val="00D31283"/>
    <w:rsid w:val="00D31DB2"/>
    <w:rsid w:val="00D32E01"/>
    <w:rsid w:val="00D32E8A"/>
    <w:rsid w:val="00D331EF"/>
    <w:rsid w:val="00D33393"/>
    <w:rsid w:val="00D33ACA"/>
    <w:rsid w:val="00D348CF"/>
    <w:rsid w:val="00D34B67"/>
    <w:rsid w:val="00D34EE8"/>
    <w:rsid w:val="00D35EB6"/>
    <w:rsid w:val="00D36218"/>
    <w:rsid w:val="00D3744B"/>
    <w:rsid w:val="00D40521"/>
    <w:rsid w:val="00D4071D"/>
    <w:rsid w:val="00D40750"/>
    <w:rsid w:val="00D417E1"/>
    <w:rsid w:val="00D42064"/>
    <w:rsid w:val="00D430DC"/>
    <w:rsid w:val="00D433F8"/>
    <w:rsid w:val="00D45106"/>
    <w:rsid w:val="00D462C1"/>
    <w:rsid w:val="00D4655B"/>
    <w:rsid w:val="00D46703"/>
    <w:rsid w:val="00D46766"/>
    <w:rsid w:val="00D4727F"/>
    <w:rsid w:val="00D47AF1"/>
    <w:rsid w:val="00D50906"/>
    <w:rsid w:val="00D52F58"/>
    <w:rsid w:val="00D52F95"/>
    <w:rsid w:val="00D53057"/>
    <w:rsid w:val="00D5452D"/>
    <w:rsid w:val="00D5503E"/>
    <w:rsid w:val="00D551FC"/>
    <w:rsid w:val="00D5557B"/>
    <w:rsid w:val="00D55775"/>
    <w:rsid w:val="00D561D6"/>
    <w:rsid w:val="00D565C4"/>
    <w:rsid w:val="00D567B0"/>
    <w:rsid w:val="00D6006B"/>
    <w:rsid w:val="00D60CAD"/>
    <w:rsid w:val="00D60EF1"/>
    <w:rsid w:val="00D60F13"/>
    <w:rsid w:val="00D610DE"/>
    <w:rsid w:val="00D614C8"/>
    <w:rsid w:val="00D614D1"/>
    <w:rsid w:val="00D621E0"/>
    <w:rsid w:val="00D622FA"/>
    <w:rsid w:val="00D62466"/>
    <w:rsid w:val="00D63541"/>
    <w:rsid w:val="00D63B3F"/>
    <w:rsid w:val="00D6400F"/>
    <w:rsid w:val="00D70A45"/>
    <w:rsid w:val="00D721BC"/>
    <w:rsid w:val="00D7229C"/>
    <w:rsid w:val="00D733BE"/>
    <w:rsid w:val="00D7381C"/>
    <w:rsid w:val="00D743CA"/>
    <w:rsid w:val="00D753BD"/>
    <w:rsid w:val="00D770D2"/>
    <w:rsid w:val="00D80C52"/>
    <w:rsid w:val="00D80D3B"/>
    <w:rsid w:val="00D82383"/>
    <w:rsid w:val="00D826D1"/>
    <w:rsid w:val="00D82A1C"/>
    <w:rsid w:val="00D82E82"/>
    <w:rsid w:val="00D8465B"/>
    <w:rsid w:val="00D85449"/>
    <w:rsid w:val="00D8561E"/>
    <w:rsid w:val="00D8583C"/>
    <w:rsid w:val="00D85DC4"/>
    <w:rsid w:val="00D86955"/>
    <w:rsid w:val="00D869B5"/>
    <w:rsid w:val="00D907BA"/>
    <w:rsid w:val="00D90B5C"/>
    <w:rsid w:val="00D9105B"/>
    <w:rsid w:val="00D91109"/>
    <w:rsid w:val="00D91CEA"/>
    <w:rsid w:val="00D93A31"/>
    <w:rsid w:val="00D93AE2"/>
    <w:rsid w:val="00D9544E"/>
    <w:rsid w:val="00D958F6"/>
    <w:rsid w:val="00D9653D"/>
    <w:rsid w:val="00D96BA1"/>
    <w:rsid w:val="00DA09E1"/>
    <w:rsid w:val="00DA0A4E"/>
    <w:rsid w:val="00DA0CBD"/>
    <w:rsid w:val="00DA0ED9"/>
    <w:rsid w:val="00DA1D80"/>
    <w:rsid w:val="00DA22E8"/>
    <w:rsid w:val="00DA2403"/>
    <w:rsid w:val="00DA3087"/>
    <w:rsid w:val="00DA4D32"/>
    <w:rsid w:val="00DA508A"/>
    <w:rsid w:val="00DA6266"/>
    <w:rsid w:val="00DB1BFC"/>
    <w:rsid w:val="00DB1D7F"/>
    <w:rsid w:val="00DB2EDC"/>
    <w:rsid w:val="00DB4387"/>
    <w:rsid w:val="00DB45C7"/>
    <w:rsid w:val="00DB5379"/>
    <w:rsid w:val="00DB5F7E"/>
    <w:rsid w:val="00DB67FF"/>
    <w:rsid w:val="00DB7A25"/>
    <w:rsid w:val="00DB7C2C"/>
    <w:rsid w:val="00DC1C15"/>
    <w:rsid w:val="00DC301D"/>
    <w:rsid w:val="00DC44BA"/>
    <w:rsid w:val="00DC6597"/>
    <w:rsid w:val="00DC6A1D"/>
    <w:rsid w:val="00DC728A"/>
    <w:rsid w:val="00DC7C1D"/>
    <w:rsid w:val="00DC7C3C"/>
    <w:rsid w:val="00DD06C9"/>
    <w:rsid w:val="00DD0A6E"/>
    <w:rsid w:val="00DD1FE2"/>
    <w:rsid w:val="00DD21D3"/>
    <w:rsid w:val="00DD2CD8"/>
    <w:rsid w:val="00DD2D02"/>
    <w:rsid w:val="00DD345E"/>
    <w:rsid w:val="00DD34CD"/>
    <w:rsid w:val="00DD351E"/>
    <w:rsid w:val="00DD3DA9"/>
    <w:rsid w:val="00DD3E02"/>
    <w:rsid w:val="00DD4B5C"/>
    <w:rsid w:val="00DD6CD4"/>
    <w:rsid w:val="00DE18DB"/>
    <w:rsid w:val="00DE5DCD"/>
    <w:rsid w:val="00DE5FF9"/>
    <w:rsid w:val="00DE6A34"/>
    <w:rsid w:val="00DE7213"/>
    <w:rsid w:val="00DE7F37"/>
    <w:rsid w:val="00DE7F98"/>
    <w:rsid w:val="00DF0713"/>
    <w:rsid w:val="00DF138F"/>
    <w:rsid w:val="00DF4B3D"/>
    <w:rsid w:val="00DF581A"/>
    <w:rsid w:val="00DF5F3C"/>
    <w:rsid w:val="00DF65A0"/>
    <w:rsid w:val="00DF69CE"/>
    <w:rsid w:val="00DF6AED"/>
    <w:rsid w:val="00DF6E5A"/>
    <w:rsid w:val="00DF75FE"/>
    <w:rsid w:val="00E0193F"/>
    <w:rsid w:val="00E02612"/>
    <w:rsid w:val="00E043CC"/>
    <w:rsid w:val="00E04469"/>
    <w:rsid w:val="00E04C8D"/>
    <w:rsid w:val="00E05914"/>
    <w:rsid w:val="00E065F7"/>
    <w:rsid w:val="00E071BC"/>
    <w:rsid w:val="00E07E61"/>
    <w:rsid w:val="00E1001A"/>
    <w:rsid w:val="00E10037"/>
    <w:rsid w:val="00E10603"/>
    <w:rsid w:val="00E10C86"/>
    <w:rsid w:val="00E10CA6"/>
    <w:rsid w:val="00E10DC5"/>
    <w:rsid w:val="00E10E23"/>
    <w:rsid w:val="00E11882"/>
    <w:rsid w:val="00E12EDC"/>
    <w:rsid w:val="00E13732"/>
    <w:rsid w:val="00E13866"/>
    <w:rsid w:val="00E15FF7"/>
    <w:rsid w:val="00E162A2"/>
    <w:rsid w:val="00E169BD"/>
    <w:rsid w:val="00E170C9"/>
    <w:rsid w:val="00E17843"/>
    <w:rsid w:val="00E17EE3"/>
    <w:rsid w:val="00E20074"/>
    <w:rsid w:val="00E20983"/>
    <w:rsid w:val="00E20B6B"/>
    <w:rsid w:val="00E21469"/>
    <w:rsid w:val="00E21593"/>
    <w:rsid w:val="00E22B59"/>
    <w:rsid w:val="00E27248"/>
    <w:rsid w:val="00E275C8"/>
    <w:rsid w:val="00E277A6"/>
    <w:rsid w:val="00E30B53"/>
    <w:rsid w:val="00E31446"/>
    <w:rsid w:val="00E32FC9"/>
    <w:rsid w:val="00E33720"/>
    <w:rsid w:val="00E338F0"/>
    <w:rsid w:val="00E3456D"/>
    <w:rsid w:val="00E34BB4"/>
    <w:rsid w:val="00E34DDB"/>
    <w:rsid w:val="00E362C4"/>
    <w:rsid w:val="00E366AA"/>
    <w:rsid w:val="00E36AFD"/>
    <w:rsid w:val="00E36BCE"/>
    <w:rsid w:val="00E40192"/>
    <w:rsid w:val="00E42296"/>
    <w:rsid w:val="00E422CA"/>
    <w:rsid w:val="00E4288A"/>
    <w:rsid w:val="00E43573"/>
    <w:rsid w:val="00E44B3F"/>
    <w:rsid w:val="00E45CB4"/>
    <w:rsid w:val="00E46398"/>
    <w:rsid w:val="00E47153"/>
    <w:rsid w:val="00E471A9"/>
    <w:rsid w:val="00E478D0"/>
    <w:rsid w:val="00E50199"/>
    <w:rsid w:val="00E5103D"/>
    <w:rsid w:val="00E512EF"/>
    <w:rsid w:val="00E525D0"/>
    <w:rsid w:val="00E53C66"/>
    <w:rsid w:val="00E54A5B"/>
    <w:rsid w:val="00E54B9A"/>
    <w:rsid w:val="00E60E35"/>
    <w:rsid w:val="00E611B0"/>
    <w:rsid w:val="00E6204C"/>
    <w:rsid w:val="00E62B33"/>
    <w:rsid w:val="00E64B5B"/>
    <w:rsid w:val="00E64D55"/>
    <w:rsid w:val="00E64D63"/>
    <w:rsid w:val="00E64EF2"/>
    <w:rsid w:val="00E6594A"/>
    <w:rsid w:val="00E6667E"/>
    <w:rsid w:val="00E71774"/>
    <w:rsid w:val="00E76D47"/>
    <w:rsid w:val="00E77891"/>
    <w:rsid w:val="00E80209"/>
    <w:rsid w:val="00E8123A"/>
    <w:rsid w:val="00E81626"/>
    <w:rsid w:val="00E828E1"/>
    <w:rsid w:val="00E833D4"/>
    <w:rsid w:val="00E836F4"/>
    <w:rsid w:val="00E84D97"/>
    <w:rsid w:val="00E853C4"/>
    <w:rsid w:val="00E86A04"/>
    <w:rsid w:val="00E877E6"/>
    <w:rsid w:val="00E87998"/>
    <w:rsid w:val="00E9126A"/>
    <w:rsid w:val="00E91933"/>
    <w:rsid w:val="00E92294"/>
    <w:rsid w:val="00E92474"/>
    <w:rsid w:val="00E93B6B"/>
    <w:rsid w:val="00E948C6"/>
    <w:rsid w:val="00E94ECB"/>
    <w:rsid w:val="00E95C73"/>
    <w:rsid w:val="00E96963"/>
    <w:rsid w:val="00E97387"/>
    <w:rsid w:val="00E973EC"/>
    <w:rsid w:val="00E976D5"/>
    <w:rsid w:val="00EA01B2"/>
    <w:rsid w:val="00EA25B7"/>
    <w:rsid w:val="00EA3356"/>
    <w:rsid w:val="00EA39CA"/>
    <w:rsid w:val="00EA3B93"/>
    <w:rsid w:val="00EA5032"/>
    <w:rsid w:val="00EA5183"/>
    <w:rsid w:val="00EA594E"/>
    <w:rsid w:val="00EA65AF"/>
    <w:rsid w:val="00EA786E"/>
    <w:rsid w:val="00EB1EDD"/>
    <w:rsid w:val="00EB230A"/>
    <w:rsid w:val="00EB29FC"/>
    <w:rsid w:val="00EB4601"/>
    <w:rsid w:val="00EB4B06"/>
    <w:rsid w:val="00EB5D3C"/>
    <w:rsid w:val="00EB5D89"/>
    <w:rsid w:val="00EB5DE0"/>
    <w:rsid w:val="00EB5FDD"/>
    <w:rsid w:val="00EB6192"/>
    <w:rsid w:val="00EB6CE0"/>
    <w:rsid w:val="00EC1577"/>
    <w:rsid w:val="00EC1665"/>
    <w:rsid w:val="00EC1981"/>
    <w:rsid w:val="00EC2AA4"/>
    <w:rsid w:val="00EC4546"/>
    <w:rsid w:val="00EC514F"/>
    <w:rsid w:val="00EC534D"/>
    <w:rsid w:val="00EC55CB"/>
    <w:rsid w:val="00EC5DCD"/>
    <w:rsid w:val="00EC6751"/>
    <w:rsid w:val="00EC698B"/>
    <w:rsid w:val="00EC7BC4"/>
    <w:rsid w:val="00ED0179"/>
    <w:rsid w:val="00ED02A8"/>
    <w:rsid w:val="00ED16AF"/>
    <w:rsid w:val="00ED2CAA"/>
    <w:rsid w:val="00ED314A"/>
    <w:rsid w:val="00ED39D1"/>
    <w:rsid w:val="00ED409E"/>
    <w:rsid w:val="00ED42A8"/>
    <w:rsid w:val="00ED45F7"/>
    <w:rsid w:val="00ED4E1E"/>
    <w:rsid w:val="00ED57A2"/>
    <w:rsid w:val="00ED5E15"/>
    <w:rsid w:val="00ED5E16"/>
    <w:rsid w:val="00ED61D2"/>
    <w:rsid w:val="00ED74EA"/>
    <w:rsid w:val="00EE2073"/>
    <w:rsid w:val="00EE2A94"/>
    <w:rsid w:val="00EE37DB"/>
    <w:rsid w:val="00EE3FCA"/>
    <w:rsid w:val="00EE4AB6"/>
    <w:rsid w:val="00EE4DBE"/>
    <w:rsid w:val="00EE5B37"/>
    <w:rsid w:val="00EE6095"/>
    <w:rsid w:val="00EE64DC"/>
    <w:rsid w:val="00EE6A66"/>
    <w:rsid w:val="00EF07F3"/>
    <w:rsid w:val="00EF132A"/>
    <w:rsid w:val="00EF283B"/>
    <w:rsid w:val="00EF49F8"/>
    <w:rsid w:val="00EF6D36"/>
    <w:rsid w:val="00EF6ED1"/>
    <w:rsid w:val="00EF7D8D"/>
    <w:rsid w:val="00F0151E"/>
    <w:rsid w:val="00F01652"/>
    <w:rsid w:val="00F02440"/>
    <w:rsid w:val="00F026A9"/>
    <w:rsid w:val="00F0271F"/>
    <w:rsid w:val="00F0294D"/>
    <w:rsid w:val="00F02A45"/>
    <w:rsid w:val="00F02D8C"/>
    <w:rsid w:val="00F0335F"/>
    <w:rsid w:val="00F044AC"/>
    <w:rsid w:val="00F045D8"/>
    <w:rsid w:val="00F04FBF"/>
    <w:rsid w:val="00F052F2"/>
    <w:rsid w:val="00F07319"/>
    <w:rsid w:val="00F07BDF"/>
    <w:rsid w:val="00F118DB"/>
    <w:rsid w:val="00F11C7F"/>
    <w:rsid w:val="00F120F9"/>
    <w:rsid w:val="00F1222E"/>
    <w:rsid w:val="00F130A8"/>
    <w:rsid w:val="00F130BE"/>
    <w:rsid w:val="00F13772"/>
    <w:rsid w:val="00F146B8"/>
    <w:rsid w:val="00F150F2"/>
    <w:rsid w:val="00F153B6"/>
    <w:rsid w:val="00F15917"/>
    <w:rsid w:val="00F15B5E"/>
    <w:rsid w:val="00F16833"/>
    <w:rsid w:val="00F20825"/>
    <w:rsid w:val="00F21293"/>
    <w:rsid w:val="00F21494"/>
    <w:rsid w:val="00F21758"/>
    <w:rsid w:val="00F22EC3"/>
    <w:rsid w:val="00F2422D"/>
    <w:rsid w:val="00F2623F"/>
    <w:rsid w:val="00F26DA8"/>
    <w:rsid w:val="00F30556"/>
    <w:rsid w:val="00F30EED"/>
    <w:rsid w:val="00F32AEF"/>
    <w:rsid w:val="00F32C9F"/>
    <w:rsid w:val="00F32DB6"/>
    <w:rsid w:val="00F33146"/>
    <w:rsid w:val="00F33AA6"/>
    <w:rsid w:val="00F34FB7"/>
    <w:rsid w:val="00F358F0"/>
    <w:rsid w:val="00F3590B"/>
    <w:rsid w:val="00F35A1E"/>
    <w:rsid w:val="00F35C78"/>
    <w:rsid w:val="00F36051"/>
    <w:rsid w:val="00F36176"/>
    <w:rsid w:val="00F37ED3"/>
    <w:rsid w:val="00F40BBF"/>
    <w:rsid w:val="00F40DCE"/>
    <w:rsid w:val="00F41607"/>
    <w:rsid w:val="00F41EAC"/>
    <w:rsid w:val="00F42393"/>
    <w:rsid w:val="00F42B1B"/>
    <w:rsid w:val="00F440DC"/>
    <w:rsid w:val="00F4422D"/>
    <w:rsid w:val="00F447B4"/>
    <w:rsid w:val="00F4512A"/>
    <w:rsid w:val="00F454B0"/>
    <w:rsid w:val="00F46810"/>
    <w:rsid w:val="00F470A5"/>
    <w:rsid w:val="00F504F1"/>
    <w:rsid w:val="00F508FD"/>
    <w:rsid w:val="00F509C8"/>
    <w:rsid w:val="00F51734"/>
    <w:rsid w:val="00F51AB8"/>
    <w:rsid w:val="00F526D5"/>
    <w:rsid w:val="00F547CD"/>
    <w:rsid w:val="00F54A52"/>
    <w:rsid w:val="00F5581B"/>
    <w:rsid w:val="00F55AC3"/>
    <w:rsid w:val="00F55DDE"/>
    <w:rsid w:val="00F55F3E"/>
    <w:rsid w:val="00F56702"/>
    <w:rsid w:val="00F56D7C"/>
    <w:rsid w:val="00F56E0D"/>
    <w:rsid w:val="00F609CF"/>
    <w:rsid w:val="00F618C6"/>
    <w:rsid w:val="00F6227F"/>
    <w:rsid w:val="00F63857"/>
    <w:rsid w:val="00F63B9C"/>
    <w:rsid w:val="00F646B7"/>
    <w:rsid w:val="00F6494A"/>
    <w:rsid w:val="00F65586"/>
    <w:rsid w:val="00F6784B"/>
    <w:rsid w:val="00F70761"/>
    <w:rsid w:val="00F707C8"/>
    <w:rsid w:val="00F718A0"/>
    <w:rsid w:val="00F71BEB"/>
    <w:rsid w:val="00F73A5F"/>
    <w:rsid w:val="00F73FEF"/>
    <w:rsid w:val="00F7412F"/>
    <w:rsid w:val="00F766E6"/>
    <w:rsid w:val="00F80253"/>
    <w:rsid w:val="00F80D79"/>
    <w:rsid w:val="00F80EE4"/>
    <w:rsid w:val="00F8150A"/>
    <w:rsid w:val="00F81A04"/>
    <w:rsid w:val="00F8299B"/>
    <w:rsid w:val="00F83361"/>
    <w:rsid w:val="00F84017"/>
    <w:rsid w:val="00F84C0C"/>
    <w:rsid w:val="00F84D23"/>
    <w:rsid w:val="00F8662A"/>
    <w:rsid w:val="00F8732F"/>
    <w:rsid w:val="00F90219"/>
    <w:rsid w:val="00F90F2C"/>
    <w:rsid w:val="00F9123B"/>
    <w:rsid w:val="00F91786"/>
    <w:rsid w:val="00F91F42"/>
    <w:rsid w:val="00F9241B"/>
    <w:rsid w:val="00F927FE"/>
    <w:rsid w:val="00F92826"/>
    <w:rsid w:val="00F92912"/>
    <w:rsid w:val="00F9496F"/>
    <w:rsid w:val="00F95000"/>
    <w:rsid w:val="00F95DC4"/>
    <w:rsid w:val="00F9647F"/>
    <w:rsid w:val="00F96DD8"/>
    <w:rsid w:val="00F96F03"/>
    <w:rsid w:val="00F9789D"/>
    <w:rsid w:val="00FA0EDE"/>
    <w:rsid w:val="00FA0F71"/>
    <w:rsid w:val="00FA1246"/>
    <w:rsid w:val="00FA1862"/>
    <w:rsid w:val="00FA1DE7"/>
    <w:rsid w:val="00FA1F6C"/>
    <w:rsid w:val="00FA230B"/>
    <w:rsid w:val="00FA2B00"/>
    <w:rsid w:val="00FA2B15"/>
    <w:rsid w:val="00FA3610"/>
    <w:rsid w:val="00FA36C2"/>
    <w:rsid w:val="00FA3758"/>
    <w:rsid w:val="00FA406C"/>
    <w:rsid w:val="00FA4530"/>
    <w:rsid w:val="00FA4D8D"/>
    <w:rsid w:val="00FA547B"/>
    <w:rsid w:val="00FA7CB3"/>
    <w:rsid w:val="00FB02BB"/>
    <w:rsid w:val="00FB10B3"/>
    <w:rsid w:val="00FB198B"/>
    <w:rsid w:val="00FB1B24"/>
    <w:rsid w:val="00FB1C19"/>
    <w:rsid w:val="00FB21D5"/>
    <w:rsid w:val="00FB271A"/>
    <w:rsid w:val="00FB2850"/>
    <w:rsid w:val="00FB2A9E"/>
    <w:rsid w:val="00FB37D4"/>
    <w:rsid w:val="00FB4BB0"/>
    <w:rsid w:val="00FB547C"/>
    <w:rsid w:val="00FB7673"/>
    <w:rsid w:val="00FC1300"/>
    <w:rsid w:val="00FC1C75"/>
    <w:rsid w:val="00FC2953"/>
    <w:rsid w:val="00FC35CE"/>
    <w:rsid w:val="00FC3C99"/>
    <w:rsid w:val="00FC4A01"/>
    <w:rsid w:val="00FC57F7"/>
    <w:rsid w:val="00FC74C2"/>
    <w:rsid w:val="00FC770C"/>
    <w:rsid w:val="00FC7778"/>
    <w:rsid w:val="00FC7856"/>
    <w:rsid w:val="00FC7E9B"/>
    <w:rsid w:val="00FD03F1"/>
    <w:rsid w:val="00FD0A33"/>
    <w:rsid w:val="00FD19D0"/>
    <w:rsid w:val="00FD332D"/>
    <w:rsid w:val="00FD40CC"/>
    <w:rsid w:val="00FD4E74"/>
    <w:rsid w:val="00FD56C0"/>
    <w:rsid w:val="00FD5B98"/>
    <w:rsid w:val="00FD5C81"/>
    <w:rsid w:val="00FD5DC4"/>
    <w:rsid w:val="00FD62C7"/>
    <w:rsid w:val="00FD6473"/>
    <w:rsid w:val="00FD66D4"/>
    <w:rsid w:val="00FD6D99"/>
    <w:rsid w:val="00FE03DE"/>
    <w:rsid w:val="00FE08F7"/>
    <w:rsid w:val="00FE1F23"/>
    <w:rsid w:val="00FE3812"/>
    <w:rsid w:val="00FE615A"/>
    <w:rsid w:val="00FE656F"/>
    <w:rsid w:val="00FE7120"/>
    <w:rsid w:val="00FE77F3"/>
    <w:rsid w:val="00FF14E0"/>
    <w:rsid w:val="00FF1574"/>
    <w:rsid w:val="00FF3733"/>
    <w:rsid w:val="00FF4260"/>
    <w:rsid w:val="00FF4B38"/>
    <w:rsid w:val="00FF60A6"/>
    <w:rsid w:val="00FF68B2"/>
    <w:rsid w:val="00FF7606"/>
    <w:rsid w:val="00FF7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688"/>
    <w:pPr>
      <w:widowControl w:val="0"/>
      <w:jc w:val="both"/>
    </w:pPr>
    <w:rPr>
      <w:kern w:val="2"/>
      <w:sz w:val="21"/>
      <w:szCs w:val="24"/>
    </w:rPr>
  </w:style>
  <w:style w:type="paragraph" w:styleId="1">
    <w:name w:val="heading 1"/>
    <w:basedOn w:val="a0"/>
    <w:next w:val="a0"/>
    <w:qFormat/>
    <w:rsid w:val="00827688"/>
    <w:pPr>
      <w:keepNext/>
      <w:keepLines/>
      <w:spacing w:before="340" w:after="330" w:line="578" w:lineRule="auto"/>
      <w:outlineLvl w:val="0"/>
    </w:pPr>
    <w:rPr>
      <w:b/>
      <w:bCs/>
      <w:kern w:val="44"/>
      <w:sz w:val="44"/>
      <w:szCs w:val="44"/>
    </w:rPr>
  </w:style>
  <w:style w:type="paragraph" w:styleId="2">
    <w:name w:val="heading 2"/>
    <w:basedOn w:val="a0"/>
    <w:next w:val="a0"/>
    <w:qFormat/>
    <w:rsid w:val="00827688"/>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4A04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27688"/>
    <w:pPr>
      <w:tabs>
        <w:tab w:val="center" w:pos="4153"/>
        <w:tab w:val="right" w:pos="8306"/>
      </w:tabs>
      <w:snapToGrid w:val="0"/>
      <w:jc w:val="center"/>
    </w:pPr>
    <w:rPr>
      <w:sz w:val="18"/>
      <w:szCs w:val="18"/>
    </w:rPr>
  </w:style>
  <w:style w:type="paragraph" w:styleId="a5">
    <w:name w:val="footer"/>
    <w:basedOn w:val="a0"/>
    <w:link w:val="Char0"/>
    <w:uiPriority w:val="99"/>
    <w:rsid w:val="00827688"/>
    <w:pPr>
      <w:tabs>
        <w:tab w:val="center" w:pos="4153"/>
        <w:tab w:val="right" w:pos="8306"/>
      </w:tabs>
      <w:snapToGrid w:val="0"/>
      <w:jc w:val="left"/>
    </w:pPr>
    <w:rPr>
      <w:sz w:val="18"/>
      <w:szCs w:val="18"/>
    </w:rPr>
  </w:style>
  <w:style w:type="paragraph" w:customStyle="1" w:styleId="a6">
    <w:name w:val="内正文"/>
    <w:basedOn w:val="a0"/>
    <w:rsid w:val="00827688"/>
    <w:pPr>
      <w:spacing w:after="156" w:line="360" w:lineRule="exact"/>
      <w:ind w:left="2835"/>
    </w:pPr>
    <w:rPr>
      <w:rFonts w:ascii="宋体" w:hAnsi="宋体"/>
      <w:szCs w:val="21"/>
    </w:rPr>
  </w:style>
  <w:style w:type="character" w:styleId="a7">
    <w:name w:val="page number"/>
    <w:basedOn w:val="a1"/>
    <w:rsid w:val="00827688"/>
  </w:style>
  <w:style w:type="paragraph" w:styleId="a8">
    <w:name w:val="Plain Text"/>
    <w:basedOn w:val="a0"/>
    <w:link w:val="Char1"/>
    <w:uiPriority w:val="99"/>
    <w:unhideWhenUsed/>
    <w:rsid w:val="00827688"/>
    <w:rPr>
      <w:rFonts w:ascii="宋体" w:hAnsi="Courier New" w:cs="Courier New"/>
      <w:szCs w:val="21"/>
    </w:rPr>
  </w:style>
  <w:style w:type="character" w:customStyle="1" w:styleId="Char1">
    <w:name w:val="纯文本 Char"/>
    <w:basedOn w:val="a1"/>
    <w:link w:val="a8"/>
    <w:uiPriority w:val="99"/>
    <w:rsid w:val="00827688"/>
    <w:rPr>
      <w:rFonts w:ascii="宋体" w:eastAsia="宋体" w:hAnsi="Courier New" w:cs="Courier New"/>
      <w:kern w:val="2"/>
      <w:sz w:val="21"/>
      <w:szCs w:val="21"/>
      <w:lang w:val="en-US" w:eastAsia="zh-CN" w:bidi="ar-SA"/>
    </w:rPr>
  </w:style>
  <w:style w:type="table" w:customStyle="1" w:styleId="10">
    <w:name w:val="浅色底纹1"/>
    <w:basedOn w:val="a2"/>
    <w:uiPriority w:val="60"/>
    <w:rsid w:val="00AF7CB1"/>
    <w:rPr>
      <w:rFonts w:ascii="Calibri" w:hAnsi="Calibri"/>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页眉 Char"/>
    <w:basedOn w:val="a1"/>
    <w:link w:val="a4"/>
    <w:uiPriority w:val="99"/>
    <w:rsid w:val="00AF7CB1"/>
    <w:rPr>
      <w:kern w:val="2"/>
      <w:sz w:val="18"/>
      <w:szCs w:val="18"/>
    </w:rPr>
  </w:style>
  <w:style w:type="character" w:customStyle="1" w:styleId="Char0">
    <w:name w:val="页脚 Char"/>
    <w:basedOn w:val="a1"/>
    <w:link w:val="a5"/>
    <w:uiPriority w:val="99"/>
    <w:rsid w:val="00AF7CB1"/>
    <w:rPr>
      <w:kern w:val="2"/>
      <w:sz w:val="18"/>
      <w:szCs w:val="18"/>
    </w:rPr>
  </w:style>
  <w:style w:type="paragraph" w:styleId="a9">
    <w:name w:val="Balloon Text"/>
    <w:basedOn w:val="a0"/>
    <w:link w:val="Char2"/>
    <w:uiPriority w:val="99"/>
    <w:unhideWhenUsed/>
    <w:rsid w:val="00AF7CB1"/>
    <w:rPr>
      <w:rFonts w:ascii="Calibri" w:hAnsi="Calibri"/>
      <w:sz w:val="18"/>
      <w:szCs w:val="18"/>
    </w:rPr>
  </w:style>
  <w:style w:type="character" w:customStyle="1" w:styleId="Char2">
    <w:name w:val="批注框文本 Char"/>
    <w:basedOn w:val="a1"/>
    <w:link w:val="a9"/>
    <w:uiPriority w:val="99"/>
    <w:rsid w:val="00AF7CB1"/>
    <w:rPr>
      <w:rFonts w:ascii="Calibri" w:hAnsi="Calibri"/>
      <w:kern w:val="2"/>
      <w:sz w:val="18"/>
      <w:szCs w:val="18"/>
    </w:rPr>
  </w:style>
  <w:style w:type="paragraph" w:customStyle="1" w:styleId="ParaChar">
    <w:name w:val="默认段落字体 Para Char"/>
    <w:basedOn w:val="a0"/>
    <w:autoRedefine/>
    <w:rsid w:val="004E62DA"/>
    <w:pPr>
      <w:numPr>
        <w:numId w:val="3"/>
      </w:numPr>
    </w:pPr>
    <w:rPr>
      <w:sz w:val="24"/>
    </w:rPr>
  </w:style>
  <w:style w:type="character" w:customStyle="1" w:styleId="apple-style-span">
    <w:name w:val="apple-style-span"/>
    <w:basedOn w:val="a1"/>
    <w:rsid w:val="00EE4DBE"/>
  </w:style>
  <w:style w:type="paragraph" w:styleId="aa">
    <w:name w:val="footnote text"/>
    <w:basedOn w:val="a0"/>
    <w:semiHidden/>
    <w:rsid w:val="00621E8A"/>
    <w:pPr>
      <w:snapToGrid w:val="0"/>
      <w:jc w:val="left"/>
    </w:pPr>
    <w:rPr>
      <w:sz w:val="18"/>
      <w:szCs w:val="18"/>
    </w:rPr>
  </w:style>
  <w:style w:type="character" w:styleId="ab">
    <w:name w:val="footnote reference"/>
    <w:basedOn w:val="a1"/>
    <w:semiHidden/>
    <w:rsid w:val="00621E8A"/>
    <w:rPr>
      <w:vertAlign w:val="superscript"/>
    </w:rPr>
  </w:style>
  <w:style w:type="paragraph" w:customStyle="1" w:styleId="a">
    <w:name w:val="封面正文"/>
    <w:basedOn w:val="a0"/>
    <w:rsid w:val="00C8243E"/>
    <w:pPr>
      <w:numPr>
        <w:numId w:val="5"/>
      </w:numPr>
      <w:spacing w:afterLines="50" w:line="300" w:lineRule="exact"/>
    </w:pPr>
    <w:rPr>
      <w:rFonts w:ascii="Arial" w:eastAsia="黑体" w:hAnsi="Arial"/>
      <w:b/>
      <w:sz w:val="18"/>
      <w:szCs w:val="21"/>
    </w:rPr>
  </w:style>
  <w:style w:type="character" w:styleId="ac">
    <w:name w:val="Hyperlink"/>
    <w:basedOn w:val="a1"/>
    <w:rsid w:val="00693B26"/>
    <w:rPr>
      <w:color w:val="0000FF"/>
      <w:u w:val="single"/>
    </w:rPr>
  </w:style>
  <w:style w:type="paragraph" w:styleId="ad">
    <w:name w:val="Date"/>
    <w:basedOn w:val="a0"/>
    <w:next w:val="a0"/>
    <w:link w:val="Char3"/>
    <w:rsid w:val="00F07319"/>
    <w:pPr>
      <w:ind w:leftChars="2500" w:left="100"/>
    </w:pPr>
  </w:style>
  <w:style w:type="character" w:customStyle="1" w:styleId="Char3">
    <w:name w:val="日期 Char"/>
    <w:basedOn w:val="a1"/>
    <w:link w:val="ad"/>
    <w:rsid w:val="00F07319"/>
    <w:rPr>
      <w:kern w:val="2"/>
      <w:sz w:val="21"/>
      <w:szCs w:val="24"/>
    </w:rPr>
  </w:style>
  <w:style w:type="character" w:customStyle="1" w:styleId="apple-converted-space">
    <w:name w:val="apple-converted-space"/>
    <w:basedOn w:val="a1"/>
    <w:rsid w:val="00910D98"/>
  </w:style>
  <w:style w:type="character" w:styleId="ae">
    <w:name w:val="Strong"/>
    <w:basedOn w:val="a1"/>
    <w:uiPriority w:val="22"/>
    <w:qFormat/>
    <w:rsid w:val="00634137"/>
    <w:rPr>
      <w:b/>
      <w:bCs/>
    </w:rPr>
  </w:style>
  <w:style w:type="character" w:styleId="af">
    <w:name w:val="Emphasis"/>
    <w:basedOn w:val="a1"/>
    <w:uiPriority w:val="20"/>
    <w:qFormat/>
    <w:rsid w:val="00AD3FFC"/>
    <w:rPr>
      <w:i/>
      <w:iCs/>
    </w:rPr>
  </w:style>
  <w:style w:type="character" w:customStyle="1" w:styleId="3Char">
    <w:name w:val="标题 3 Char"/>
    <w:basedOn w:val="a1"/>
    <w:link w:val="3"/>
    <w:semiHidden/>
    <w:rsid w:val="004A04AC"/>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13894849">
      <w:bodyDiv w:val="1"/>
      <w:marLeft w:val="0"/>
      <w:marRight w:val="0"/>
      <w:marTop w:val="0"/>
      <w:marBottom w:val="0"/>
      <w:divBdr>
        <w:top w:val="none" w:sz="0" w:space="0" w:color="auto"/>
        <w:left w:val="none" w:sz="0" w:space="0" w:color="auto"/>
        <w:bottom w:val="none" w:sz="0" w:space="0" w:color="auto"/>
        <w:right w:val="none" w:sz="0" w:space="0" w:color="auto"/>
      </w:divBdr>
    </w:div>
    <w:div w:id="16274955">
      <w:bodyDiv w:val="1"/>
      <w:marLeft w:val="0"/>
      <w:marRight w:val="0"/>
      <w:marTop w:val="0"/>
      <w:marBottom w:val="0"/>
      <w:divBdr>
        <w:top w:val="none" w:sz="0" w:space="0" w:color="auto"/>
        <w:left w:val="none" w:sz="0" w:space="0" w:color="auto"/>
        <w:bottom w:val="none" w:sz="0" w:space="0" w:color="auto"/>
        <w:right w:val="none" w:sz="0" w:space="0" w:color="auto"/>
      </w:divBdr>
    </w:div>
    <w:div w:id="23411701">
      <w:bodyDiv w:val="1"/>
      <w:marLeft w:val="0"/>
      <w:marRight w:val="0"/>
      <w:marTop w:val="0"/>
      <w:marBottom w:val="0"/>
      <w:divBdr>
        <w:top w:val="none" w:sz="0" w:space="0" w:color="auto"/>
        <w:left w:val="none" w:sz="0" w:space="0" w:color="auto"/>
        <w:bottom w:val="none" w:sz="0" w:space="0" w:color="auto"/>
        <w:right w:val="none" w:sz="0" w:space="0" w:color="auto"/>
      </w:divBdr>
    </w:div>
    <w:div w:id="25525489">
      <w:bodyDiv w:val="1"/>
      <w:marLeft w:val="0"/>
      <w:marRight w:val="0"/>
      <w:marTop w:val="0"/>
      <w:marBottom w:val="0"/>
      <w:divBdr>
        <w:top w:val="none" w:sz="0" w:space="0" w:color="auto"/>
        <w:left w:val="none" w:sz="0" w:space="0" w:color="auto"/>
        <w:bottom w:val="none" w:sz="0" w:space="0" w:color="auto"/>
        <w:right w:val="none" w:sz="0" w:space="0" w:color="auto"/>
      </w:divBdr>
    </w:div>
    <w:div w:id="70586549">
      <w:bodyDiv w:val="1"/>
      <w:marLeft w:val="0"/>
      <w:marRight w:val="0"/>
      <w:marTop w:val="0"/>
      <w:marBottom w:val="0"/>
      <w:divBdr>
        <w:top w:val="none" w:sz="0" w:space="0" w:color="auto"/>
        <w:left w:val="none" w:sz="0" w:space="0" w:color="auto"/>
        <w:bottom w:val="none" w:sz="0" w:space="0" w:color="auto"/>
        <w:right w:val="none" w:sz="0" w:space="0" w:color="auto"/>
      </w:divBdr>
    </w:div>
    <w:div w:id="78066704">
      <w:bodyDiv w:val="1"/>
      <w:marLeft w:val="0"/>
      <w:marRight w:val="0"/>
      <w:marTop w:val="0"/>
      <w:marBottom w:val="0"/>
      <w:divBdr>
        <w:top w:val="none" w:sz="0" w:space="0" w:color="auto"/>
        <w:left w:val="none" w:sz="0" w:space="0" w:color="auto"/>
        <w:bottom w:val="none" w:sz="0" w:space="0" w:color="auto"/>
        <w:right w:val="none" w:sz="0" w:space="0" w:color="auto"/>
      </w:divBdr>
      <w:divsChild>
        <w:div w:id="1650983346">
          <w:marLeft w:val="0"/>
          <w:marRight w:val="0"/>
          <w:marTop w:val="0"/>
          <w:marBottom w:val="0"/>
          <w:divBdr>
            <w:top w:val="none" w:sz="0" w:space="0" w:color="auto"/>
            <w:left w:val="none" w:sz="0" w:space="0" w:color="auto"/>
            <w:bottom w:val="none" w:sz="0" w:space="0" w:color="auto"/>
            <w:right w:val="none" w:sz="0" w:space="0" w:color="auto"/>
          </w:divBdr>
        </w:div>
      </w:divsChild>
    </w:div>
    <w:div w:id="121115112">
      <w:bodyDiv w:val="1"/>
      <w:marLeft w:val="0"/>
      <w:marRight w:val="0"/>
      <w:marTop w:val="0"/>
      <w:marBottom w:val="0"/>
      <w:divBdr>
        <w:top w:val="none" w:sz="0" w:space="0" w:color="auto"/>
        <w:left w:val="none" w:sz="0" w:space="0" w:color="auto"/>
        <w:bottom w:val="none" w:sz="0" w:space="0" w:color="auto"/>
        <w:right w:val="none" w:sz="0" w:space="0" w:color="auto"/>
      </w:divBdr>
    </w:div>
    <w:div w:id="145586903">
      <w:bodyDiv w:val="1"/>
      <w:marLeft w:val="0"/>
      <w:marRight w:val="0"/>
      <w:marTop w:val="0"/>
      <w:marBottom w:val="0"/>
      <w:divBdr>
        <w:top w:val="none" w:sz="0" w:space="0" w:color="auto"/>
        <w:left w:val="none" w:sz="0" w:space="0" w:color="auto"/>
        <w:bottom w:val="none" w:sz="0" w:space="0" w:color="auto"/>
        <w:right w:val="none" w:sz="0" w:space="0" w:color="auto"/>
      </w:divBdr>
    </w:div>
    <w:div w:id="147330219">
      <w:bodyDiv w:val="1"/>
      <w:marLeft w:val="0"/>
      <w:marRight w:val="0"/>
      <w:marTop w:val="0"/>
      <w:marBottom w:val="0"/>
      <w:divBdr>
        <w:top w:val="none" w:sz="0" w:space="0" w:color="auto"/>
        <w:left w:val="none" w:sz="0" w:space="0" w:color="auto"/>
        <w:bottom w:val="none" w:sz="0" w:space="0" w:color="auto"/>
        <w:right w:val="none" w:sz="0" w:space="0" w:color="auto"/>
      </w:divBdr>
    </w:div>
    <w:div w:id="163591332">
      <w:bodyDiv w:val="1"/>
      <w:marLeft w:val="0"/>
      <w:marRight w:val="0"/>
      <w:marTop w:val="0"/>
      <w:marBottom w:val="0"/>
      <w:divBdr>
        <w:top w:val="none" w:sz="0" w:space="0" w:color="auto"/>
        <w:left w:val="none" w:sz="0" w:space="0" w:color="auto"/>
        <w:bottom w:val="none" w:sz="0" w:space="0" w:color="auto"/>
        <w:right w:val="none" w:sz="0" w:space="0" w:color="auto"/>
      </w:divBdr>
    </w:div>
    <w:div w:id="168259160">
      <w:bodyDiv w:val="1"/>
      <w:marLeft w:val="0"/>
      <w:marRight w:val="0"/>
      <w:marTop w:val="0"/>
      <w:marBottom w:val="0"/>
      <w:divBdr>
        <w:top w:val="none" w:sz="0" w:space="0" w:color="auto"/>
        <w:left w:val="none" w:sz="0" w:space="0" w:color="auto"/>
        <w:bottom w:val="none" w:sz="0" w:space="0" w:color="auto"/>
        <w:right w:val="none" w:sz="0" w:space="0" w:color="auto"/>
      </w:divBdr>
    </w:div>
    <w:div w:id="171725926">
      <w:bodyDiv w:val="1"/>
      <w:marLeft w:val="0"/>
      <w:marRight w:val="0"/>
      <w:marTop w:val="0"/>
      <w:marBottom w:val="0"/>
      <w:divBdr>
        <w:top w:val="none" w:sz="0" w:space="0" w:color="auto"/>
        <w:left w:val="none" w:sz="0" w:space="0" w:color="auto"/>
        <w:bottom w:val="none" w:sz="0" w:space="0" w:color="auto"/>
        <w:right w:val="none" w:sz="0" w:space="0" w:color="auto"/>
      </w:divBdr>
    </w:div>
    <w:div w:id="219488527">
      <w:bodyDiv w:val="1"/>
      <w:marLeft w:val="0"/>
      <w:marRight w:val="0"/>
      <w:marTop w:val="0"/>
      <w:marBottom w:val="0"/>
      <w:divBdr>
        <w:top w:val="none" w:sz="0" w:space="0" w:color="auto"/>
        <w:left w:val="none" w:sz="0" w:space="0" w:color="auto"/>
        <w:bottom w:val="none" w:sz="0" w:space="0" w:color="auto"/>
        <w:right w:val="none" w:sz="0" w:space="0" w:color="auto"/>
      </w:divBdr>
    </w:div>
    <w:div w:id="237251031">
      <w:bodyDiv w:val="1"/>
      <w:marLeft w:val="0"/>
      <w:marRight w:val="0"/>
      <w:marTop w:val="0"/>
      <w:marBottom w:val="0"/>
      <w:divBdr>
        <w:top w:val="none" w:sz="0" w:space="0" w:color="auto"/>
        <w:left w:val="none" w:sz="0" w:space="0" w:color="auto"/>
        <w:bottom w:val="none" w:sz="0" w:space="0" w:color="auto"/>
        <w:right w:val="none" w:sz="0" w:space="0" w:color="auto"/>
      </w:divBdr>
    </w:div>
    <w:div w:id="238297977">
      <w:bodyDiv w:val="1"/>
      <w:marLeft w:val="0"/>
      <w:marRight w:val="0"/>
      <w:marTop w:val="0"/>
      <w:marBottom w:val="0"/>
      <w:divBdr>
        <w:top w:val="none" w:sz="0" w:space="0" w:color="auto"/>
        <w:left w:val="none" w:sz="0" w:space="0" w:color="auto"/>
        <w:bottom w:val="none" w:sz="0" w:space="0" w:color="auto"/>
        <w:right w:val="none" w:sz="0" w:space="0" w:color="auto"/>
      </w:divBdr>
    </w:div>
    <w:div w:id="245186467">
      <w:bodyDiv w:val="1"/>
      <w:marLeft w:val="0"/>
      <w:marRight w:val="0"/>
      <w:marTop w:val="0"/>
      <w:marBottom w:val="0"/>
      <w:divBdr>
        <w:top w:val="none" w:sz="0" w:space="0" w:color="auto"/>
        <w:left w:val="none" w:sz="0" w:space="0" w:color="auto"/>
        <w:bottom w:val="none" w:sz="0" w:space="0" w:color="auto"/>
        <w:right w:val="none" w:sz="0" w:space="0" w:color="auto"/>
      </w:divBdr>
    </w:div>
    <w:div w:id="280916154">
      <w:bodyDiv w:val="1"/>
      <w:marLeft w:val="0"/>
      <w:marRight w:val="0"/>
      <w:marTop w:val="0"/>
      <w:marBottom w:val="0"/>
      <w:divBdr>
        <w:top w:val="none" w:sz="0" w:space="0" w:color="auto"/>
        <w:left w:val="none" w:sz="0" w:space="0" w:color="auto"/>
        <w:bottom w:val="none" w:sz="0" w:space="0" w:color="auto"/>
        <w:right w:val="none" w:sz="0" w:space="0" w:color="auto"/>
      </w:divBdr>
    </w:div>
    <w:div w:id="328486541">
      <w:bodyDiv w:val="1"/>
      <w:marLeft w:val="0"/>
      <w:marRight w:val="0"/>
      <w:marTop w:val="0"/>
      <w:marBottom w:val="0"/>
      <w:divBdr>
        <w:top w:val="none" w:sz="0" w:space="0" w:color="auto"/>
        <w:left w:val="none" w:sz="0" w:space="0" w:color="auto"/>
        <w:bottom w:val="none" w:sz="0" w:space="0" w:color="auto"/>
        <w:right w:val="none" w:sz="0" w:space="0" w:color="auto"/>
      </w:divBdr>
    </w:div>
    <w:div w:id="374744327">
      <w:bodyDiv w:val="1"/>
      <w:marLeft w:val="0"/>
      <w:marRight w:val="0"/>
      <w:marTop w:val="0"/>
      <w:marBottom w:val="0"/>
      <w:divBdr>
        <w:top w:val="none" w:sz="0" w:space="0" w:color="auto"/>
        <w:left w:val="none" w:sz="0" w:space="0" w:color="auto"/>
        <w:bottom w:val="none" w:sz="0" w:space="0" w:color="auto"/>
        <w:right w:val="none" w:sz="0" w:space="0" w:color="auto"/>
      </w:divBdr>
    </w:div>
    <w:div w:id="378744110">
      <w:bodyDiv w:val="1"/>
      <w:marLeft w:val="0"/>
      <w:marRight w:val="0"/>
      <w:marTop w:val="0"/>
      <w:marBottom w:val="0"/>
      <w:divBdr>
        <w:top w:val="none" w:sz="0" w:space="0" w:color="auto"/>
        <w:left w:val="none" w:sz="0" w:space="0" w:color="auto"/>
        <w:bottom w:val="none" w:sz="0" w:space="0" w:color="auto"/>
        <w:right w:val="none" w:sz="0" w:space="0" w:color="auto"/>
      </w:divBdr>
    </w:div>
    <w:div w:id="411046400">
      <w:bodyDiv w:val="1"/>
      <w:marLeft w:val="0"/>
      <w:marRight w:val="0"/>
      <w:marTop w:val="0"/>
      <w:marBottom w:val="0"/>
      <w:divBdr>
        <w:top w:val="none" w:sz="0" w:space="0" w:color="auto"/>
        <w:left w:val="none" w:sz="0" w:space="0" w:color="auto"/>
        <w:bottom w:val="none" w:sz="0" w:space="0" w:color="auto"/>
        <w:right w:val="none" w:sz="0" w:space="0" w:color="auto"/>
      </w:divBdr>
    </w:div>
    <w:div w:id="440419783">
      <w:bodyDiv w:val="1"/>
      <w:marLeft w:val="0"/>
      <w:marRight w:val="0"/>
      <w:marTop w:val="0"/>
      <w:marBottom w:val="0"/>
      <w:divBdr>
        <w:top w:val="none" w:sz="0" w:space="0" w:color="auto"/>
        <w:left w:val="none" w:sz="0" w:space="0" w:color="auto"/>
        <w:bottom w:val="none" w:sz="0" w:space="0" w:color="auto"/>
        <w:right w:val="none" w:sz="0" w:space="0" w:color="auto"/>
      </w:divBdr>
    </w:div>
    <w:div w:id="463086346">
      <w:bodyDiv w:val="1"/>
      <w:marLeft w:val="0"/>
      <w:marRight w:val="0"/>
      <w:marTop w:val="0"/>
      <w:marBottom w:val="0"/>
      <w:divBdr>
        <w:top w:val="none" w:sz="0" w:space="0" w:color="auto"/>
        <w:left w:val="none" w:sz="0" w:space="0" w:color="auto"/>
        <w:bottom w:val="none" w:sz="0" w:space="0" w:color="auto"/>
        <w:right w:val="none" w:sz="0" w:space="0" w:color="auto"/>
      </w:divBdr>
    </w:div>
    <w:div w:id="479998479">
      <w:bodyDiv w:val="1"/>
      <w:marLeft w:val="0"/>
      <w:marRight w:val="0"/>
      <w:marTop w:val="0"/>
      <w:marBottom w:val="0"/>
      <w:divBdr>
        <w:top w:val="none" w:sz="0" w:space="0" w:color="auto"/>
        <w:left w:val="none" w:sz="0" w:space="0" w:color="auto"/>
        <w:bottom w:val="none" w:sz="0" w:space="0" w:color="auto"/>
        <w:right w:val="none" w:sz="0" w:space="0" w:color="auto"/>
      </w:divBdr>
    </w:div>
    <w:div w:id="493035639">
      <w:bodyDiv w:val="1"/>
      <w:marLeft w:val="0"/>
      <w:marRight w:val="0"/>
      <w:marTop w:val="0"/>
      <w:marBottom w:val="0"/>
      <w:divBdr>
        <w:top w:val="none" w:sz="0" w:space="0" w:color="auto"/>
        <w:left w:val="none" w:sz="0" w:space="0" w:color="auto"/>
        <w:bottom w:val="none" w:sz="0" w:space="0" w:color="auto"/>
        <w:right w:val="none" w:sz="0" w:space="0" w:color="auto"/>
      </w:divBdr>
    </w:div>
    <w:div w:id="518350410">
      <w:bodyDiv w:val="1"/>
      <w:marLeft w:val="0"/>
      <w:marRight w:val="0"/>
      <w:marTop w:val="0"/>
      <w:marBottom w:val="0"/>
      <w:divBdr>
        <w:top w:val="none" w:sz="0" w:space="0" w:color="auto"/>
        <w:left w:val="none" w:sz="0" w:space="0" w:color="auto"/>
        <w:bottom w:val="none" w:sz="0" w:space="0" w:color="auto"/>
        <w:right w:val="none" w:sz="0" w:space="0" w:color="auto"/>
      </w:divBdr>
    </w:div>
    <w:div w:id="524904679">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50190915">
      <w:bodyDiv w:val="1"/>
      <w:marLeft w:val="0"/>
      <w:marRight w:val="0"/>
      <w:marTop w:val="0"/>
      <w:marBottom w:val="0"/>
      <w:divBdr>
        <w:top w:val="none" w:sz="0" w:space="0" w:color="auto"/>
        <w:left w:val="none" w:sz="0" w:space="0" w:color="auto"/>
        <w:bottom w:val="none" w:sz="0" w:space="0" w:color="auto"/>
        <w:right w:val="none" w:sz="0" w:space="0" w:color="auto"/>
      </w:divBdr>
    </w:div>
    <w:div w:id="572859132">
      <w:bodyDiv w:val="1"/>
      <w:marLeft w:val="0"/>
      <w:marRight w:val="0"/>
      <w:marTop w:val="0"/>
      <w:marBottom w:val="0"/>
      <w:divBdr>
        <w:top w:val="none" w:sz="0" w:space="0" w:color="auto"/>
        <w:left w:val="none" w:sz="0" w:space="0" w:color="auto"/>
        <w:bottom w:val="none" w:sz="0" w:space="0" w:color="auto"/>
        <w:right w:val="none" w:sz="0" w:space="0" w:color="auto"/>
      </w:divBdr>
    </w:div>
    <w:div w:id="574438259">
      <w:bodyDiv w:val="1"/>
      <w:marLeft w:val="0"/>
      <w:marRight w:val="0"/>
      <w:marTop w:val="0"/>
      <w:marBottom w:val="0"/>
      <w:divBdr>
        <w:top w:val="none" w:sz="0" w:space="0" w:color="auto"/>
        <w:left w:val="none" w:sz="0" w:space="0" w:color="auto"/>
        <w:bottom w:val="none" w:sz="0" w:space="0" w:color="auto"/>
        <w:right w:val="none" w:sz="0" w:space="0" w:color="auto"/>
      </w:divBdr>
    </w:div>
    <w:div w:id="585379890">
      <w:bodyDiv w:val="1"/>
      <w:marLeft w:val="0"/>
      <w:marRight w:val="0"/>
      <w:marTop w:val="0"/>
      <w:marBottom w:val="0"/>
      <w:divBdr>
        <w:top w:val="none" w:sz="0" w:space="0" w:color="auto"/>
        <w:left w:val="none" w:sz="0" w:space="0" w:color="auto"/>
        <w:bottom w:val="none" w:sz="0" w:space="0" w:color="auto"/>
        <w:right w:val="none" w:sz="0" w:space="0" w:color="auto"/>
      </w:divBdr>
    </w:div>
    <w:div w:id="603997062">
      <w:bodyDiv w:val="1"/>
      <w:marLeft w:val="0"/>
      <w:marRight w:val="0"/>
      <w:marTop w:val="0"/>
      <w:marBottom w:val="0"/>
      <w:divBdr>
        <w:top w:val="none" w:sz="0" w:space="0" w:color="auto"/>
        <w:left w:val="none" w:sz="0" w:space="0" w:color="auto"/>
        <w:bottom w:val="none" w:sz="0" w:space="0" w:color="auto"/>
        <w:right w:val="none" w:sz="0" w:space="0" w:color="auto"/>
      </w:divBdr>
    </w:div>
    <w:div w:id="638345314">
      <w:bodyDiv w:val="1"/>
      <w:marLeft w:val="0"/>
      <w:marRight w:val="0"/>
      <w:marTop w:val="0"/>
      <w:marBottom w:val="0"/>
      <w:divBdr>
        <w:top w:val="none" w:sz="0" w:space="0" w:color="auto"/>
        <w:left w:val="none" w:sz="0" w:space="0" w:color="auto"/>
        <w:bottom w:val="none" w:sz="0" w:space="0" w:color="auto"/>
        <w:right w:val="none" w:sz="0" w:space="0" w:color="auto"/>
      </w:divBdr>
    </w:div>
    <w:div w:id="667708193">
      <w:bodyDiv w:val="1"/>
      <w:marLeft w:val="0"/>
      <w:marRight w:val="0"/>
      <w:marTop w:val="0"/>
      <w:marBottom w:val="0"/>
      <w:divBdr>
        <w:top w:val="none" w:sz="0" w:space="0" w:color="auto"/>
        <w:left w:val="none" w:sz="0" w:space="0" w:color="auto"/>
        <w:bottom w:val="none" w:sz="0" w:space="0" w:color="auto"/>
        <w:right w:val="none" w:sz="0" w:space="0" w:color="auto"/>
      </w:divBdr>
    </w:div>
    <w:div w:id="698429567">
      <w:bodyDiv w:val="1"/>
      <w:marLeft w:val="0"/>
      <w:marRight w:val="0"/>
      <w:marTop w:val="0"/>
      <w:marBottom w:val="0"/>
      <w:divBdr>
        <w:top w:val="none" w:sz="0" w:space="0" w:color="auto"/>
        <w:left w:val="none" w:sz="0" w:space="0" w:color="auto"/>
        <w:bottom w:val="none" w:sz="0" w:space="0" w:color="auto"/>
        <w:right w:val="none" w:sz="0" w:space="0" w:color="auto"/>
      </w:divBdr>
    </w:div>
    <w:div w:id="704670132">
      <w:bodyDiv w:val="1"/>
      <w:marLeft w:val="0"/>
      <w:marRight w:val="0"/>
      <w:marTop w:val="0"/>
      <w:marBottom w:val="0"/>
      <w:divBdr>
        <w:top w:val="none" w:sz="0" w:space="0" w:color="auto"/>
        <w:left w:val="none" w:sz="0" w:space="0" w:color="auto"/>
        <w:bottom w:val="none" w:sz="0" w:space="0" w:color="auto"/>
        <w:right w:val="none" w:sz="0" w:space="0" w:color="auto"/>
      </w:divBdr>
    </w:div>
    <w:div w:id="808400455">
      <w:bodyDiv w:val="1"/>
      <w:marLeft w:val="0"/>
      <w:marRight w:val="0"/>
      <w:marTop w:val="0"/>
      <w:marBottom w:val="0"/>
      <w:divBdr>
        <w:top w:val="none" w:sz="0" w:space="0" w:color="auto"/>
        <w:left w:val="none" w:sz="0" w:space="0" w:color="auto"/>
        <w:bottom w:val="none" w:sz="0" w:space="0" w:color="auto"/>
        <w:right w:val="none" w:sz="0" w:space="0" w:color="auto"/>
      </w:divBdr>
    </w:div>
    <w:div w:id="848061686">
      <w:bodyDiv w:val="1"/>
      <w:marLeft w:val="0"/>
      <w:marRight w:val="0"/>
      <w:marTop w:val="0"/>
      <w:marBottom w:val="0"/>
      <w:divBdr>
        <w:top w:val="none" w:sz="0" w:space="0" w:color="auto"/>
        <w:left w:val="none" w:sz="0" w:space="0" w:color="auto"/>
        <w:bottom w:val="none" w:sz="0" w:space="0" w:color="auto"/>
        <w:right w:val="none" w:sz="0" w:space="0" w:color="auto"/>
      </w:divBdr>
    </w:div>
    <w:div w:id="892891338">
      <w:bodyDiv w:val="1"/>
      <w:marLeft w:val="0"/>
      <w:marRight w:val="0"/>
      <w:marTop w:val="0"/>
      <w:marBottom w:val="0"/>
      <w:divBdr>
        <w:top w:val="none" w:sz="0" w:space="0" w:color="auto"/>
        <w:left w:val="none" w:sz="0" w:space="0" w:color="auto"/>
        <w:bottom w:val="none" w:sz="0" w:space="0" w:color="auto"/>
        <w:right w:val="none" w:sz="0" w:space="0" w:color="auto"/>
      </w:divBdr>
    </w:div>
    <w:div w:id="903837507">
      <w:bodyDiv w:val="1"/>
      <w:marLeft w:val="0"/>
      <w:marRight w:val="0"/>
      <w:marTop w:val="0"/>
      <w:marBottom w:val="0"/>
      <w:divBdr>
        <w:top w:val="none" w:sz="0" w:space="0" w:color="auto"/>
        <w:left w:val="none" w:sz="0" w:space="0" w:color="auto"/>
        <w:bottom w:val="none" w:sz="0" w:space="0" w:color="auto"/>
        <w:right w:val="none" w:sz="0" w:space="0" w:color="auto"/>
      </w:divBdr>
    </w:div>
    <w:div w:id="917787237">
      <w:bodyDiv w:val="1"/>
      <w:marLeft w:val="0"/>
      <w:marRight w:val="0"/>
      <w:marTop w:val="0"/>
      <w:marBottom w:val="0"/>
      <w:divBdr>
        <w:top w:val="none" w:sz="0" w:space="0" w:color="auto"/>
        <w:left w:val="none" w:sz="0" w:space="0" w:color="auto"/>
        <w:bottom w:val="none" w:sz="0" w:space="0" w:color="auto"/>
        <w:right w:val="none" w:sz="0" w:space="0" w:color="auto"/>
      </w:divBdr>
    </w:div>
    <w:div w:id="959260481">
      <w:bodyDiv w:val="1"/>
      <w:marLeft w:val="0"/>
      <w:marRight w:val="0"/>
      <w:marTop w:val="0"/>
      <w:marBottom w:val="0"/>
      <w:divBdr>
        <w:top w:val="none" w:sz="0" w:space="0" w:color="auto"/>
        <w:left w:val="none" w:sz="0" w:space="0" w:color="auto"/>
        <w:bottom w:val="none" w:sz="0" w:space="0" w:color="auto"/>
        <w:right w:val="none" w:sz="0" w:space="0" w:color="auto"/>
      </w:divBdr>
    </w:div>
    <w:div w:id="967052388">
      <w:bodyDiv w:val="1"/>
      <w:marLeft w:val="0"/>
      <w:marRight w:val="0"/>
      <w:marTop w:val="0"/>
      <w:marBottom w:val="0"/>
      <w:divBdr>
        <w:top w:val="none" w:sz="0" w:space="0" w:color="auto"/>
        <w:left w:val="none" w:sz="0" w:space="0" w:color="auto"/>
        <w:bottom w:val="none" w:sz="0" w:space="0" w:color="auto"/>
        <w:right w:val="none" w:sz="0" w:space="0" w:color="auto"/>
      </w:divBdr>
    </w:div>
    <w:div w:id="993992065">
      <w:bodyDiv w:val="1"/>
      <w:marLeft w:val="0"/>
      <w:marRight w:val="0"/>
      <w:marTop w:val="0"/>
      <w:marBottom w:val="0"/>
      <w:divBdr>
        <w:top w:val="none" w:sz="0" w:space="0" w:color="auto"/>
        <w:left w:val="none" w:sz="0" w:space="0" w:color="auto"/>
        <w:bottom w:val="none" w:sz="0" w:space="0" w:color="auto"/>
        <w:right w:val="none" w:sz="0" w:space="0" w:color="auto"/>
      </w:divBdr>
    </w:div>
    <w:div w:id="1016274208">
      <w:bodyDiv w:val="1"/>
      <w:marLeft w:val="0"/>
      <w:marRight w:val="0"/>
      <w:marTop w:val="0"/>
      <w:marBottom w:val="0"/>
      <w:divBdr>
        <w:top w:val="none" w:sz="0" w:space="0" w:color="auto"/>
        <w:left w:val="none" w:sz="0" w:space="0" w:color="auto"/>
        <w:bottom w:val="none" w:sz="0" w:space="0" w:color="auto"/>
        <w:right w:val="none" w:sz="0" w:space="0" w:color="auto"/>
      </w:divBdr>
    </w:div>
    <w:div w:id="1021325216">
      <w:bodyDiv w:val="1"/>
      <w:marLeft w:val="0"/>
      <w:marRight w:val="0"/>
      <w:marTop w:val="0"/>
      <w:marBottom w:val="0"/>
      <w:divBdr>
        <w:top w:val="none" w:sz="0" w:space="0" w:color="auto"/>
        <w:left w:val="none" w:sz="0" w:space="0" w:color="auto"/>
        <w:bottom w:val="none" w:sz="0" w:space="0" w:color="auto"/>
        <w:right w:val="none" w:sz="0" w:space="0" w:color="auto"/>
      </w:divBdr>
    </w:div>
    <w:div w:id="1046176771">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54351425">
      <w:bodyDiv w:val="1"/>
      <w:marLeft w:val="0"/>
      <w:marRight w:val="0"/>
      <w:marTop w:val="0"/>
      <w:marBottom w:val="0"/>
      <w:divBdr>
        <w:top w:val="none" w:sz="0" w:space="0" w:color="auto"/>
        <w:left w:val="none" w:sz="0" w:space="0" w:color="auto"/>
        <w:bottom w:val="none" w:sz="0" w:space="0" w:color="auto"/>
        <w:right w:val="none" w:sz="0" w:space="0" w:color="auto"/>
      </w:divBdr>
    </w:div>
    <w:div w:id="1075663429">
      <w:bodyDiv w:val="1"/>
      <w:marLeft w:val="0"/>
      <w:marRight w:val="0"/>
      <w:marTop w:val="0"/>
      <w:marBottom w:val="0"/>
      <w:divBdr>
        <w:top w:val="none" w:sz="0" w:space="0" w:color="auto"/>
        <w:left w:val="none" w:sz="0" w:space="0" w:color="auto"/>
        <w:bottom w:val="none" w:sz="0" w:space="0" w:color="auto"/>
        <w:right w:val="none" w:sz="0" w:space="0" w:color="auto"/>
      </w:divBdr>
    </w:div>
    <w:div w:id="1087775832">
      <w:bodyDiv w:val="1"/>
      <w:marLeft w:val="0"/>
      <w:marRight w:val="0"/>
      <w:marTop w:val="0"/>
      <w:marBottom w:val="0"/>
      <w:divBdr>
        <w:top w:val="none" w:sz="0" w:space="0" w:color="auto"/>
        <w:left w:val="none" w:sz="0" w:space="0" w:color="auto"/>
        <w:bottom w:val="none" w:sz="0" w:space="0" w:color="auto"/>
        <w:right w:val="none" w:sz="0" w:space="0" w:color="auto"/>
      </w:divBdr>
    </w:div>
    <w:div w:id="1089929350">
      <w:bodyDiv w:val="1"/>
      <w:marLeft w:val="0"/>
      <w:marRight w:val="0"/>
      <w:marTop w:val="0"/>
      <w:marBottom w:val="0"/>
      <w:divBdr>
        <w:top w:val="none" w:sz="0" w:space="0" w:color="auto"/>
        <w:left w:val="none" w:sz="0" w:space="0" w:color="auto"/>
        <w:bottom w:val="none" w:sz="0" w:space="0" w:color="auto"/>
        <w:right w:val="none" w:sz="0" w:space="0" w:color="auto"/>
      </w:divBdr>
    </w:div>
    <w:div w:id="1098987257">
      <w:bodyDiv w:val="1"/>
      <w:marLeft w:val="0"/>
      <w:marRight w:val="0"/>
      <w:marTop w:val="0"/>
      <w:marBottom w:val="0"/>
      <w:divBdr>
        <w:top w:val="none" w:sz="0" w:space="0" w:color="auto"/>
        <w:left w:val="none" w:sz="0" w:space="0" w:color="auto"/>
        <w:bottom w:val="none" w:sz="0" w:space="0" w:color="auto"/>
        <w:right w:val="none" w:sz="0" w:space="0" w:color="auto"/>
      </w:divBdr>
    </w:div>
    <w:div w:id="1150826043">
      <w:bodyDiv w:val="1"/>
      <w:marLeft w:val="0"/>
      <w:marRight w:val="0"/>
      <w:marTop w:val="0"/>
      <w:marBottom w:val="0"/>
      <w:divBdr>
        <w:top w:val="none" w:sz="0" w:space="0" w:color="auto"/>
        <w:left w:val="none" w:sz="0" w:space="0" w:color="auto"/>
        <w:bottom w:val="none" w:sz="0" w:space="0" w:color="auto"/>
        <w:right w:val="none" w:sz="0" w:space="0" w:color="auto"/>
      </w:divBdr>
    </w:div>
    <w:div w:id="1153066658">
      <w:bodyDiv w:val="1"/>
      <w:marLeft w:val="0"/>
      <w:marRight w:val="0"/>
      <w:marTop w:val="0"/>
      <w:marBottom w:val="0"/>
      <w:divBdr>
        <w:top w:val="none" w:sz="0" w:space="0" w:color="auto"/>
        <w:left w:val="none" w:sz="0" w:space="0" w:color="auto"/>
        <w:bottom w:val="none" w:sz="0" w:space="0" w:color="auto"/>
        <w:right w:val="none" w:sz="0" w:space="0" w:color="auto"/>
      </w:divBdr>
    </w:div>
    <w:div w:id="1160195237">
      <w:bodyDiv w:val="1"/>
      <w:marLeft w:val="0"/>
      <w:marRight w:val="0"/>
      <w:marTop w:val="0"/>
      <w:marBottom w:val="0"/>
      <w:divBdr>
        <w:top w:val="none" w:sz="0" w:space="0" w:color="auto"/>
        <w:left w:val="none" w:sz="0" w:space="0" w:color="auto"/>
        <w:bottom w:val="none" w:sz="0" w:space="0" w:color="auto"/>
        <w:right w:val="none" w:sz="0" w:space="0" w:color="auto"/>
      </w:divBdr>
    </w:div>
    <w:div w:id="1202941925">
      <w:bodyDiv w:val="1"/>
      <w:marLeft w:val="0"/>
      <w:marRight w:val="0"/>
      <w:marTop w:val="0"/>
      <w:marBottom w:val="0"/>
      <w:divBdr>
        <w:top w:val="none" w:sz="0" w:space="0" w:color="auto"/>
        <w:left w:val="none" w:sz="0" w:space="0" w:color="auto"/>
        <w:bottom w:val="none" w:sz="0" w:space="0" w:color="auto"/>
        <w:right w:val="none" w:sz="0" w:space="0" w:color="auto"/>
      </w:divBdr>
    </w:div>
    <w:div w:id="1218586229">
      <w:bodyDiv w:val="1"/>
      <w:marLeft w:val="0"/>
      <w:marRight w:val="0"/>
      <w:marTop w:val="0"/>
      <w:marBottom w:val="0"/>
      <w:divBdr>
        <w:top w:val="none" w:sz="0" w:space="0" w:color="auto"/>
        <w:left w:val="none" w:sz="0" w:space="0" w:color="auto"/>
        <w:bottom w:val="none" w:sz="0" w:space="0" w:color="auto"/>
        <w:right w:val="none" w:sz="0" w:space="0" w:color="auto"/>
      </w:divBdr>
    </w:div>
    <w:div w:id="1249540012">
      <w:bodyDiv w:val="1"/>
      <w:marLeft w:val="0"/>
      <w:marRight w:val="0"/>
      <w:marTop w:val="0"/>
      <w:marBottom w:val="0"/>
      <w:divBdr>
        <w:top w:val="none" w:sz="0" w:space="0" w:color="auto"/>
        <w:left w:val="none" w:sz="0" w:space="0" w:color="auto"/>
        <w:bottom w:val="none" w:sz="0" w:space="0" w:color="auto"/>
        <w:right w:val="none" w:sz="0" w:space="0" w:color="auto"/>
      </w:divBdr>
    </w:div>
    <w:div w:id="1268926960">
      <w:bodyDiv w:val="1"/>
      <w:marLeft w:val="0"/>
      <w:marRight w:val="0"/>
      <w:marTop w:val="0"/>
      <w:marBottom w:val="0"/>
      <w:divBdr>
        <w:top w:val="none" w:sz="0" w:space="0" w:color="auto"/>
        <w:left w:val="none" w:sz="0" w:space="0" w:color="auto"/>
        <w:bottom w:val="none" w:sz="0" w:space="0" w:color="auto"/>
        <w:right w:val="none" w:sz="0" w:space="0" w:color="auto"/>
      </w:divBdr>
    </w:div>
    <w:div w:id="1296065323">
      <w:bodyDiv w:val="1"/>
      <w:marLeft w:val="0"/>
      <w:marRight w:val="0"/>
      <w:marTop w:val="0"/>
      <w:marBottom w:val="0"/>
      <w:divBdr>
        <w:top w:val="none" w:sz="0" w:space="0" w:color="auto"/>
        <w:left w:val="none" w:sz="0" w:space="0" w:color="auto"/>
        <w:bottom w:val="none" w:sz="0" w:space="0" w:color="auto"/>
        <w:right w:val="none" w:sz="0" w:space="0" w:color="auto"/>
      </w:divBdr>
    </w:div>
    <w:div w:id="1309749425">
      <w:bodyDiv w:val="1"/>
      <w:marLeft w:val="0"/>
      <w:marRight w:val="0"/>
      <w:marTop w:val="0"/>
      <w:marBottom w:val="0"/>
      <w:divBdr>
        <w:top w:val="none" w:sz="0" w:space="0" w:color="auto"/>
        <w:left w:val="none" w:sz="0" w:space="0" w:color="auto"/>
        <w:bottom w:val="none" w:sz="0" w:space="0" w:color="auto"/>
        <w:right w:val="none" w:sz="0" w:space="0" w:color="auto"/>
      </w:divBdr>
    </w:div>
    <w:div w:id="1313414797">
      <w:bodyDiv w:val="1"/>
      <w:marLeft w:val="0"/>
      <w:marRight w:val="0"/>
      <w:marTop w:val="0"/>
      <w:marBottom w:val="0"/>
      <w:divBdr>
        <w:top w:val="none" w:sz="0" w:space="0" w:color="auto"/>
        <w:left w:val="none" w:sz="0" w:space="0" w:color="auto"/>
        <w:bottom w:val="none" w:sz="0" w:space="0" w:color="auto"/>
        <w:right w:val="none" w:sz="0" w:space="0" w:color="auto"/>
      </w:divBdr>
    </w:div>
    <w:div w:id="1314869975">
      <w:bodyDiv w:val="1"/>
      <w:marLeft w:val="0"/>
      <w:marRight w:val="0"/>
      <w:marTop w:val="0"/>
      <w:marBottom w:val="0"/>
      <w:divBdr>
        <w:top w:val="none" w:sz="0" w:space="0" w:color="auto"/>
        <w:left w:val="none" w:sz="0" w:space="0" w:color="auto"/>
        <w:bottom w:val="none" w:sz="0" w:space="0" w:color="auto"/>
        <w:right w:val="none" w:sz="0" w:space="0" w:color="auto"/>
      </w:divBdr>
    </w:div>
    <w:div w:id="1340280989">
      <w:bodyDiv w:val="1"/>
      <w:marLeft w:val="0"/>
      <w:marRight w:val="0"/>
      <w:marTop w:val="0"/>
      <w:marBottom w:val="0"/>
      <w:divBdr>
        <w:top w:val="none" w:sz="0" w:space="0" w:color="auto"/>
        <w:left w:val="none" w:sz="0" w:space="0" w:color="auto"/>
        <w:bottom w:val="none" w:sz="0" w:space="0" w:color="auto"/>
        <w:right w:val="none" w:sz="0" w:space="0" w:color="auto"/>
      </w:divBdr>
    </w:div>
    <w:div w:id="1341002971">
      <w:bodyDiv w:val="1"/>
      <w:marLeft w:val="0"/>
      <w:marRight w:val="0"/>
      <w:marTop w:val="0"/>
      <w:marBottom w:val="0"/>
      <w:divBdr>
        <w:top w:val="none" w:sz="0" w:space="0" w:color="auto"/>
        <w:left w:val="none" w:sz="0" w:space="0" w:color="auto"/>
        <w:bottom w:val="none" w:sz="0" w:space="0" w:color="auto"/>
        <w:right w:val="none" w:sz="0" w:space="0" w:color="auto"/>
      </w:divBdr>
    </w:div>
    <w:div w:id="1343123376">
      <w:bodyDiv w:val="1"/>
      <w:marLeft w:val="0"/>
      <w:marRight w:val="0"/>
      <w:marTop w:val="0"/>
      <w:marBottom w:val="0"/>
      <w:divBdr>
        <w:top w:val="none" w:sz="0" w:space="0" w:color="auto"/>
        <w:left w:val="none" w:sz="0" w:space="0" w:color="auto"/>
        <w:bottom w:val="none" w:sz="0" w:space="0" w:color="auto"/>
        <w:right w:val="none" w:sz="0" w:space="0" w:color="auto"/>
      </w:divBdr>
    </w:div>
    <w:div w:id="1346325592">
      <w:bodyDiv w:val="1"/>
      <w:marLeft w:val="0"/>
      <w:marRight w:val="0"/>
      <w:marTop w:val="0"/>
      <w:marBottom w:val="0"/>
      <w:divBdr>
        <w:top w:val="none" w:sz="0" w:space="0" w:color="auto"/>
        <w:left w:val="none" w:sz="0" w:space="0" w:color="auto"/>
        <w:bottom w:val="none" w:sz="0" w:space="0" w:color="auto"/>
        <w:right w:val="none" w:sz="0" w:space="0" w:color="auto"/>
      </w:divBdr>
    </w:div>
    <w:div w:id="1355885688">
      <w:bodyDiv w:val="1"/>
      <w:marLeft w:val="0"/>
      <w:marRight w:val="0"/>
      <w:marTop w:val="0"/>
      <w:marBottom w:val="0"/>
      <w:divBdr>
        <w:top w:val="none" w:sz="0" w:space="0" w:color="auto"/>
        <w:left w:val="none" w:sz="0" w:space="0" w:color="auto"/>
        <w:bottom w:val="none" w:sz="0" w:space="0" w:color="auto"/>
        <w:right w:val="none" w:sz="0" w:space="0" w:color="auto"/>
      </w:divBdr>
    </w:div>
    <w:div w:id="1356421243">
      <w:bodyDiv w:val="1"/>
      <w:marLeft w:val="0"/>
      <w:marRight w:val="0"/>
      <w:marTop w:val="0"/>
      <w:marBottom w:val="0"/>
      <w:divBdr>
        <w:top w:val="none" w:sz="0" w:space="0" w:color="auto"/>
        <w:left w:val="none" w:sz="0" w:space="0" w:color="auto"/>
        <w:bottom w:val="none" w:sz="0" w:space="0" w:color="auto"/>
        <w:right w:val="none" w:sz="0" w:space="0" w:color="auto"/>
      </w:divBdr>
    </w:div>
    <w:div w:id="1384215942">
      <w:bodyDiv w:val="1"/>
      <w:marLeft w:val="0"/>
      <w:marRight w:val="0"/>
      <w:marTop w:val="0"/>
      <w:marBottom w:val="0"/>
      <w:divBdr>
        <w:top w:val="none" w:sz="0" w:space="0" w:color="auto"/>
        <w:left w:val="none" w:sz="0" w:space="0" w:color="auto"/>
        <w:bottom w:val="none" w:sz="0" w:space="0" w:color="auto"/>
        <w:right w:val="none" w:sz="0" w:space="0" w:color="auto"/>
      </w:divBdr>
    </w:div>
    <w:div w:id="1405103025">
      <w:bodyDiv w:val="1"/>
      <w:marLeft w:val="0"/>
      <w:marRight w:val="0"/>
      <w:marTop w:val="0"/>
      <w:marBottom w:val="0"/>
      <w:divBdr>
        <w:top w:val="none" w:sz="0" w:space="0" w:color="auto"/>
        <w:left w:val="none" w:sz="0" w:space="0" w:color="auto"/>
        <w:bottom w:val="none" w:sz="0" w:space="0" w:color="auto"/>
        <w:right w:val="none" w:sz="0" w:space="0" w:color="auto"/>
      </w:divBdr>
    </w:div>
    <w:div w:id="1433476168">
      <w:bodyDiv w:val="1"/>
      <w:marLeft w:val="0"/>
      <w:marRight w:val="0"/>
      <w:marTop w:val="0"/>
      <w:marBottom w:val="0"/>
      <w:divBdr>
        <w:top w:val="none" w:sz="0" w:space="0" w:color="auto"/>
        <w:left w:val="none" w:sz="0" w:space="0" w:color="auto"/>
        <w:bottom w:val="none" w:sz="0" w:space="0" w:color="auto"/>
        <w:right w:val="none" w:sz="0" w:space="0" w:color="auto"/>
      </w:divBdr>
    </w:div>
    <w:div w:id="1438595576">
      <w:bodyDiv w:val="1"/>
      <w:marLeft w:val="0"/>
      <w:marRight w:val="0"/>
      <w:marTop w:val="0"/>
      <w:marBottom w:val="0"/>
      <w:divBdr>
        <w:top w:val="none" w:sz="0" w:space="0" w:color="auto"/>
        <w:left w:val="none" w:sz="0" w:space="0" w:color="auto"/>
        <w:bottom w:val="none" w:sz="0" w:space="0" w:color="auto"/>
        <w:right w:val="none" w:sz="0" w:space="0" w:color="auto"/>
      </w:divBdr>
    </w:div>
    <w:div w:id="1458138511">
      <w:bodyDiv w:val="1"/>
      <w:marLeft w:val="0"/>
      <w:marRight w:val="0"/>
      <w:marTop w:val="0"/>
      <w:marBottom w:val="0"/>
      <w:divBdr>
        <w:top w:val="none" w:sz="0" w:space="0" w:color="auto"/>
        <w:left w:val="none" w:sz="0" w:space="0" w:color="auto"/>
        <w:bottom w:val="none" w:sz="0" w:space="0" w:color="auto"/>
        <w:right w:val="none" w:sz="0" w:space="0" w:color="auto"/>
      </w:divBdr>
    </w:div>
    <w:div w:id="1475291933">
      <w:bodyDiv w:val="1"/>
      <w:marLeft w:val="0"/>
      <w:marRight w:val="0"/>
      <w:marTop w:val="0"/>
      <w:marBottom w:val="0"/>
      <w:divBdr>
        <w:top w:val="none" w:sz="0" w:space="0" w:color="auto"/>
        <w:left w:val="none" w:sz="0" w:space="0" w:color="auto"/>
        <w:bottom w:val="none" w:sz="0" w:space="0" w:color="auto"/>
        <w:right w:val="none" w:sz="0" w:space="0" w:color="auto"/>
      </w:divBdr>
    </w:div>
    <w:div w:id="1531994433">
      <w:bodyDiv w:val="1"/>
      <w:marLeft w:val="0"/>
      <w:marRight w:val="0"/>
      <w:marTop w:val="0"/>
      <w:marBottom w:val="0"/>
      <w:divBdr>
        <w:top w:val="none" w:sz="0" w:space="0" w:color="auto"/>
        <w:left w:val="none" w:sz="0" w:space="0" w:color="auto"/>
        <w:bottom w:val="none" w:sz="0" w:space="0" w:color="auto"/>
        <w:right w:val="none" w:sz="0" w:space="0" w:color="auto"/>
      </w:divBdr>
    </w:div>
    <w:div w:id="1540782240">
      <w:bodyDiv w:val="1"/>
      <w:marLeft w:val="0"/>
      <w:marRight w:val="0"/>
      <w:marTop w:val="0"/>
      <w:marBottom w:val="0"/>
      <w:divBdr>
        <w:top w:val="none" w:sz="0" w:space="0" w:color="auto"/>
        <w:left w:val="none" w:sz="0" w:space="0" w:color="auto"/>
        <w:bottom w:val="none" w:sz="0" w:space="0" w:color="auto"/>
        <w:right w:val="none" w:sz="0" w:space="0" w:color="auto"/>
      </w:divBdr>
    </w:div>
    <w:div w:id="1568878012">
      <w:bodyDiv w:val="1"/>
      <w:marLeft w:val="0"/>
      <w:marRight w:val="0"/>
      <w:marTop w:val="0"/>
      <w:marBottom w:val="0"/>
      <w:divBdr>
        <w:top w:val="none" w:sz="0" w:space="0" w:color="auto"/>
        <w:left w:val="none" w:sz="0" w:space="0" w:color="auto"/>
        <w:bottom w:val="none" w:sz="0" w:space="0" w:color="auto"/>
        <w:right w:val="none" w:sz="0" w:space="0" w:color="auto"/>
      </w:divBdr>
    </w:div>
    <w:div w:id="1570575076">
      <w:bodyDiv w:val="1"/>
      <w:marLeft w:val="0"/>
      <w:marRight w:val="0"/>
      <w:marTop w:val="0"/>
      <w:marBottom w:val="0"/>
      <w:divBdr>
        <w:top w:val="none" w:sz="0" w:space="0" w:color="auto"/>
        <w:left w:val="none" w:sz="0" w:space="0" w:color="auto"/>
        <w:bottom w:val="none" w:sz="0" w:space="0" w:color="auto"/>
        <w:right w:val="none" w:sz="0" w:space="0" w:color="auto"/>
      </w:divBdr>
    </w:div>
    <w:div w:id="1583640343">
      <w:bodyDiv w:val="1"/>
      <w:marLeft w:val="0"/>
      <w:marRight w:val="0"/>
      <w:marTop w:val="0"/>
      <w:marBottom w:val="0"/>
      <w:divBdr>
        <w:top w:val="none" w:sz="0" w:space="0" w:color="auto"/>
        <w:left w:val="none" w:sz="0" w:space="0" w:color="auto"/>
        <w:bottom w:val="none" w:sz="0" w:space="0" w:color="auto"/>
        <w:right w:val="none" w:sz="0" w:space="0" w:color="auto"/>
      </w:divBdr>
    </w:div>
    <w:div w:id="1608537338">
      <w:bodyDiv w:val="1"/>
      <w:marLeft w:val="0"/>
      <w:marRight w:val="0"/>
      <w:marTop w:val="0"/>
      <w:marBottom w:val="0"/>
      <w:divBdr>
        <w:top w:val="none" w:sz="0" w:space="0" w:color="auto"/>
        <w:left w:val="none" w:sz="0" w:space="0" w:color="auto"/>
        <w:bottom w:val="none" w:sz="0" w:space="0" w:color="auto"/>
        <w:right w:val="none" w:sz="0" w:space="0" w:color="auto"/>
      </w:divBdr>
    </w:div>
    <w:div w:id="1626429052">
      <w:bodyDiv w:val="1"/>
      <w:marLeft w:val="0"/>
      <w:marRight w:val="0"/>
      <w:marTop w:val="0"/>
      <w:marBottom w:val="0"/>
      <w:divBdr>
        <w:top w:val="none" w:sz="0" w:space="0" w:color="auto"/>
        <w:left w:val="none" w:sz="0" w:space="0" w:color="auto"/>
        <w:bottom w:val="none" w:sz="0" w:space="0" w:color="auto"/>
        <w:right w:val="none" w:sz="0" w:space="0" w:color="auto"/>
      </w:divBdr>
    </w:div>
    <w:div w:id="1629815690">
      <w:bodyDiv w:val="1"/>
      <w:marLeft w:val="0"/>
      <w:marRight w:val="0"/>
      <w:marTop w:val="0"/>
      <w:marBottom w:val="0"/>
      <w:divBdr>
        <w:top w:val="none" w:sz="0" w:space="0" w:color="auto"/>
        <w:left w:val="none" w:sz="0" w:space="0" w:color="auto"/>
        <w:bottom w:val="none" w:sz="0" w:space="0" w:color="auto"/>
        <w:right w:val="none" w:sz="0" w:space="0" w:color="auto"/>
      </w:divBdr>
    </w:div>
    <w:div w:id="1631744457">
      <w:bodyDiv w:val="1"/>
      <w:marLeft w:val="0"/>
      <w:marRight w:val="0"/>
      <w:marTop w:val="0"/>
      <w:marBottom w:val="0"/>
      <w:divBdr>
        <w:top w:val="none" w:sz="0" w:space="0" w:color="auto"/>
        <w:left w:val="none" w:sz="0" w:space="0" w:color="auto"/>
        <w:bottom w:val="none" w:sz="0" w:space="0" w:color="auto"/>
        <w:right w:val="none" w:sz="0" w:space="0" w:color="auto"/>
      </w:divBdr>
    </w:div>
    <w:div w:id="1636056872">
      <w:bodyDiv w:val="1"/>
      <w:marLeft w:val="0"/>
      <w:marRight w:val="0"/>
      <w:marTop w:val="0"/>
      <w:marBottom w:val="0"/>
      <w:divBdr>
        <w:top w:val="none" w:sz="0" w:space="0" w:color="auto"/>
        <w:left w:val="none" w:sz="0" w:space="0" w:color="auto"/>
        <w:bottom w:val="none" w:sz="0" w:space="0" w:color="auto"/>
        <w:right w:val="none" w:sz="0" w:space="0" w:color="auto"/>
      </w:divBdr>
    </w:div>
    <w:div w:id="1636525851">
      <w:bodyDiv w:val="1"/>
      <w:marLeft w:val="0"/>
      <w:marRight w:val="0"/>
      <w:marTop w:val="0"/>
      <w:marBottom w:val="0"/>
      <w:divBdr>
        <w:top w:val="none" w:sz="0" w:space="0" w:color="auto"/>
        <w:left w:val="none" w:sz="0" w:space="0" w:color="auto"/>
        <w:bottom w:val="none" w:sz="0" w:space="0" w:color="auto"/>
        <w:right w:val="none" w:sz="0" w:space="0" w:color="auto"/>
      </w:divBdr>
    </w:div>
    <w:div w:id="1648435423">
      <w:bodyDiv w:val="1"/>
      <w:marLeft w:val="0"/>
      <w:marRight w:val="0"/>
      <w:marTop w:val="0"/>
      <w:marBottom w:val="0"/>
      <w:divBdr>
        <w:top w:val="none" w:sz="0" w:space="0" w:color="auto"/>
        <w:left w:val="none" w:sz="0" w:space="0" w:color="auto"/>
        <w:bottom w:val="none" w:sz="0" w:space="0" w:color="auto"/>
        <w:right w:val="none" w:sz="0" w:space="0" w:color="auto"/>
      </w:divBdr>
    </w:div>
    <w:div w:id="1651212213">
      <w:bodyDiv w:val="1"/>
      <w:marLeft w:val="0"/>
      <w:marRight w:val="0"/>
      <w:marTop w:val="0"/>
      <w:marBottom w:val="0"/>
      <w:divBdr>
        <w:top w:val="none" w:sz="0" w:space="0" w:color="auto"/>
        <w:left w:val="none" w:sz="0" w:space="0" w:color="auto"/>
        <w:bottom w:val="none" w:sz="0" w:space="0" w:color="auto"/>
        <w:right w:val="none" w:sz="0" w:space="0" w:color="auto"/>
      </w:divBdr>
    </w:div>
    <w:div w:id="1658609359">
      <w:bodyDiv w:val="1"/>
      <w:marLeft w:val="0"/>
      <w:marRight w:val="0"/>
      <w:marTop w:val="0"/>
      <w:marBottom w:val="0"/>
      <w:divBdr>
        <w:top w:val="none" w:sz="0" w:space="0" w:color="auto"/>
        <w:left w:val="none" w:sz="0" w:space="0" w:color="auto"/>
        <w:bottom w:val="none" w:sz="0" w:space="0" w:color="auto"/>
        <w:right w:val="none" w:sz="0" w:space="0" w:color="auto"/>
      </w:divBdr>
    </w:div>
    <w:div w:id="1673679390">
      <w:bodyDiv w:val="1"/>
      <w:marLeft w:val="0"/>
      <w:marRight w:val="0"/>
      <w:marTop w:val="0"/>
      <w:marBottom w:val="0"/>
      <w:divBdr>
        <w:top w:val="none" w:sz="0" w:space="0" w:color="auto"/>
        <w:left w:val="none" w:sz="0" w:space="0" w:color="auto"/>
        <w:bottom w:val="none" w:sz="0" w:space="0" w:color="auto"/>
        <w:right w:val="none" w:sz="0" w:space="0" w:color="auto"/>
      </w:divBdr>
    </w:div>
    <w:div w:id="1701280152">
      <w:bodyDiv w:val="1"/>
      <w:marLeft w:val="0"/>
      <w:marRight w:val="0"/>
      <w:marTop w:val="0"/>
      <w:marBottom w:val="0"/>
      <w:divBdr>
        <w:top w:val="none" w:sz="0" w:space="0" w:color="auto"/>
        <w:left w:val="none" w:sz="0" w:space="0" w:color="auto"/>
        <w:bottom w:val="none" w:sz="0" w:space="0" w:color="auto"/>
        <w:right w:val="none" w:sz="0" w:space="0" w:color="auto"/>
      </w:divBdr>
    </w:div>
    <w:div w:id="1705790235">
      <w:bodyDiv w:val="1"/>
      <w:marLeft w:val="0"/>
      <w:marRight w:val="0"/>
      <w:marTop w:val="0"/>
      <w:marBottom w:val="0"/>
      <w:divBdr>
        <w:top w:val="none" w:sz="0" w:space="0" w:color="auto"/>
        <w:left w:val="none" w:sz="0" w:space="0" w:color="auto"/>
        <w:bottom w:val="none" w:sz="0" w:space="0" w:color="auto"/>
        <w:right w:val="none" w:sz="0" w:space="0" w:color="auto"/>
      </w:divBdr>
    </w:div>
    <w:div w:id="1732465356">
      <w:bodyDiv w:val="1"/>
      <w:marLeft w:val="0"/>
      <w:marRight w:val="0"/>
      <w:marTop w:val="0"/>
      <w:marBottom w:val="0"/>
      <w:divBdr>
        <w:top w:val="none" w:sz="0" w:space="0" w:color="auto"/>
        <w:left w:val="none" w:sz="0" w:space="0" w:color="auto"/>
        <w:bottom w:val="none" w:sz="0" w:space="0" w:color="auto"/>
        <w:right w:val="none" w:sz="0" w:space="0" w:color="auto"/>
      </w:divBdr>
    </w:div>
    <w:div w:id="1733383483">
      <w:bodyDiv w:val="1"/>
      <w:marLeft w:val="0"/>
      <w:marRight w:val="0"/>
      <w:marTop w:val="0"/>
      <w:marBottom w:val="0"/>
      <w:divBdr>
        <w:top w:val="none" w:sz="0" w:space="0" w:color="auto"/>
        <w:left w:val="none" w:sz="0" w:space="0" w:color="auto"/>
        <w:bottom w:val="none" w:sz="0" w:space="0" w:color="auto"/>
        <w:right w:val="none" w:sz="0" w:space="0" w:color="auto"/>
      </w:divBdr>
    </w:div>
    <w:div w:id="1733581180">
      <w:bodyDiv w:val="1"/>
      <w:marLeft w:val="0"/>
      <w:marRight w:val="0"/>
      <w:marTop w:val="0"/>
      <w:marBottom w:val="0"/>
      <w:divBdr>
        <w:top w:val="none" w:sz="0" w:space="0" w:color="auto"/>
        <w:left w:val="none" w:sz="0" w:space="0" w:color="auto"/>
        <w:bottom w:val="none" w:sz="0" w:space="0" w:color="auto"/>
        <w:right w:val="none" w:sz="0" w:space="0" w:color="auto"/>
      </w:divBdr>
    </w:div>
    <w:div w:id="1750928874">
      <w:bodyDiv w:val="1"/>
      <w:marLeft w:val="0"/>
      <w:marRight w:val="0"/>
      <w:marTop w:val="0"/>
      <w:marBottom w:val="0"/>
      <w:divBdr>
        <w:top w:val="none" w:sz="0" w:space="0" w:color="auto"/>
        <w:left w:val="none" w:sz="0" w:space="0" w:color="auto"/>
        <w:bottom w:val="none" w:sz="0" w:space="0" w:color="auto"/>
        <w:right w:val="none" w:sz="0" w:space="0" w:color="auto"/>
      </w:divBdr>
    </w:div>
    <w:div w:id="1752313638">
      <w:bodyDiv w:val="1"/>
      <w:marLeft w:val="0"/>
      <w:marRight w:val="0"/>
      <w:marTop w:val="0"/>
      <w:marBottom w:val="0"/>
      <w:divBdr>
        <w:top w:val="none" w:sz="0" w:space="0" w:color="auto"/>
        <w:left w:val="none" w:sz="0" w:space="0" w:color="auto"/>
        <w:bottom w:val="none" w:sz="0" w:space="0" w:color="auto"/>
        <w:right w:val="none" w:sz="0" w:space="0" w:color="auto"/>
      </w:divBdr>
    </w:div>
    <w:div w:id="1761608136">
      <w:bodyDiv w:val="1"/>
      <w:marLeft w:val="0"/>
      <w:marRight w:val="0"/>
      <w:marTop w:val="0"/>
      <w:marBottom w:val="0"/>
      <w:divBdr>
        <w:top w:val="none" w:sz="0" w:space="0" w:color="auto"/>
        <w:left w:val="none" w:sz="0" w:space="0" w:color="auto"/>
        <w:bottom w:val="none" w:sz="0" w:space="0" w:color="auto"/>
        <w:right w:val="none" w:sz="0" w:space="0" w:color="auto"/>
      </w:divBdr>
    </w:div>
    <w:div w:id="1791127567">
      <w:bodyDiv w:val="1"/>
      <w:marLeft w:val="0"/>
      <w:marRight w:val="0"/>
      <w:marTop w:val="0"/>
      <w:marBottom w:val="0"/>
      <w:divBdr>
        <w:top w:val="none" w:sz="0" w:space="0" w:color="auto"/>
        <w:left w:val="none" w:sz="0" w:space="0" w:color="auto"/>
        <w:bottom w:val="none" w:sz="0" w:space="0" w:color="auto"/>
        <w:right w:val="none" w:sz="0" w:space="0" w:color="auto"/>
      </w:divBdr>
    </w:div>
    <w:div w:id="1799562871">
      <w:bodyDiv w:val="1"/>
      <w:marLeft w:val="0"/>
      <w:marRight w:val="0"/>
      <w:marTop w:val="0"/>
      <w:marBottom w:val="0"/>
      <w:divBdr>
        <w:top w:val="none" w:sz="0" w:space="0" w:color="auto"/>
        <w:left w:val="none" w:sz="0" w:space="0" w:color="auto"/>
        <w:bottom w:val="none" w:sz="0" w:space="0" w:color="auto"/>
        <w:right w:val="none" w:sz="0" w:space="0" w:color="auto"/>
      </w:divBdr>
    </w:div>
    <w:div w:id="1818378106">
      <w:bodyDiv w:val="1"/>
      <w:marLeft w:val="0"/>
      <w:marRight w:val="0"/>
      <w:marTop w:val="0"/>
      <w:marBottom w:val="0"/>
      <w:divBdr>
        <w:top w:val="none" w:sz="0" w:space="0" w:color="auto"/>
        <w:left w:val="none" w:sz="0" w:space="0" w:color="auto"/>
        <w:bottom w:val="none" w:sz="0" w:space="0" w:color="auto"/>
        <w:right w:val="none" w:sz="0" w:space="0" w:color="auto"/>
      </w:divBdr>
    </w:div>
    <w:div w:id="1858613813">
      <w:bodyDiv w:val="1"/>
      <w:marLeft w:val="0"/>
      <w:marRight w:val="0"/>
      <w:marTop w:val="0"/>
      <w:marBottom w:val="0"/>
      <w:divBdr>
        <w:top w:val="none" w:sz="0" w:space="0" w:color="auto"/>
        <w:left w:val="none" w:sz="0" w:space="0" w:color="auto"/>
        <w:bottom w:val="none" w:sz="0" w:space="0" w:color="auto"/>
        <w:right w:val="none" w:sz="0" w:space="0" w:color="auto"/>
      </w:divBdr>
    </w:div>
    <w:div w:id="1892181792">
      <w:bodyDiv w:val="1"/>
      <w:marLeft w:val="0"/>
      <w:marRight w:val="0"/>
      <w:marTop w:val="0"/>
      <w:marBottom w:val="0"/>
      <w:divBdr>
        <w:top w:val="none" w:sz="0" w:space="0" w:color="auto"/>
        <w:left w:val="none" w:sz="0" w:space="0" w:color="auto"/>
        <w:bottom w:val="none" w:sz="0" w:space="0" w:color="auto"/>
        <w:right w:val="none" w:sz="0" w:space="0" w:color="auto"/>
      </w:divBdr>
    </w:div>
    <w:div w:id="1913470757">
      <w:bodyDiv w:val="1"/>
      <w:marLeft w:val="0"/>
      <w:marRight w:val="0"/>
      <w:marTop w:val="0"/>
      <w:marBottom w:val="0"/>
      <w:divBdr>
        <w:top w:val="none" w:sz="0" w:space="0" w:color="auto"/>
        <w:left w:val="none" w:sz="0" w:space="0" w:color="auto"/>
        <w:bottom w:val="none" w:sz="0" w:space="0" w:color="auto"/>
        <w:right w:val="none" w:sz="0" w:space="0" w:color="auto"/>
      </w:divBdr>
    </w:div>
    <w:div w:id="1923642219">
      <w:bodyDiv w:val="1"/>
      <w:marLeft w:val="0"/>
      <w:marRight w:val="0"/>
      <w:marTop w:val="0"/>
      <w:marBottom w:val="0"/>
      <w:divBdr>
        <w:top w:val="none" w:sz="0" w:space="0" w:color="auto"/>
        <w:left w:val="none" w:sz="0" w:space="0" w:color="auto"/>
        <w:bottom w:val="none" w:sz="0" w:space="0" w:color="auto"/>
        <w:right w:val="none" w:sz="0" w:space="0" w:color="auto"/>
      </w:divBdr>
    </w:div>
    <w:div w:id="1925413611">
      <w:bodyDiv w:val="1"/>
      <w:marLeft w:val="0"/>
      <w:marRight w:val="0"/>
      <w:marTop w:val="0"/>
      <w:marBottom w:val="0"/>
      <w:divBdr>
        <w:top w:val="none" w:sz="0" w:space="0" w:color="auto"/>
        <w:left w:val="none" w:sz="0" w:space="0" w:color="auto"/>
        <w:bottom w:val="none" w:sz="0" w:space="0" w:color="auto"/>
        <w:right w:val="none" w:sz="0" w:space="0" w:color="auto"/>
      </w:divBdr>
    </w:div>
    <w:div w:id="1939482889">
      <w:bodyDiv w:val="1"/>
      <w:marLeft w:val="0"/>
      <w:marRight w:val="0"/>
      <w:marTop w:val="0"/>
      <w:marBottom w:val="0"/>
      <w:divBdr>
        <w:top w:val="none" w:sz="0" w:space="0" w:color="auto"/>
        <w:left w:val="none" w:sz="0" w:space="0" w:color="auto"/>
        <w:bottom w:val="none" w:sz="0" w:space="0" w:color="auto"/>
        <w:right w:val="none" w:sz="0" w:space="0" w:color="auto"/>
      </w:divBdr>
    </w:div>
    <w:div w:id="1950895465">
      <w:bodyDiv w:val="1"/>
      <w:marLeft w:val="0"/>
      <w:marRight w:val="0"/>
      <w:marTop w:val="0"/>
      <w:marBottom w:val="0"/>
      <w:divBdr>
        <w:top w:val="none" w:sz="0" w:space="0" w:color="auto"/>
        <w:left w:val="none" w:sz="0" w:space="0" w:color="auto"/>
        <w:bottom w:val="none" w:sz="0" w:space="0" w:color="auto"/>
        <w:right w:val="none" w:sz="0" w:space="0" w:color="auto"/>
      </w:divBdr>
    </w:div>
    <w:div w:id="1964572824">
      <w:bodyDiv w:val="1"/>
      <w:marLeft w:val="0"/>
      <w:marRight w:val="0"/>
      <w:marTop w:val="0"/>
      <w:marBottom w:val="0"/>
      <w:divBdr>
        <w:top w:val="none" w:sz="0" w:space="0" w:color="auto"/>
        <w:left w:val="none" w:sz="0" w:space="0" w:color="auto"/>
        <w:bottom w:val="none" w:sz="0" w:space="0" w:color="auto"/>
        <w:right w:val="none" w:sz="0" w:space="0" w:color="auto"/>
      </w:divBdr>
    </w:div>
    <w:div w:id="1987734134">
      <w:bodyDiv w:val="1"/>
      <w:marLeft w:val="0"/>
      <w:marRight w:val="0"/>
      <w:marTop w:val="0"/>
      <w:marBottom w:val="0"/>
      <w:divBdr>
        <w:top w:val="none" w:sz="0" w:space="0" w:color="auto"/>
        <w:left w:val="none" w:sz="0" w:space="0" w:color="auto"/>
        <w:bottom w:val="none" w:sz="0" w:space="0" w:color="auto"/>
        <w:right w:val="none" w:sz="0" w:space="0" w:color="auto"/>
      </w:divBdr>
    </w:div>
    <w:div w:id="1996566729">
      <w:bodyDiv w:val="1"/>
      <w:marLeft w:val="0"/>
      <w:marRight w:val="0"/>
      <w:marTop w:val="0"/>
      <w:marBottom w:val="0"/>
      <w:divBdr>
        <w:top w:val="none" w:sz="0" w:space="0" w:color="auto"/>
        <w:left w:val="none" w:sz="0" w:space="0" w:color="auto"/>
        <w:bottom w:val="none" w:sz="0" w:space="0" w:color="auto"/>
        <w:right w:val="none" w:sz="0" w:space="0" w:color="auto"/>
      </w:divBdr>
    </w:div>
    <w:div w:id="2003925436">
      <w:bodyDiv w:val="1"/>
      <w:marLeft w:val="0"/>
      <w:marRight w:val="0"/>
      <w:marTop w:val="0"/>
      <w:marBottom w:val="0"/>
      <w:divBdr>
        <w:top w:val="none" w:sz="0" w:space="0" w:color="auto"/>
        <w:left w:val="none" w:sz="0" w:space="0" w:color="auto"/>
        <w:bottom w:val="none" w:sz="0" w:space="0" w:color="auto"/>
        <w:right w:val="none" w:sz="0" w:space="0" w:color="auto"/>
      </w:divBdr>
    </w:div>
    <w:div w:id="2042247452">
      <w:bodyDiv w:val="1"/>
      <w:marLeft w:val="0"/>
      <w:marRight w:val="0"/>
      <w:marTop w:val="0"/>
      <w:marBottom w:val="0"/>
      <w:divBdr>
        <w:top w:val="none" w:sz="0" w:space="0" w:color="auto"/>
        <w:left w:val="none" w:sz="0" w:space="0" w:color="auto"/>
        <w:bottom w:val="none" w:sz="0" w:space="0" w:color="auto"/>
        <w:right w:val="none" w:sz="0" w:space="0" w:color="auto"/>
      </w:divBdr>
    </w:div>
    <w:div w:id="2067876705">
      <w:bodyDiv w:val="1"/>
      <w:marLeft w:val="0"/>
      <w:marRight w:val="0"/>
      <w:marTop w:val="0"/>
      <w:marBottom w:val="0"/>
      <w:divBdr>
        <w:top w:val="none" w:sz="0" w:space="0" w:color="auto"/>
        <w:left w:val="none" w:sz="0" w:space="0" w:color="auto"/>
        <w:bottom w:val="none" w:sz="0" w:space="0" w:color="auto"/>
        <w:right w:val="none" w:sz="0" w:space="0" w:color="auto"/>
      </w:divBdr>
    </w:div>
    <w:div w:id="2070765031">
      <w:bodyDiv w:val="1"/>
      <w:marLeft w:val="0"/>
      <w:marRight w:val="0"/>
      <w:marTop w:val="0"/>
      <w:marBottom w:val="0"/>
      <w:divBdr>
        <w:top w:val="none" w:sz="0" w:space="0" w:color="auto"/>
        <w:left w:val="none" w:sz="0" w:space="0" w:color="auto"/>
        <w:bottom w:val="none" w:sz="0" w:space="0" w:color="auto"/>
        <w:right w:val="none" w:sz="0" w:space="0" w:color="auto"/>
      </w:divBdr>
    </w:div>
    <w:div w:id="2089450960">
      <w:bodyDiv w:val="1"/>
      <w:marLeft w:val="0"/>
      <w:marRight w:val="0"/>
      <w:marTop w:val="0"/>
      <w:marBottom w:val="0"/>
      <w:divBdr>
        <w:top w:val="none" w:sz="0" w:space="0" w:color="auto"/>
        <w:left w:val="none" w:sz="0" w:space="0" w:color="auto"/>
        <w:bottom w:val="none" w:sz="0" w:space="0" w:color="auto"/>
        <w:right w:val="none" w:sz="0" w:space="0" w:color="auto"/>
      </w:divBdr>
    </w:div>
    <w:div w:id="2091392451">
      <w:bodyDiv w:val="1"/>
      <w:marLeft w:val="0"/>
      <w:marRight w:val="0"/>
      <w:marTop w:val="0"/>
      <w:marBottom w:val="0"/>
      <w:divBdr>
        <w:top w:val="none" w:sz="0" w:space="0" w:color="auto"/>
        <w:left w:val="none" w:sz="0" w:space="0" w:color="auto"/>
        <w:bottom w:val="none" w:sz="0" w:space="0" w:color="auto"/>
        <w:right w:val="none" w:sz="0" w:space="0" w:color="auto"/>
      </w:divBdr>
    </w:div>
    <w:div w:id="21470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fx678.com/News/CentralBank/FED.html"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x678.com/news/currency/EUR.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www.fx678.com/News/5/500.html?17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F530-723D-4771-9B48-249D3C9F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1924</Words>
  <Characters>10972</Characters>
  <Application>Microsoft Office Word</Application>
  <DocSecurity>0</DocSecurity>
  <Lines>91</Lines>
  <Paragraphs>25</Paragraphs>
  <ScaleCrop>false</ScaleCrop>
  <Company>湖州163软件园</Company>
  <LinksUpToDate>false</LinksUpToDate>
  <CharactersWithSpaces>12871</CharactersWithSpaces>
  <SharedDoc>false</SharedDoc>
  <HLinks>
    <vt:vector size="18" baseType="variant">
      <vt:variant>
        <vt:i4>458827</vt:i4>
      </vt:variant>
      <vt:variant>
        <vt:i4>6</vt:i4>
      </vt:variant>
      <vt:variant>
        <vt:i4>0</vt:i4>
      </vt:variant>
      <vt:variant>
        <vt:i4>5</vt:i4>
      </vt:variant>
      <vt:variant>
        <vt:lpwstr>http://www.fx678.com/indexs/MainInterest.html</vt:lpwstr>
      </vt:variant>
      <vt:variant>
        <vt:lpwstr/>
      </vt:variant>
      <vt:variant>
        <vt:i4>8257606</vt:i4>
      </vt:variant>
      <vt:variant>
        <vt:i4>3</vt:i4>
      </vt:variant>
      <vt:variant>
        <vt:i4>0</vt:i4>
      </vt:variant>
      <vt:variant>
        <vt:i4>5</vt:i4>
      </vt:variant>
      <vt:variant>
        <vt:lpwstr>http://yinghang.gold678.com/china_bank.shtml</vt:lpwstr>
      </vt:variant>
      <vt:variant>
        <vt:lpwstr/>
      </vt:variant>
      <vt:variant>
        <vt:i4>7929968</vt:i4>
      </vt:variant>
      <vt:variant>
        <vt:i4>0</vt:i4>
      </vt:variant>
      <vt:variant>
        <vt:i4>0</vt:i4>
      </vt:variant>
      <vt:variant>
        <vt:i4>5</vt:i4>
      </vt:variant>
      <vt:variant>
        <vt:lpwstr>http://www.fx678.com/news/currency/EUR.html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策略月报</dc:title>
  <dc:subject/>
  <dc:creator>liuyq</dc:creator>
  <cp:keywords/>
  <dc:description/>
  <cp:lastModifiedBy>刘亦千:</cp:lastModifiedBy>
  <cp:revision>29</cp:revision>
  <cp:lastPrinted>2014-01-08T06:27:00Z</cp:lastPrinted>
  <dcterms:created xsi:type="dcterms:W3CDTF">2013-11-06T09:21:00Z</dcterms:created>
  <dcterms:modified xsi:type="dcterms:W3CDTF">2014-01-08T06:28:00Z</dcterms:modified>
</cp:coreProperties>
</file>