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6B085A" w:rsidRDefault="00A70401" w:rsidP="00B10000">
      <w:pPr>
        <w:widowControl/>
        <w:spacing w:after="120" w:line="240" w:lineRule="exact"/>
        <w:ind w:left="3430"/>
        <w:rPr>
          <w:rFonts w:ascii="Arial" w:eastAsia="楷体_GB2312" w:hAnsi="Arial" w:cs="Times New Roman"/>
          <w:b/>
          <w:bCs/>
          <w:color w:val="0070C0"/>
          <w:kern w:val="0"/>
          <w:sz w:val="24"/>
          <w:szCs w:val="20"/>
          <w:lang w:val="en-GB"/>
        </w:rPr>
      </w:pPr>
      <w:r w:rsidRPr="006B085A">
        <w:rPr>
          <w:rFonts w:ascii="Arial" w:eastAsia="楷体_GB2312" w:hAnsi="Arial" w:cs="Times New Roman" w:hint="eastAsia"/>
          <w:b/>
          <w:bCs/>
          <w:color w:val="0070C0"/>
          <w:kern w:val="0"/>
          <w:sz w:val="24"/>
          <w:szCs w:val="20"/>
          <w:lang w:val="en-GB"/>
        </w:rPr>
        <w:t>导语</w:t>
      </w:r>
    </w:p>
    <w:p w:rsidR="00D42DF4" w:rsidRPr="00674E69" w:rsidRDefault="005D1521" w:rsidP="007F585F">
      <w:pPr>
        <w:pStyle w:val="ab"/>
        <w:numPr>
          <w:ilvl w:val="4"/>
          <w:numId w:val="1"/>
        </w:numPr>
        <w:spacing w:after="163"/>
        <w:rPr>
          <w:rFonts w:eastAsia="楷体_GB2312"/>
          <w:b/>
          <w:color w:val="auto"/>
        </w:rPr>
      </w:pPr>
      <w:r w:rsidRPr="00674E69">
        <w:rPr>
          <w:rFonts w:eastAsia="楷体_GB2312" w:hint="eastAsia"/>
          <w:b/>
          <w:color w:val="auto"/>
        </w:rPr>
        <w:t>在发达和新兴经济体双引擎共同驱动下，全球经济</w:t>
      </w:r>
      <w:r w:rsidR="00D42DF4" w:rsidRPr="00674E69">
        <w:rPr>
          <w:rFonts w:eastAsia="楷体_GB2312" w:cs="Arial"/>
          <w:b/>
          <w:color w:val="auto"/>
        </w:rPr>
        <w:t>2014</w:t>
      </w:r>
      <w:r w:rsidR="00D42DF4" w:rsidRPr="00674E69">
        <w:rPr>
          <w:rFonts w:eastAsia="楷体_GB2312" w:hint="eastAsia"/>
          <w:b/>
          <w:color w:val="auto"/>
        </w:rPr>
        <w:t>年</w:t>
      </w:r>
      <w:r w:rsidR="00CC6551">
        <w:rPr>
          <w:rFonts w:eastAsia="楷体_GB2312" w:hint="eastAsia"/>
          <w:b/>
          <w:color w:val="auto"/>
        </w:rPr>
        <w:t>将</w:t>
      </w:r>
      <w:r w:rsidR="00D42DF4" w:rsidRPr="00674E69">
        <w:rPr>
          <w:rFonts w:eastAsia="楷体_GB2312" w:hint="eastAsia"/>
          <w:b/>
          <w:color w:val="auto"/>
        </w:rPr>
        <w:t>温和改善</w:t>
      </w:r>
      <w:r w:rsidR="00117538">
        <w:rPr>
          <w:rFonts w:eastAsia="楷体_GB2312" w:hint="eastAsia"/>
          <w:b/>
          <w:color w:val="auto"/>
        </w:rPr>
        <w:t>且</w:t>
      </w:r>
      <w:r w:rsidRPr="00674E69">
        <w:rPr>
          <w:rFonts w:eastAsia="楷体_GB2312" w:hint="eastAsia"/>
          <w:b/>
          <w:color w:val="auto"/>
        </w:rPr>
        <w:t>更加均衡</w:t>
      </w:r>
      <w:r w:rsidR="00D42DF4" w:rsidRPr="00674E69">
        <w:rPr>
          <w:rFonts w:eastAsia="楷体_GB2312" w:hint="eastAsia"/>
          <w:b/>
          <w:color w:val="auto"/>
        </w:rPr>
        <w:t>。</w:t>
      </w:r>
      <w:r w:rsidR="00674E69" w:rsidRPr="00674E69">
        <w:rPr>
          <w:rFonts w:eastAsia="楷体_GB2312" w:hint="eastAsia"/>
          <w:b/>
          <w:color w:val="auto"/>
        </w:rPr>
        <w:t>中国经济</w:t>
      </w:r>
      <w:r w:rsidR="002D6EBA">
        <w:rPr>
          <w:rFonts w:eastAsia="楷体_GB2312" w:hint="eastAsia"/>
          <w:b/>
          <w:color w:val="auto"/>
        </w:rPr>
        <w:t>预期</w:t>
      </w:r>
      <w:r w:rsidR="00E30982">
        <w:rPr>
          <w:rFonts w:eastAsia="楷体_GB2312" w:hint="eastAsia"/>
          <w:b/>
          <w:color w:val="auto"/>
        </w:rPr>
        <w:t>保持稳定</w:t>
      </w:r>
      <w:r w:rsidR="00674E69" w:rsidRPr="00674E69">
        <w:rPr>
          <w:rFonts w:eastAsia="楷体_GB2312" w:hint="eastAsia"/>
          <w:b/>
          <w:color w:val="auto"/>
        </w:rPr>
        <w:t>增长，改革推动下投资料将放缓，但全球经济复苏有望带来出口温和增长，消费升级下消费增速稳重有升，全年</w:t>
      </w:r>
      <w:r w:rsidR="00674E69" w:rsidRPr="00674E69">
        <w:rPr>
          <w:rFonts w:eastAsia="楷体_GB2312" w:hint="eastAsia"/>
          <w:b/>
          <w:color w:val="auto"/>
        </w:rPr>
        <w:t>GDP</w:t>
      </w:r>
      <w:r w:rsidR="00674E69" w:rsidRPr="00674E69">
        <w:rPr>
          <w:rFonts w:eastAsia="楷体_GB2312" w:hint="eastAsia"/>
          <w:b/>
          <w:color w:val="auto"/>
        </w:rPr>
        <w:t>增长或在</w:t>
      </w:r>
      <w:r w:rsidR="00674E69" w:rsidRPr="00674E69">
        <w:rPr>
          <w:rFonts w:eastAsia="楷体_GB2312" w:hint="eastAsia"/>
          <w:b/>
          <w:color w:val="auto"/>
        </w:rPr>
        <w:t>7.5%</w:t>
      </w:r>
      <w:r w:rsidR="00674E69" w:rsidRPr="00674E69">
        <w:rPr>
          <w:rFonts w:eastAsia="楷体_GB2312" w:hint="eastAsia"/>
          <w:b/>
          <w:color w:val="auto"/>
        </w:rPr>
        <w:t>上下，</w:t>
      </w:r>
      <w:r w:rsidR="00E30982">
        <w:rPr>
          <w:rFonts w:eastAsia="楷体_GB2312" w:hint="eastAsia"/>
          <w:b/>
          <w:color w:val="auto"/>
        </w:rPr>
        <w:t>并实现</w:t>
      </w:r>
      <w:r w:rsidR="00674E69" w:rsidRPr="00674E69">
        <w:rPr>
          <w:rFonts w:eastAsia="楷体_GB2312" w:hint="eastAsia"/>
          <w:b/>
          <w:color w:val="auto"/>
        </w:rPr>
        <w:t>经济结构</w:t>
      </w:r>
      <w:r w:rsidR="00E30982">
        <w:rPr>
          <w:rFonts w:eastAsia="楷体_GB2312" w:hint="eastAsia"/>
          <w:b/>
          <w:color w:val="auto"/>
        </w:rPr>
        <w:t>的</w:t>
      </w:r>
      <w:r w:rsidR="00674E69" w:rsidRPr="00674E69">
        <w:rPr>
          <w:rFonts w:eastAsia="楷体_GB2312" w:hint="eastAsia"/>
          <w:b/>
          <w:color w:val="auto"/>
        </w:rPr>
        <w:t>适度调整。</w:t>
      </w:r>
    </w:p>
    <w:p w:rsidR="00946AEA" w:rsidRPr="003267CA" w:rsidRDefault="002D6EBA" w:rsidP="007F585F">
      <w:pPr>
        <w:pStyle w:val="ab"/>
        <w:numPr>
          <w:ilvl w:val="4"/>
          <w:numId w:val="1"/>
        </w:numPr>
        <w:spacing w:after="163"/>
        <w:rPr>
          <w:rFonts w:eastAsia="楷体_GB2312"/>
          <w:b/>
          <w:color w:val="auto"/>
        </w:rPr>
      </w:pPr>
      <w:r w:rsidRPr="003267CA">
        <w:rPr>
          <w:rFonts w:eastAsia="楷体_GB2312" w:hint="eastAsia"/>
          <w:b/>
          <w:color w:val="auto"/>
        </w:rPr>
        <w:t>企业盈利增长稳定但有限、市场利率居高不下、流动性供应并不乐观等多重因素</w:t>
      </w:r>
      <w:r w:rsidR="002435C9" w:rsidRPr="003267CA">
        <w:rPr>
          <w:rFonts w:eastAsia="楷体_GB2312" w:hint="eastAsia"/>
          <w:b/>
          <w:color w:val="auto"/>
        </w:rPr>
        <w:t>压制</w:t>
      </w:r>
      <w:r w:rsidRPr="003267CA">
        <w:rPr>
          <w:rFonts w:eastAsia="楷体_GB2312" w:hint="eastAsia"/>
          <w:b/>
          <w:color w:val="auto"/>
        </w:rPr>
        <w:t>下，</w:t>
      </w:r>
      <w:r w:rsidRPr="003267CA">
        <w:rPr>
          <w:rFonts w:eastAsia="楷体_GB2312"/>
          <w:b/>
          <w:color w:val="auto"/>
        </w:rPr>
        <w:t>A</w:t>
      </w:r>
      <w:r w:rsidRPr="003267CA">
        <w:rPr>
          <w:rFonts w:eastAsia="楷体_GB2312" w:hint="eastAsia"/>
          <w:b/>
          <w:color w:val="auto"/>
        </w:rPr>
        <w:t>股市场虽有估值优势，但</w:t>
      </w:r>
      <w:r w:rsidR="002435C9" w:rsidRPr="003267CA">
        <w:rPr>
          <w:rFonts w:eastAsia="楷体_GB2312" w:hint="eastAsia"/>
          <w:b/>
          <w:color w:val="auto"/>
        </w:rPr>
        <w:t>难</w:t>
      </w:r>
      <w:r w:rsidRPr="003267CA">
        <w:rPr>
          <w:rFonts w:eastAsia="楷体_GB2312" w:hint="eastAsia"/>
          <w:b/>
          <w:color w:val="auto"/>
        </w:rPr>
        <w:t>现显著的系统性机会。</w:t>
      </w:r>
      <w:r w:rsidR="00946AEA" w:rsidRPr="003267CA">
        <w:rPr>
          <w:rFonts w:eastAsia="楷体_GB2312"/>
          <w:b/>
          <w:color w:val="auto"/>
        </w:rPr>
        <w:t>2014</w:t>
      </w:r>
      <w:r w:rsidR="00946AEA" w:rsidRPr="003267CA">
        <w:rPr>
          <w:rFonts w:eastAsia="楷体_GB2312" w:hint="eastAsia"/>
          <w:b/>
          <w:color w:val="auto"/>
        </w:rPr>
        <w:t>年将是主题投资年，但改革红利释放更多将是缓慢而长期的过程，在</w:t>
      </w:r>
      <w:r w:rsidR="002435C9" w:rsidRPr="003267CA">
        <w:rPr>
          <w:rFonts w:eastAsia="楷体_GB2312" w:hint="eastAsia"/>
          <w:b/>
          <w:color w:val="auto"/>
        </w:rPr>
        <w:t>潜在</w:t>
      </w:r>
      <w:r w:rsidR="00946AEA" w:rsidRPr="003267CA">
        <w:rPr>
          <w:rFonts w:eastAsia="楷体_GB2312" w:hint="eastAsia"/>
          <w:b/>
          <w:color w:val="auto"/>
        </w:rPr>
        <w:t>受益行业</w:t>
      </w:r>
      <w:r w:rsidR="00946AEA" w:rsidRPr="003267CA">
        <w:rPr>
          <w:rFonts w:eastAsia="楷体_GB2312"/>
          <w:b/>
          <w:color w:val="auto"/>
        </w:rPr>
        <w:t>/</w:t>
      </w:r>
      <w:r w:rsidR="00946AEA" w:rsidRPr="003267CA">
        <w:rPr>
          <w:rFonts w:eastAsia="楷体_GB2312" w:hint="eastAsia"/>
          <w:b/>
          <w:color w:val="auto"/>
        </w:rPr>
        <w:t>企业估值相对较高的背景下，政策一时的偏差或低于预期都将带来市场情绪的剧烈波动。因此，无论是</w:t>
      </w:r>
      <w:r w:rsidR="00B060EE" w:rsidRPr="003267CA">
        <w:rPr>
          <w:rFonts w:eastAsia="楷体_GB2312" w:hint="eastAsia"/>
          <w:b/>
          <w:color w:val="auto"/>
        </w:rPr>
        <w:t>主题</w:t>
      </w:r>
      <w:r w:rsidR="00946AEA" w:rsidRPr="003267CA">
        <w:rPr>
          <w:rFonts w:eastAsia="楷体_GB2312" w:hint="eastAsia"/>
          <w:b/>
          <w:color w:val="auto"/>
        </w:rPr>
        <w:t>机会演绎还是风险释放，预计都将呈现频繁、脉冲式特征，各板块间轮动亦将加快，激情与速度</w:t>
      </w:r>
      <w:r w:rsidR="0001391F">
        <w:rPr>
          <w:rFonts w:eastAsia="楷体_GB2312" w:hint="eastAsia"/>
          <w:b/>
          <w:color w:val="auto"/>
        </w:rPr>
        <w:t>同时</w:t>
      </w:r>
      <w:r w:rsidR="003267CA">
        <w:rPr>
          <w:rFonts w:eastAsia="楷体_GB2312" w:hint="eastAsia"/>
          <w:b/>
          <w:color w:val="auto"/>
        </w:rPr>
        <w:t>上演</w:t>
      </w:r>
      <w:r w:rsidR="00946AEA" w:rsidRPr="003267CA">
        <w:rPr>
          <w:rFonts w:eastAsia="楷体_GB2312" w:hint="eastAsia"/>
          <w:b/>
          <w:color w:val="auto"/>
        </w:rPr>
        <w:t>。</w:t>
      </w:r>
    </w:p>
    <w:p w:rsidR="00B10000" w:rsidRPr="00417D0B" w:rsidRDefault="003C26E3" w:rsidP="007F585F">
      <w:pPr>
        <w:pStyle w:val="ab"/>
        <w:numPr>
          <w:ilvl w:val="4"/>
          <w:numId w:val="1"/>
        </w:numPr>
        <w:spacing w:after="163"/>
        <w:rPr>
          <w:rFonts w:eastAsia="楷体_GB2312"/>
          <w:b/>
          <w:color w:val="auto"/>
        </w:rPr>
      </w:pPr>
      <w:r w:rsidRPr="00417D0B">
        <w:rPr>
          <w:rFonts w:eastAsia="楷体_GB2312" w:hint="eastAsia"/>
          <w:b/>
          <w:color w:val="auto"/>
        </w:rPr>
        <w:t>基金管理人</w:t>
      </w:r>
      <w:r w:rsidR="00B40A4E" w:rsidRPr="00417D0B">
        <w:rPr>
          <w:rFonts w:eastAsia="楷体_GB2312" w:hint="eastAsia"/>
          <w:b/>
          <w:color w:val="auto"/>
        </w:rPr>
        <w:t>择时能力（包括大类资产配置以及主题间</w:t>
      </w:r>
      <w:r w:rsidR="0086631B">
        <w:rPr>
          <w:rFonts w:eastAsia="楷体_GB2312" w:hint="eastAsia"/>
          <w:b/>
          <w:color w:val="auto"/>
        </w:rPr>
        <w:t>的</w:t>
      </w:r>
      <w:r w:rsidR="00B40A4E" w:rsidRPr="00417D0B">
        <w:rPr>
          <w:rFonts w:eastAsia="楷体_GB2312" w:hint="eastAsia"/>
          <w:b/>
          <w:color w:val="auto"/>
        </w:rPr>
        <w:t>灵活切换）</w:t>
      </w:r>
      <w:r w:rsidR="00A73C59" w:rsidRPr="00417D0B">
        <w:rPr>
          <w:rFonts w:eastAsia="楷体_GB2312" w:hint="eastAsia"/>
          <w:b/>
          <w:color w:val="auto"/>
        </w:rPr>
        <w:t>新一年</w:t>
      </w:r>
      <w:r w:rsidRPr="00417D0B">
        <w:rPr>
          <w:rFonts w:eastAsia="楷体_GB2312" w:hint="eastAsia"/>
          <w:b/>
          <w:color w:val="auto"/>
        </w:rPr>
        <w:t>将</w:t>
      </w:r>
      <w:r w:rsidR="00B40A4E" w:rsidRPr="00417D0B">
        <w:rPr>
          <w:rFonts w:eastAsia="楷体_GB2312" w:hint="eastAsia"/>
          <w:b/>
          <w:color w:val="auto"/>
        </w:rPr>
        <w:t>迎来用武之地，其对超额收益贡献甚至</w:t>
      </w:r>
      <w:r w:rsidRPr="00417D0B">
        <w:rPr>
          <w:rFonts w:eastAsia="楷体_GB2312" w:hint="eastAsia"/>
          <w:b/>
          <w:color w:val="auto"/>
        </w:rPr>
        <w:t>有望</w:t>
      </w:r>
      <w:r w:rsidR="00B40A4E" w:rsidRPr="00417D0B">
        <w:rPr>
          <w:rFonts w:eastAsia="楷体_GB2312" w:hint="eastAsia"/>
          <w:b/>
          <w:color w:val="auto"/>
        </w:rPr>
        <w:t>整体超过选股</w:t>
      </w:r>
      <w:r w:rsidR="00A73C59" w:rsidRPr="00417D0B">
        <w:rPr>
          <w:rFonts w:eastAsia="楷体_GB2312" w:hint="eastAsia"/>
          <w:b/>
          <w:color w:val="auto"/>
        </w:rPr>
        <w:t>，</w:t>
      </w:r>
      <w:r w:rsidR="00A73C59" w:rsidRPr="00417D0B">
        <w:rPr>
          <w:rFonts w:eastAsia="楷体_GB2312" w:hint="eastAsia"/>
          <w:b/>
          <w:color w:val="auto"/>
        </w:rPr>
        <w:t>2014</w:t>
      </w:r>
      <w:r w:rsidR="00A73C59" w:rsidRPr="00417D0B">
        <w:rPr>
          <w:rFonts w:eastAsia="楷体_GB2312" w:hint="eastAsia"/>
          <w:b/>
          <w:color w:val="auto"/>
        </w:rPr>
        <w:t>年投基选人</w:t>
      </w:r>
      <w:r w:rsidR="00B40A4E" w:rsidRPr="00417D0B">
        <w:rPr>
          <w:rFonts w:eastAsia="楷体_GB2312" w:hint="eastAsia"/>
          <w:b/>
          <w:color w:val="auto"/>
        </w:rPr>
        <w:t>建议以择时能力为主要参考，选择能力为辅助（不妨聚焦到少数选股能力经过长期检验的基金经理）。选产品</w:t>
      </w:r>
      <w:r w:rsidR="00652F07">
        <w:rPr>
          <w:rFonts w:eastAsia="楷体_GB2312" w:hint="eastAsia"/>
          <w:b/>
          <w:color w:val="auto"/>
        </w:rPr>
        <w:t>则</w:t>
      </w:r>
      <w:r w:rsidR="00B40A4E" w:rsidRPr="00417D0B">
        <w:rPr>
          <w:rFonts w:eastAsia="楷体_GB2312" w:hint="eastAsia"/>
          <w:b/>
          <w:color w:val="auto"/>
        </w:rPr>
        <w:t>建议顺应主题投资年的特点，以主要投资大众消费领域产品为相对持续标的同时，依据产品设计及持仓特征主动把握主题轮动。</w:t>
      </w:r>
      <w:r w:rsidR="00B40A4E" w:rsidRPr="00417D0B">
        <w:rPr>
          <w:rFonts w:eastAsia="楷体_GB2312" w:hint="eastAsia"/>
          <w:b/>
          <w:color w:val="auto"/>
        </w:rPr>
        <w:t>IPO</w:t>
      </w:r>
      <w:r w:rsidR="00B40A4E" w:rsidRPr="00417D0B">
        <w:rPr>
          <w:rFonts w:eastAsia="楷体_GB2312" w:hint="eastAsia"/>
          <w:b/>
          <w:color w:val="auto"/>
        </w:rPr>
        <w:t>在新规下开闸，</w:t>
      </w:r>
      <w:r w:rsidR="008D7AA2" w:rsidRPr="008D7AA2">
        <w:rPr>
          <w:rFonts w:eastAsia="楷体_GB2312" w:hint="eastAsia"/>
          <w:b/>
          <w:color w:val="auto"/>
        </w:rPr>
        <w:t>新标的、新策略</w:t>
      </w:r>
      <w:r w:rsidR="008D7AA2">
        <w:rPr>
          <w:rFonts w:eastAsia="楷体_GB2312" w:hint="eastAsia"/>
          <w:b/>
          <w:color w:val="auto"/>
        </w:rPr>
        <w:t>以及</w:t>
      </w:r>
      <w:r w:rsidR="008D7AA2" w:rsidRPr="008D7AA2">
        <w:rPr>
          <w:rFonts w:eastAsia="楷体_GB2312" w:hint="eastAsia"/>
          <w:b/>
          <w:color w:val="auto"/>
        </w:rPr>
        <w:t>新产品，</w:t>
      </w:r>
      <w:r w:rsidR="008D7AA2">
        <w:rPr>
          <w:rFonts w:eastAsia="楷体_GB2312" w:hint="eastAsia"/>
          <w:b/>
          <w:color w:val="auto"/>
        </w:rPr>
        <w:t>或</w:t>
      </w:r>
      <w:r w:rsidR="008D7AA2" w:rsidRPr="008D7AA2">
        <w:rPr>
          <w:rFonts w:eastAsia="楷体_GB2312" w:hint="eastAsia"/>
          <w:b/>
          <w:color w:val="auto"/>
        </w:rPr>
        <w:t>带给投资者些许惊喜。</w:t>
      </w:r>
    </w:p>
    <w:p w:rsidR="00CA4E6A" w:rsidRPr="006B085A" w:rsidRDefault="00CA4E6A" w:rsidP="00A70401">
      <w:pPr>
        <w:widowControl/>
        <w:spacing w:after="120" w:line="240" w:lineRule="exact"/>
        <w:ind w:left="3430"/>
        <w:rPr>
          <w:rFonts w:ascii="Arial" w:eastAsia="楷体_GB2312" w:hAnsi="Arial" w:cs="Times New Roman"/>
          <w:b/>
          <w:bCs/>
          <w:color w:val="0070C0"/>
          <w:kern w:val="0"/>
          <w:sz w:val="24"/>
          <w:szCs w:val="20"/>
          <w:lang w:val="en-GB"/>
        </w:rPr>
      </w:pPr>
      <w:r w:rsidRPr="006B085A">
        <w:rPr>
          <w:rFonts w:ascii="Arial" w:eastAsia="楷体_GB2312" w:hAnsi="Arial" w:cs="Times New Roman" w:hint="eastAsia"/>
          <w:b/>
          <w:bCs/>
          <w:color w:val="0070C0"/>
          <w:kern w:val="0"/>
          <w:sz w:val="24"/>
          <w:szCs w:val="20"/>
          <w:lang w:val="en-GB"/>
        </w:rPr>
        <w:t>发达</w:t>
      </w:r>
      <w:r w:rsidR="00DE0E22">
        <w:rPr>
          <w:rFonts w:ascii="Arial" w:eastAsia="楷体_GB2312" w:hAnsi="Arial" w:cs="Times New Roman" w:hint="eastAsia"/>
          <w:b/>
          <w:bCs/>
          <w:color w:val="0070C0"/>
          <w:kern w:val="0"/>
          <w:sz w:val="24"/>
          <w:szCs w:val="20"/>
          <w:lang w:val="en-GB"/>
        </w:rPr>
        <w:t>与</w:t>
      </w:r>
      <w:r w:rsidRPr="006B085A">
        <w:rPr>
          <w:rFonts w:ascii="Arial" w:eastAsia="楷体_GB2312" w:hAnsi="Arial" w:cs="Times New Roman" w:hint="eastAsia"/>
          <w:b/>
          <w:bCs/>
          <w:color w:val="0070C0"/>
          <w:kern w:val="0"/>
          <w:sz w:val="24"/>
          <w:szCs w:val="20"/>
          <w:lang w:val="en-GB"/>
        </w:rPr>
        <w:t>新兴双引擎驱动</w:t>
      </w:r>
      <w:r w:rsidR="00C13E18">
        <w:rPr>
          <w:rFonts w:ascii="Arial" w:eastAsia="楷体_GB2312" w:hAnsi="Arial" w:cs="Times New Roman" w:hint="eastAsia"/>
          <w:b/>
          <w:bCs/>
          <w:color w:val="0070C0"/>
          <w:kern w:val="0"/>
          <w:sz w:val="24"/>
          <w:szCs w:val="20"/>
          <w:lang w:val="en-GB"/>
        </w:rPr>
        <w:t>，</w:t>
      </w:r>
      <w:r w:rsidR="00D76F2E" w:rsidRPr="006B085A">
        <w:rPr>
          <w:rFonts w:ascii="Arial" w:eastAsia="楷体_GB2312" w:hAnsi="Arial" w:cs="Times New Roman" w:hint="eastAsia"/>
          <w:b/>
          <w:bCs/>
          <w:color w:val="0070C0"/>
          <w:kern w:val="0"/>
          <w:sz w:val="24"/>
          <w:szCs w:val="20"/>
          <w:lang w:val="en-GB"/>
        </w:rPr>
        <w:t>全球经济</w:t>
      </w:r>
      <w:r w:rsidR="00C228D7">
        <w:rPr>
          <w:rFonts w:ascii="Arial" w:eastAsia="楷体_GB2312" w:hAnsi="Arial" w:cs="Times New Roman" w:hint="eastAsia"/>
          <w:b/>
          <w:bCs/>
          <w:color w:val="0070C0"/>
          <w:kern w:val="0"/>
          <w:sz w:val="24"/>
          <w:szCs w:val="20"/>
          <w:lang w:val="en-GB"/>
        </w:rPr>
        <w:t>整体</w:t>
      </w:r>
      <w:r w:rsidR="003E3722">
        <w:rPr>
          <w:rFonts w:ascii="Arial" w:eastAsia="楷体_GB2312" w:hAnsi="Arial" w:cs="Times New Roman" w:hint="eastAsia"/>
          <w:b/>
          <w:bCs/>
          <w:color w:val="0070C0"/>
          <w:kern w:val="0"/>
          <w:sz w:val="24"/>
          <w:szCs w:val="20"/>
          <w:lang w:val="en-GB"/>
        </w:rPr>
        <w:t>温和</w:t>
      </w:r>
      <w:r w:rsidR="00D76F2E">
        <w:rPr>
          <w:rFonts w:ascii="Arial" w:eastAsia="楷体_GB2312" w:hAnsi="Arial" w:cs="Times New Roman" w:hint="eastAsia"/>
          <w:b/>
          <w:bCs/>
          <w:color w:val="0070C0"/>
          <w:kern w:val="0"/>
          <w:sz w:val="24"/>
          <w:szCs w:val="20"/>
          <w:lang w:val="en-GB"/>
        </w:rPr>
        <w:t>增长</w:t>
      </w:r>
    </w:p>
    <w:p w:rsidR="006144AE" w:rsidRPr="00B01AE7" w:rsidRDefault="006144AE" w:rsidP="00CA4E6A">
      <w:pPr>
        <w:pStyle w:val="ab"/>
        <w:numPr>
          <w:ilvl w:val="4"/>
          <w:numId w:val="1"/>
        </w:numPr>
        <w:spacing w:after="163"/>
        <w:rPr>
          <w:rFonts w:eastAsia="楷体_GB2312"/>
          <w:color w:val="auto"/>
        </w:rPr>
      </w:pPr>
      <w:r w:rsidRPr="00B01AE7">
        <w:rPr>
          <w:rFonts w:eastAsia="楷体_GB2312" w:hint="eastAsia"/>
          <w:color w:val="auto"/>
        </w:rPr>
        <w:t>2014</w:t>
      </w:r>
      <w:r w:rsidRPr="00B01AE7">
        <w:rPr>
          <w:rFonts w:eastAsia="楷体_GB2312" w:hint="eastAsia"/>
          <w:color w:val="auto"/>
        </w:rPr>
        <w:t>年，</w:t>
      </w:r>
      <w:r w:rsidR="00887B24" w:rsidRPr="00B01AE7">
        <w:rPr>
          <w:rFonts w:eastAsia="楷体_GB2312" w:hint="eastAsia"/>
          <w:color w:val="auto"/>
        </w:rPr>
        <w:t>预计</w:t>
      </w:r>
      <w:r w:rsidRPr="00B01AE7">
        <w:rPr>
          <w:rFonts w:eastAsia="楷体_GB2312" w:hint="eastAsia"/>
          <w:color w:val="auto"/>
        </w:rPr>
        <w:t>全球经济</w:t>
      </w:r>
      <w:r w:rsidR="00887B24" w:rsidRPr="00B01AE7">
        <w:rPr>
          <w:rFonts w:eastAsia="楷体_GB2312" w:hint="eastAsia"/>
          <w:color w:val="auto"/>
        </w:rPr>
        <w:t>整体温和改善，并从新兴经济体驱动转变为发达经济体和新兴经济体双引擎的驱动，增长更加均衡。</w:t>
      </w:r>
      <w:r w:rsidRPr="00B01AE7">
        <w:rPr>
          <w:rFonts w:eastAsia="楷体_GB2312" w:hint="eastAsia"/>
          <w:color w:val="auto"/>
        </w:rPr>
        <w:t>国际货币基金组织（</w:t>
      </w:r>
      <w:r w:rsidRPr="00B01AE7">
        <w:rPr>
          <w:rFonts w:eastAsia="楷体_GB2312" w:hint="eastAsia"/>
          <w:color w:val="auto"/>
        </w:rPr>
        <w:t>IMF</w:t>
      </w:r>
      <w:r w:rsidRPr="00B01AE7">
        <w:rPr>
          <w:rFonts w:eastAsia="楷体_GB2312" w:hint="eastAsia"/>
          <w:color w:val="auto"/>
        </w:rPr>
        <w:t>）在最新发表的《世界经济展望》中预测，</w:t>
      </w:r>
      <w:r w:rsidRPr="00B01AE7">
        <w:rPr>
          <w:rFonts w:eastAsia="楷体_GB2312" w:hint="eastAsia"/>
          <w:color w:val="auto"/>
        </w:rPr>
        <w:t>2013</w:t>
      </w:r>
      <w:r w:rsidRPr="00B01AE7">
        <w:rPr>
          <w:rFonts w:eastAsia="楷体_GB2312" w:hint="eastAsia"/>
          <w:color w:val="auto"/>
        </w:rPr>
        <w:t>年，全球经济增长率平均为</w:t>
      </w:r>
      <w:r w:rsidRPr="00B01AE7">
        <w:rPr>
          <w:rFonts w:eastAsia="楷体_GB2312" w:hint="eastAsia"/>
          <w:color w:val="auto"/>
        </w:rPr>
        <w:t>2.9%</w:t>
      </w:r>
      <w:r w:rsidRPr="00B01AE7">
        <w:rPr>
          <w:rFonts w:eastAsia="楷体_GB2312" w:hint="eastAsia"/>
          <w:color w:val="auto"/>
        </w:rPr>
        <w:t>，</w:t>
      </w:r>
      <w:r w:rsidRPr="00B01AE7">
        <w:rPr>
          <w:rFonts w:eastAsia="楷体_GB2312" w:hint="eastAsia"/>
          <w:color w:val="auto"/>
        </w:rPr>
        <w:t>2014</w:t>
      </w:r>
      <w:r w:rsidRPr="00B01AE7">
        <w:rPr>
          <w:rFonts w:eastAsia="楷体_GB2312" w:hint="eastAsia"/>
          <w:color w:val="auto"/>
        </w:rPr>
        <w:t>年将上升到</w:t>
      </w:r>
      <w:r w:rsidRPr="00B01AE7">
        <w:rPr>
          <w:rFonts w:eastAsia="楷体_GB2312" w:hint="eastAsia"/>
          <w:color w:val="auto"/>
        </w:rPr>
        <w:t>3.6%</w:t>
      </w:r>
      <w:r w:rsidRPr="00B01AE7">
        <w:rPr>
          <w:rFonts w:eastAsia="楷体_GB2312" w:hint="eastAsia"/>
          <w:color w:val="auto"/>
        </w:rPr>
        <w:t>。</w:t>
      </w:r>
    </w:p>
    <w:p w:rsidR="00CA4E6A" w:rsidRPr="006B085A" w:rsidRDefault="00CA4E6A" w:rsidP="006144AE">
      <w:pPr>
        <w:pStyle w:val="ab"/>
        <w:numPr>
          <w:ilvl w:val="5"/>
          <w:numId w:val="2"/>
        </w:numPr>
        <w:spacing w:after="163"/>
        <w:ind w:left="4140" w:hanging="369"/>
        <w:rPr>
          <w:rFonts w:eastAsia="楷体_GB2312"/>
          <w:color w:val="auto"/>
        </w:rPr>
      </w:pPr>
      <w:r w:rsidRPr="006B085A">
        <w:rPr>
          <w:rFonts w:eastAsia="楷体_GB2312" w:hint="eastAsia"/>
          <w:color w:val="auto"/>
        </w:rPr>
        <w:t>美国经济在经过四季度初政府停摆事件短暂冲击后，重新回到温和复苏的轨道上。随着两党达成预算协议，美国经济运行的不确定性降低，预计在住房市场复苏、就业形势改善以及家庭财富增加支持私人需求持续强劲等因素驱动下，美国经济</w:t>
      </w:r>
      <w:r w:rsidRPr="006B085A">
        <w:rPr>
          <w:rFonts w:eastAsia="楷体_GB2312" w:hint="eastAsia"/>
          <w:color w:val="auto"/>
        </w:rPr>
        <w:t>2014</w:t>
      </w:r>
      <w:r w:rsidRPr="006B085A">
        <w:rPr>
          <w:rFonts w:eastAsia="楷体_GB2312" w:hint="eastAsia"/>
          <w:color w:val="auto"/>
        </w:rPr>
        <w:t>年将保持稳步复苏势头，全年经济增幅有望达到</w:t>
      </w:r>
      <w:r w:rsidRPr="006B085A">
        <w:rPr>
          <w:rFonts w:eastAsia="楷体_GB2312" w:hint="eastAsia"/>
          <w:color w:val="auto"/>
        </w:rPr>
        <w:t>2.5%</w:t>
      </w:r>
      <w:r w:rsidRPr="006B085A">
        <w:rPr>
          <w:rFonts w:eastAsia="楷体_GB2312" w:hint="eastAsia"/>
          <w:color w:val="auto"/>
        </w:rPr>
        <w:t>甚至更高（</w:t>
      </w:r>
      <w:r w:rsidRPr="006B085A">
        <w:rPr>
          <w:rFonts w:eastAsia="楷体_GB2312" w:hint="eastAsia"/>
          <w:color w:val="auto"/>
        </w:rPr>
        <w:t>2013</w:t>
      </w:r>
      <w:r w:rsidRPr="006B085A">
        <w:rPr>
          <w:rFonts w:eastAsia="楷体_GB2312" w:hint="eastAsia"/>
          <w:color w:val="auto"/>
        </w:rPr>
        <w:t>年预计</w:t>
      </w:r>
      <w:r w:rsidRPr="006B085A">
        <w:rPr>
          <w:rFonts w:eastAsia="楷体_GB2312" w:hint="eastAsia"/>
          <w:color w:val="auto"/>
        </w:rPr>
        <w:t>1.5%~1.6%</w:t>
      </w:r>
      <w:r w:rsidRPr="006B085A">
        <w:rPr>
          <w:rFonts w:eastAsia="楷体_GB2312" w:hint="eastAsia"/>
          <w:color w:val="auto"/>
        </w:rPr>
        <w:t>上下）。美联储于</w:t>
      </w:r>
      <w:r w:rsidRPr="006B085A">
        <w:rPr>
          <w:rFonts w:eastAsia="楷体_GB2312" w:hint="eastAsia"/>
          <w:color w:val="auto"/>
        </w:rPr>
        <w:t>2014</w:t>
      </w:r>
      <w:r w:rsidRPr="006B085A">
        <w:rPr>
          <w:rFonts w:eastAsia="楷体_GB2312" w:hint="eastAsia"/>
          <w:color w:val="auto"/>
        </w:rPr>
        <w:t>年</w:t>
      </w:r>
      <w:r w:rsidRPr="006B085A">
        <w:rPr>
          <w:rFonts w:eastAsia="楷体_GB2312" w:hint="eastAsia"/>
          <w:color w:val="auto"/>
        </w:rPr>
        <w:t>1</w:t>
      </w:r>
      <w:r w:rsidRPr="006B085A">
        <w:rPr>
          <w:rFonts w:eastAsia="楷体_GB2312" w:hint="eastAsia"/>
          <w:color w:val="auto"/>
        </w:rPr>
        <w:t>月开始缩减</w:t>
      </w:r>
      <w:r w:rsidRPr="006B085A">
        <w:rPr>
          <w:rFonts w:eastAsia="楷体_GB2312" w:hint="eastAsia"/>
          <w:color w:val="auto"/>
        </w:rPr>
        <w:t>QE</w:t>
      </w:r>
      <w:r w:rsidRPr="006B085A">
        <w:rPr>
          <w:rFonts w:eastAsia="楷体_GB2312" w:hint="eastAsia"/>
          <w:color w:val="auto"/>
        </w:rPr>
        <w:t>，一定程度上体现了政府对于经济增长的信心。而且，美联储对于退出</w:t>
      </w:r>
      <w:r w:rsidRPr="006B085A">
        <w:rPr>
          <w:rFonts w:eastAsia="楷体_GB2312" w:hint="eastAsia"/>
          <w:color w:val="auto"/>
        </w:rPr>
        <w:t>QE</w:t>
      </w:r>
      <w:r w:rsidRPr="006B085A">
        <w:rPr>
          <w:rFonts w:eastAsia="楷体_GB2312" w:hint="eastAsia"/>
          <w:color w:val="auto"/>
        </w:rPr>
        <w:t>的节奏保留弹性灵活性，包括不排除通过其他货币政策来进行及时且适当的对冲操作，以为经济复苏保驾护航。</w:t>
      </w:r>
    </w:p>
    <w:p w:rsidR="00CA4E6A" w:rsidRPr="006B085A" w:rsidRDefault="00CA4E6A" w:rsidP="006144AE">
      <w:pPr>
        <w:pStyle w:val="ab"/>
        <w:numPr>
          <w:ilvl w:val="5"/>
          <w:numId w:val="2"/>
        </w:numPr>
        <w:spacing w:after="163"/>
        <w:ind w:left="4140" w:hanging="369"/>
        <w:rPr>
          <w:rFonts w:eastAsia="楷体_GB2312"/>
          <w:color w:val="auto"/>
        </w:rPr>
      </w:pPr>
      <w:r w:rsidRPr="006B085A">
        <w:rPr>
          <w:rFonts w:eastAsia="楷体_GB2312" w:hint="eastAsia"/>
          <w:color w:val="auto"/>
        </w:rPr>
        <w:t>2013</w:t>
      </w:r>
      <w:r w:rsidRPr="006B085A">
        <w:rPr>
          <w:rFonts w:eastAsia="楷体_GB2312" w:hint="eastAsia"/>
          <w:color w:val="auto"/>
        </w:rPr>
        <w:t>年二季度开始，欧洲经济出现筑底回升的迹象。欧盟统计局数据显示，二季度欧元区经济环比上升</w:t>
      </w:r>
      <w:r w:rsidRPr="006B085A">
        <w:rPr>
          <w:rFonts w:eastAsia="楷体_GB2312" w:hint="eastAsia"/>
          <w:color w:val="auto"/>
        </w:rPr>
        <w:t>0.3%</w:t>
      </w:r>
      <w:r w:rsidRPr="006B085A">
        <w:rPr>
          <w:rFonts w:eastAsia="楷体_GB2312" w:hint="eastAsia"/>
          <w:color w:val="auto"/>
        </w:rPr>
        <w:t>、三季度环比上升</w:t>
      </w:r>
      <w:r w:rsidRPr="006B085A">
        <w:rPr>
          <w:rFonts w:eastAsia="楷体_GB2312" w:hint="eastAsia"/>
          <w:color w:val="auto"/>
        </w:rPr>
        <w:t>0.1%</w:t>
      </w:r>
      <w:r w:rsidRPr="006B085A">
        <w:rPr>
          <w:rFonts w:eastAsia="楷体_GB2312" w:hint="eastAsia"/>
          <w:color w:val="auto"/>
        </w:rPr>
        <w:t>，在经过连续</w:t>
      </w:r>
      <w:r w:rsidRPr="006B085A">
        <w:rPr>
          <w:rFonts w:eastAsia="楷体_GB2312" w:hint="eastAsia"/>
          <w:color w:val="auto"/>
        </w:rPr>
        <w:t>6</w:t>
      </w:r>
      <w:r w:rsidRPr="006B085A">
        <w:rPr>
          <w:rFonts w:eastAsia="楷体_GB2312" w:hint="eastAsia"/>
          <w:color w:val="auto"/>
        </w:rPr>
        <w:t>个季度的经济萎缩后终于恢复弱增长。我们认为，随着越来越多的领域和成员国摆脱经济衰退困境，欧洲经济复苏的基础越来越广泛，配合宽松的货币政策，欧元区</w:t>
      </w:r>
      <w:r w:rsidRPr="006B085A">
        <w:rPr>
          <w:rFonts w:eastAsia="楷体_GB2312" w:hint="eastAsia"/>
          <w:color w:val="auto"/>
        </w:rPr>
        <w:t>2014</w:t>
      </w:r>
      <w:r w:rsidRPr="006B085A">
        <w:rPr>
          <w:rFonts w:eastAsia="楷体_GB2312" w:hint="eastAsia"/>
          <w:color w:val="auto"/>
        </w:rPr>
        <w:t>年有望彻底摆脱衰退局面，但由于成员国经济间的不平衡、高失业率等因素制约下，整体增长或较为缓慢，预计增幅在</w:t>
      </w:r>
      <w:r w:rsidRPr="006B085A">
        <w:rPr>
          <w:rFonts w:eastAsia="楷体_GB2312" w:hint="eastAsia"/>
          <w:color w:val="auto"/>
        </w:rPr>
        <w:t>1%</w:t>
      </w:r>
      <w:r w:rsidRPr="006B085A">
        <w:rPr>
          <w:rFonts w:eastAsia="楷体_GB2312" w:hint="eastAsia"/>
          <w:color w:val="auto"/>
        </w:rPr>
        <w:t>以内。</w:t>
      </w:r>
    </w:p>
    <w:p w:rsidR="00CA4E6A" w:rsidRPr="006B085A" w:rsidRDefault="00CA4E6A" w:rsidP="006144AE">
      <w:pPr>
        <w:pStyle w:val="ab"/>
        <w:numPr>
          <w:ilvl w:val="5"/>
          <w:numId w:val="2"/>
        </w:numPr>
        <w:spacing w:after="163"/>
        <w:ind w:left="4140" w:hanging="369"/>
        <w:rPr>
          <w:rFonts w:eastAsia="楷体_GB2312"/>
          <w:color w:val="auto"/>
        </w:rPr>
      </w:pPr>
      <w:r w:rsidRPr="006B085A">
        <w:rPr>
          <w:rFonts w:eastAsia="楷体_GB2312" w:hint="eastAsia"/>
          <w:color w:val="auto"/>
        </w:rPr>
        <w:t>新兴市场方面，在强劲内需、出口恢复以及支持性财政、货币和金融条件的支持下，预计新兴市场和发展中国家的经济增长将保持强劲，</w:t>
      </w:r>
      <w:r w:rsidRPr="006B085A">
        <w:rPr>
          <w:rFonts w:eastAsia="楷体_GB2312" w:hint="eastAsia"/>
          <w:color w:val="auto"/>
        </w:rPr>
        <w:t>2014</w:t>
      </w:r>
      <w:r w:rsidRPr="006B085A">
        <w:rPr>
          <w:rFonts w:eastAsia="楷体_GB2312" w:hint="eastAsia"/>
          <w:color w:val="auto"/>
        </w:rPr>
        <w:t>年增长有望接近</w:t>
      </w:r>
      <w:r w:rsidRPr="006B085A">
        <w:rPr>
          <w:rFonts w:eastAsia="楷体_GB2312" w:hint="eastAsia"/>
          <w:color w:val="auto"/>
        </w:rPr>
        <w:t>5%</w:t>
      </w:r>
      <w:r w:rsidRPr="006B085A">
        <w:rPr>
          <w:rFonts w:eastAsia="楷体_GB2312" w:hint="eastAsia"/>
          <w:color w:val="auto"/>
        </w:rPr>
        <w:t>。但是，历史经验显示，美国货币政策收紧都曾对</w:t>
      </w:r>
      <w:r w:rsidRPr="006B085A">
        <w:rPr>
          <w:rFonts w:eastAsia="楷体_GB2312" w:hint="eastAsia"/>
          <w:color w:val="auto"/>
        </w:rPr>
        <w:lastRenderedPageBreak/>
        <w:t>部分新兴市场造成冲击，今年二季度末东南亚各国货币的大幅贬值以及新兴市场的暴跌仅仅是因为美联储缩减</w:t>
      </w:r>
      <w:r w:rsidRPr="006B085A">
        <w:rPr>
          <w:rFonts w:eastAsia="楷体_GB2312" w:hint="eastAsia"/>
          <w:color w:val="auto"/>
        </w:rPr>
        <w:t>QE</w:t>
      </w:r>
      <w:r w:rsidRPr="006B085A">
        <w:rPr>
          <w:rFonts w:eastAsia="楷体_GB2312" w:hint="eastAsia"/>
          <w:color w:val="auto"/>
        </w:rPr>
        <w:t>购债规模的预期所致。尽管</w:t>
      </w:r>
      <w:r w:rsidRPr="006B085A">
        <w:rPr>
          <w:rFonts w:eastAsia="楷体_GB2312" w:hint="eastAsia"/>
          <w:color w:val="auto"/>
        </w:rPr>
        <w:t>QE</w:t>
      </w:r>
      <w:r w:rsidRPr="006B085A">
        <w:rPr>
          <w:rFonts w:eastAsia="楷体_GB2312" w:hint="eastAsia"/>
          <w:color w:val="auto"/>
        </w:rPr>
        <w:t>退出采取循序渐进的方式，使得新兴经济体短期承受的压力有所缓解，但考虑到美国</w:t>
      </w:r>
      <w:r w:rsidRPr="006B085A">
        <w:rPr>
          <w:rFonts w:eastAsia="楷体_GB2312" w:hint="eastAsia"/>
          <w:color w:val="auto"/>
        </w:rPr>
        <w:t>QE</w:t>
      </w:r>
      <w:r w:rsidRPr="006B085A">
        <w:rPr>
          <w:rFonts w:eastAsia="楷体_GB2312" w:hint="eastAsia"/>
          <w:color w:val="auto"/>
        </w:rPr>
        <w:t>退出的必然性，新兴市场中长期看将遭受持续的资本流出冲击。因此，新兴市场和发展中国家</w:t>
      </w:r>
      <w:r w:rsidRPr="006B085A">
        <w:rPr>
          <w:rFonts w:eastAsia="楷体_GB2312" w:hint="eastAsia"/>
          <w:color w:val="auto"/>
        </w:rPr>
        <w:t>2014</w:t>
      </w:r>
      <w:r w:rsidRPr="006B085A">
        <w:rPr>
          <w:rFonts w:eastAsia="楷体_GB2312" w:hint="eastAsia"/>
          <w:color w:val="auto"/>
        </w:rPr>
        <w:t>年将分化，中国、俄罗斯等在改革驱动下预期增长相对乐观，巴西、印度、土耳其、南非、印度尼西亚则成为公认的五大脆弱经济体。</w:t>
      </w:r>
    </w:p>
    <w:tbl>
      <w:tblPr>
        <w:tblW w:w="10771" w:type="dxa"/>
        <w:tblLayout w:type="fixed"/>
        <w:tblCellMar>
          <w:left w:w="0" w:type="dxa"/>
          <w:right w:w="0" w:type="dxa"/>
        </w:tblCellMar>
        <w:tblLook w:val="0000"/>
      </w:tblPr>
      <w:tblGrid>
        <w:gridCol w:w="5272"/>
        <w:gridCol w:w="227"/>
        <w:gridCol w:w="5272"/>
      </w:tblGrid>
      <w:tr w:rsidR="00CA4E6A" w:rsidRPr="00837084" w:rsidTr="00DF498E">
        <w:trPr>
          <w:cantSplit/>
          <w:trHeight w:val="368"/>
        </w:trPr>
        <w:tc>
          <w:tcPr>
            <w:tcW w:w="5272" w:type="dxa"/>
            <w:tcBorders>
              <w:top w:val="single" w:sz="6" w:space="0" w:color="FF6600"/>
              <w:bottom w:val="single" w:sz="6" w:space="0" w:color="FF6600"/>
            </w:tcBorders>
            <w:shd w:val="clear" w:color="auto" w:fill="auto"/>
            <w:vAlign w:val="center"/>
          </w:tcPr>
          <w:p w:rsidR="00CA4E6A" w:rsidRDefault="00CA4E6A" w:rsidP="00DF498E">
            <w:pPr>
              <w:pStyle w:val="SubTitleLargeTable"/>
              <w:pBdr>
                <w:top w:val="none" w:sz="0" w:space="0" w:color="auto"/>
              </w:pBdr>
            </w:pPr>
            <w:r w:rsidRPr="001609A2">
              <w:rPr>
                <w:rFonts w:eastAsia="楷体_GB2312"/>
                <w:color w:val="FF6600"/>
              </w:rPr>
              <w:t>图表</w:t>
            </w:r>
            <w:r w:rsidRPr="001609A2">
              <w:rPr>
                <w:rFonts w:eastAsia="楷体_GB2312" w:hint="eastAsia"/>
                <w:color w:val="FF6600"/>
              </w:rPr>
              <w:t>1</w:t>
            </w:r>
            <w:r w:rsidRPr="001609A2">
              <w:rPr>
                <w:rFonts w:eastAsia="楷体_GB2312" w:hint="eastAsia"/>
                <w:color w:val="FF6600"/>
              </w:rPr>
              <w:t>：</w:t>
            </w:r>
            <w:r w:rsidR="00B2113E">
              <w:rPr>
                <w:rFonts w:eastAsia="楷体_GB2312" w:hint="eastAsia"/>
                <w:color w:val="FF6600"/>
              </w:rPr>
              <w:t>发达经济体经济增长预测</w:t>
            </w:r>
          </w:p>
        </w:tc>
        <w:tc>
          <w:tcPr>
            <w:tcW w:w="227" w:type="dxa"/>
            <w:vAlign w:val="center"/>
          </w:tcPr>
          <w:p w:rsidR="00CA4E6A" w:rsidRPr="00837084" w:rsidRDefault="00CA4E6A" w:rsidP="00DF498E">
            <w:pPr>
              <w:jc w:val="center"/>
            </w:pPr>
          </w:p>
        </w:tc>
        <w:tc>
          <w:tcPr>
            <w:tcW w:w="5272" w:type="dxa"/>
            <w:tcBorders>
              <w:top w:val="single" w:sz="6" w:space="0" w:color="FF6600"/>
              <w:bottom w:val="single" w:sz="6" w:space="0" w:color="FF6600"/>
            </w:tcBorders>
            <w:shd w:val="clear" w:color="auto" w:fill="auto"/>
            <w:vAlign w:val="center"/>
          </w:tcPr>
          <w:p w:rsidR="00CA4E6A" w:rsidRPr="00F12D44" w:rsidRDefault="00CA4E6A" w:rsidP="00DF498E">
            <w:pPr>
              <w:pStyle w:val="SubTitleLargeTable"/>
              <w:pBdr>
                <w:top w:val="none" w:sz="0" w:space="0" w:color="auto"/>
              </w:pBdr>
            </w:pPr>
            <w:r w:rsidRPr="001609A2">
              <w:rPr>
                <w:rFonts w:eastAsia="楷体_GB2312"/>
                <w:color w:val="FF6600"/>
              </w:rPr>
              <w:t>图表</w:t>
            </w:r>
            <w:r w:rsidRPr="001609A2">
              <w:rPr>
                <w:rFonts w:eastAsia="楷体_GB2312" w:hint="eastAsia"/>
                <w:color w:val="FF6600"/>
              </w:rPr>
              <w:t>2</w:t>
            </w:r>
            <w:r w:rsidRPr="001609A2">
              <w:rPr>
                <w:rFonts w:eastAsia="楷体_GB2312" w:hint="eastAsia"/>
                <w:color w:val="FF6600"/>
              </w:rPr>
              <w:t>：</w:t>
            </w:r>
            <w:r w:rsidR="00B2113E">
              <w:rPr>
                <w:rFonts w:eastAsia="楷体_GB2312" w:hint="eastAsia"/>
                <w:color w:val="FF6600"/>
              </w:rPr>
              <w:t>新兴及发展中经济体经济增长预测</w:t>
            </w:r>
          </w:p>
        </w:tc>
      </w:tr>
      <w:tr w:rsidR="00CA4E6A" w:rsidRPr="00837084" w:rsidTr="00DF498E">
        <w:trPr>
          <w:cantSplit/>
          <w:trHeight w:val="3016"/>
        </w:trPr>
        <w:tc>
          <w:tcPr>
            <w:tcW w:w="5272" w:type="dxa"/>
            <w:tcBorders>
              <w:top w:val="single" w:sz="6" w:space="0" w:color="FF6600"/>
              <w:bottom w:val="single" w:sz="6" w:space="0" w:color="FF6600"/>
            </w:tcBorders>
            <w:shd w:val="clear" w:color="auto" w:fill="auto"/>
            <w:vAlign w:val="center"/>
          </w:tcPr>
          <w:p w:rsidR="00CA4E6A" w:rsidRDefault="00E063AE" w:rsidP="00DF498E">
            <w:pPr>
              <w:jc w:val="center"/>
            </w:pPr>
            <w:r>
              <w:rPr>
                <w:noProof/>
              </w:rPr>
              <w:drawing>
                <wp:inline distT="0" distB="0" distL="0" distR="0">
                  <wp:extent cx="3343275" cy="3086100"/>
                  <wp:effectExtent l="19050" t="0" r="9525"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3343275" cy="3086100"/>
                          </a:xfrm>
                          <a:prstGeom prst="rect">
                            <a:avLst/>
                          </a:prstGeom>
                          <a:noFill/>
                          <a:ln w="9525">
                            <a:noFill/>
                            <a:miter lim="800000"/>
                            <a:headEnd/>
                            <a:tailEnd/>
                          </a:ln>
                        </pic:spPr>
                      </pic:pic>
                    </a:graphicData>
                  </a:graphic>
                </wp:inline>
              </w:drawing>
            </w:r>
          </w:p>
        </w:tc>
        <w:tc>
          <w:tcPr>
            <w:tcW w:w="227" w:type="dxa"/>
            <w:vAlign w:val="center"/>
          </w:tcPr>
          <w:p w:rsidR="00CA4E6A" w:rsidRPr="00837084" w:rsidRDefault="00CA4E6A" w:rsidP="00DF498E">
            <w:pPr>
              <w:jc w:val="center"/>
            </w:pPr>
          </w:p>
        </w:tc>
        <w:tc>
          <w:tcPr>
            <w:tcW w:w="5272" w:type="dxa"/>
            <w:tcBorders>
              <w:top w:val="single" w:sz="6" w:space="0" w:color="FF6600"/>
              <w:bottom w:val="single" w:sz="6" w:space="0" w:color="FF6600"/>
            </w:tcBorders>
            <w:shd w:val="clear" w:color="auto" w:fill="auto"/>
            <w:vAlign w:val="center"/>
          </w:tcPr>
          <w:p w:rsidR="00CA4E6A" w:rsidRPr="00F12D44" w:rsidRDefault="00E063AE" w:rsidP="00DF498E">
            <w:pPr>
              <w:jc w:val="center"/>
            </w:pPr>
            <w:r>
              <w:rPr>
                <w:noProof/>
              </w:rPr>
              <w:drawing>
                <wp:inline distT="0" distB="0" distL="0" distR="0">
                  <wp:extent cx="3343275" cy="3133725"/>
                  <wp:effectExtent l="19050" t="0" r="952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a:stretch>
                            <a:fillRect/>
                          </a:stretch>
                        </pic:blipFill>
                        <pic:spPr bwMode="auto">
                          <a:xfrm>
                            <a:off x="0" y="0"/>
                            <a:ext cx="3343275" cy="3133725"/>
                          </a:xfrm>
                          <a:prstGeom prst="rect">
                            <a:avLst/>
                          </a:prstGeom>
                          <a:noFill/>
                          <a:ln w="9525">
                            <a:noFill/>
                            <a:miter lim="800000"/>
                            <a:headEnd/>
                            <a:tailEnd/>
                          </a:ln>
                        </pic:spPr>
                      </pic:pic>
                    </a:graphicData>
                  </a:graphic>
                </wp:inline>
              </w:drawing>
            </w:r>
          </w:p>
        </w:tc>
      </w:tr>
    </w:tbl>
    <w:p w:rsidR="00CA4E6A" w:rsidRPr="003F6CBD" w:rsidRDefault="00CA4E6A" w:rsidP="00CA4E6A">
      <w:pPr>
        <w:pStyle w:val="FootnoteNoline"/>
        <w:ind w:left="0"/>
        <w:rPr>
          <w:color w:val="FF6600"/>
        </w:rPr>
      </w:pPr>
      <w:r w:rsidRPr="001609A2">
        <w:rPr>
          <w:rFonts w:eastAsia="楷体_GB2312" w:hint="eastAsia"/>
          <w:color w:val="FF6600"/>
          <w:lang w:val="en-US"/>
        </w:rPr>
        <w:t>来源：凯石财富工场</w:t>
      </w:r>
      <w:r w:rsidRPr="001609A2">
        <w:rPr>
          <w:rFonts w:eastAsia="楷体_GB2312" w:hint="eastAsia"/>
          <w:color w:val="FF6600"/>
          <w:lang w:val="en-US"/>
        </w:rPr>
        <w:t xml:space="preserve"> </w:t>
      </w:r>
      <w:r w:rsidR="00B2113E" w:rsidRPr="00B2113E">
        <w:rPr>
          <w:rFonts w:eastAsia="楷体_GB2312" w:hint="eastAsia"/>
          <w:color w:val="FF6600"/>
          <w:lang w:val="en-US"/>
        </w:rPr>
        <w:t>IMF</w:t>
      </w:r>
      <w:r w:rsidR="00B2113E" w:rsidRPr="00B2113E">
        <w:rPr>
          <w:rFonts w:eastAsia="楷体_GB2312" w:hint="eastAsia"/>
          <w:color w:val="FF6600"/>
          <w:lang w:val="en-US"/>
        </w:rPr>
        <w:t>《世界经济展望》</w:t>
      </w:r>
    </w:p>
    <w:p w:rsidR="00A70401" w:rsidRPr="006B085A" w:rsidRDefault="00DE0E22" w:rsidP="00A70401">
      <w:pPr>
        <w:widowControl/>
        <w:spacing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中国经济</w:t>
      </w:r>
      <w:r w:rsidR="0053007C">
        <w:rPr>
          <w:rFonts w:ascii="Arial" w:eastAsia="楷体_GB2312" w:hAnsi="Arial" w:cs="Times New Roman" w:hint="eastAsia"/>
          <w:b/>
          <w:bCs/>
          <w:color w:val="0070C0"/>
          <w:kern w:val="0"/>
          <w:sz w:val="24"/>
          <w:szCs w:val="20"/>
          <w:lang w:val="en-GB"/>
        </w:rPr>
        <w:t>增长</w:t>
      </w:r>
      <w:r w:rsidR="00C228D7">
        <w:rPr>
          <w:rFonts w:ascii="Arial" w:eastAsia="楷体_GB2312" w:hAnsi="Arial" w:cs="Times New Roman" w:hint="eastAsia"/>
          <w:b/>
          <w:bCs/>
          <w:color w:val="0070C0"/>
          <w:kern w:val="0"/>
          <w:sz w:val="24"/>
          <w:szCs w:val="20"/>
          <w:lang w:val="en-GB"/>
        </w:rPr>
        <w:t>延续</w:t>
      </w:r>
      <w:r w:rsidR="003533E7">
        <w:rPr>
          <w:rFonts w:ascii="Arial" w:eastAsia="楷体_GB2312" w:hAnsi="Arial" w:cs="Times New Roman" w:hint="eastAsia"/>
          <w:b/>
          <w:bCs/>
          <w:color w:val="0070C0"/>
          <w:kern w:val="0"/>
          <w:sz w:val="24"/>
          <w:szCs w:val="20"/>
          <w:lang w:val="en-GB"/>
        </w:rPr>
        <w:t>稳定</w:t>
      </w:r>
      <w:r w:rsidR="0053007C">
        <w:rPr>
          <w:rFonts w:ascii="Arial" w:eastAsia="楷体_GB2312" w:hAnsi="Arial" w:cs="Times New Roman" w:hint="eastAsia"/>
          <w:b/>
          <w:bCs/>
          <w:color w:val="0070C0"/>
          <w:kern w:val="0"/>
          <w:sz w:val="24"/>
          <w:szCs w:val="20"/>
          <w:lang w:val="en-GB"/>
        </w:rPr>
        <w:t>，</w:t>
      </w:r>
      <w:r w:rsidR="003533E7">
        <w:rPr>
          <w:rFonts w:ascii="Arial" w:eastAsia="楷体_GB2312" w:hAnsi="Arial" w:cs="Times New Roman" w:hint="eastAsia"/>
          <w:b/>
          <w:bCs/>
          <w:color w:val="0070C0"/>
          <w:kern w:val="0"/>
          <w:sz w:val="24"/>
          <w:szCs w:val="20"/>
          <w:lang w:val="en-GB"/>
        </w:rPr>
        <w:t>兼顾</w:t>
      </w:r>
      <w:r w:rsidR="0053007C">
        <w:rPr>
          <w:rFonts w:ascii="Arial" w:eastAsia="楷体_GB2312" w:hAnsi="Arial" w:cs="Times New Roman" w:hint="eastAsia"/>
          <w:b/>
          <w:bCs/>
          <w:color w:val="0070C0"/>
          <w:kern w:val="0"/>
          <w:sz w:val="24"/>
          <w:szCs w:val="20"/>
          <w:lang w:val="en-GB"/>
        </w:rPr>
        <w:t>改革推进</w:t>
      </w:r>
      <w:r w:rsidR="003533E7">
        <w:rPr>
          <w:rFonts w:ascii="Arial" w:eastAsia="楷体_GB2312" w:hAnsi="Arial" w:cs="Times New Roman" w:hint="eastAsia"/>
          <w:b/>
          <w:bCs/>
          <w:color w:val="0070C0"/>
          <w:kern w:val="0"/>
          <w:sz w:val="24"/>
          <w:szCs w:val="20"/>
          <w:lang w:val="en-GB"/>
        </w:rPr>
        <w:t>风险防范</w:t>
      </w:r>
    </w:p>
    <w:p w:rsidR="00BC3D40" w:rsidRPr="00C830A1" w:rsidRDefault="00FE3AEE" w:rsidP="007671B5">
      <w:pPr>
        <w:pStyle w:val="ab"/>
        <w:numPr>
          <w:ilvl w:val="4"/>
          <w:numId w:val="1"/>
        </w:numPr>
        <w:spacing w:after="163"/>
        <w:rPr>
          <w:rFonts w:eastAsia="楷体_GB2312"/>
          <w:color w:val="auto"/>
        </w:rPr>
      </w:pPr>
      <w:r w:rsidRPr="00C830A1">
        <w:rPr>
          <w:rFonts w:eastAsia="楷体_GB2312" w:hint="eastAsia"/>
          <w:color w:val="auto"/>
        </w:rPr>
        <w:t>如果说</w:t>
      </w:r>
      <w:r w:rsidR="00BC5BC3" w:rsidRPr="00C830A1">
        <w:rPr>
          <w:rFonts w:eastAsia="楷体_GB2312" w:hint="eastAsia"/>
          <w:color w:val="auto"/>
        </w:rPr>
        <w:t>十八届三中全会刻画了未来五年</w:t>
      </w:r>
      <w:r w:rsidR="00CA55EC" w:rsidRPr="00C830A1">
        <w:rPr>
          <w:rFonts w:eastAsia="楷体_GB2312" w:hint="eastAsia"/>
          <w:color w:val="auto"/>
        </w:rPr>
        <w:t>到十年</w:t>
      </w:r>
      <w:r w:rsidRPr="00C830A1">
        <w:rPr>
          <w:rFonts w:eastAsia="楷体_GB2312" w:hint="eastAsia"/>
          <w:color w:val="auto"/>
        </w:rPr>
        <w:t>乃至更长远</w:t>
      </w:r>
      <w:r w:rsidR="00BC5BC3" w:rsidRPr="00C830A1">
        <w:rPr>
          <w:rFonts w:eastAsia="楷体_GB2312" w:hint="eastAsia"/>
          <w:color w:val="auto"/>
        </w:rPr>
        <w:t>的经济发展方向，</w:t>
      </w:r>
      <w:r w:rsidR="007671B5" w:rsidRPr="00C830A1">
        <w:rPr>
          <w:rFonts w:eastAsia="楷体_GB2312" w:hint="eastAsia"/>
          <w:color w:val="auto"/>
        </w:rPr>
        <w:t>中央经济工作会议</w:t>
      </w:r>
      <w:r w:rsidR="003E1107" w:rsidRPr="00C830A1">
        <w:rPr>
          <w:rFonts w:eastAsia="楷体_GB2312" w:hint="eastAsia"/>
          <w:color w:val="auto"/>
        </w:rPr>
        <w:t>则</w:t>
      </w:r>
      <w:r w:rsidR="007671B5" w:rsidRPr="00C830A1">
        <w:rPr>
          <w:rFonts w:eastAsia="楷体_GB2312" w:hint="eastAsia"/>
          <w:color w:val="auto"/>
        </w:rPr>
        <w:t>明确了</w:t>
      </w:r>
      <w:r w:rsidR="007671B5" w:rsidRPr="00C830A1">
        <w:rPr>
          <w:rFonts w:eastAsia="楷体_GB2312" w:hint="eastAsia"/>
          <w:color w:val="auto"/>
        </w:rPr>
        <w:t>2014</w:t>
      </w:r>
      <w:r w:rsidR="007671B5" w:rsidRPr="00C830A1">
        <w:rPr>
          <w:rFonts w:eastAsia="楷体_GB2312" w:hint="eastAsia"/>
          <w:color w:val="auto"/>
        </w:rPr>
        <w:t>年中国经济增长的</w:t>
      </w:r>
      <w:r w:rsidR="00BC3D40" w:rsidRPr="00C830A1">
        <w:rPr>
          <w:rFonts w:eastAsia="楷体_GB2312" w:hint="eastAsia"/>
          <w:color w:val="auto"/>
        </w:rPr>
        <w:t>具体</w:t>
      </w:r>
      <w:r w:rsidR="007671B5" w:rsidRPr="00C830A1">
        <w:rPr>
          <w:rFonts w:eastAsia="楷体_GB2312" w:hint="eastAsia"/>
          <w:color w:val="auto"/>
        </w:rPr>
        <w:t>路径，</w:t>
      </w:r>
      <w:r w:rsidR="00BC3D40" w:rsidRPr="00C830A1">
        <w:rPr>
          <w:rFonts w:eastAsia="楷体_GB2312" w:hint="eastAsia"/>
          <w:color w:val="auto"/>
        </w:rPr>
        <w:t>核心为</w:t>
      </w:r>
      <w:r w:rsidR="002D50E8" w:rsidRPr="00C830A1">
        <w:rPr>
          <w:rFonts w:eastAsia="楷体_GB2312" w:hint="eastAsia"/>
          <w:color w:val="auto"/>
        </w:rPr>
        <w:t>兼顾改革推进和风险防范，</w:t>
      </w:r>
      <w:r w:rsidR="00BC3D40" w:rsidRPr="00C830A1">
        <w:rPr>
          <w:rFonts w:eastAsia="楷体_GB2312" w:hint="eastAsia"/>
          <w:color w:val="auto"/>
        </w:rPr>
        <w:t>即坚持稳中求进工作总基调，把改革创新贯穿于经济社会发展各个领域各个环节，保持宏观经济政策连续性和稳定性，努力实现经济发展质量和效益得到提高又不会带来后遗症，促进经济持续健康发展、社会和谐稳定。</w:t>
      </w:r>
      <w:r w:rsidR="00C830A1" w:rsidRPr="00C830A1">
        <w:rPr>
          <w:rFonts w:eastAsia="楷体_GB2312" w:hint="eastAsia"/>
          <w:color w:val="auto"/>
        </w:rPr>
        <w:t>综合国内外政治</w:t>
      </w:r>
      <w:r w:rsidR="00E87D79" w:rsidRPr="00C830A1">
        <w:rPr>
          <w:rFonts w:eastAsia="楷体_GB2312" w:hint="eastAsia"/>
          <w:color w:val="auto"/>
        </w:rPr>
        <w:t>经济环境，</w:t>
      </w:r>
      <w:r w:rsidR="00C830A1" w:rsidRPr="00C830A1">
        <w:rPr>
          <w:rFonts w:eastAsia="楷体_GB2312" w:hint="eastAsia"/>
          <w:color w:val="auto"/>
        </w:rPr>
        <w:t>预计</w:t>
      </w:r>
      <w:r w:rsidR="00C830A1" w:rsidRPr="00C830A1">
        <w:rPr>
          <w:rFonts w:eastAsia="楷体_GB2312" w:hint="eastAsia"/>
          <w:color w:val="auto"/>
        </w:rPr>
        <w:t>2014</w:t>
      </w:r>
      <w:r w:rsidR="00C830A1" w:rsidRPr="00C830A1">
        <w:rPr>
          <w:rFonts w:eastAsia="楷体_GB2312" w:hint="eastAsia"/>
          <w:color w:val="auto"/>
        </w:rPr>
        <w:t>年中国经济总体增长有望保持稳定，其中改革推动下投资料将放缓，但全球经济复苏有望带来出口温和增长，同时消费升级下消费增速或将稳重有升，</w:t>
      </w:r>
      <w:r w:rsidR="00333101" w:rsidRPr="00C830A1">
        <w:rPr>
          <w:rFonts w:eastAsia="楷体_GB2312" w:hint="eastAsia"/>
          <w:color w:val="auto"/>
        </w:rPr>
        <w:t>全年</w:t>
      </w:r>
      <w:r w:rsidR="00333101" w:rsidRPr="00C830A1">
        <w:rPr>
          <w:rFonts w:eastAsia="楷体_GB2312" w:hint="eastAsia"/>
          <w:color w:val="auto"/>
        </w:rPr>
        <w:t>GDP</w:t>
      </w:r>
      <w:r w:rsidR="00333101" w:rsidRPr="00C830A1">
        <w:rPr>
          <w:rFonts w:eastAsia="楷体_GB2312" w:hint="eastAsia"/>
          <w:color w:val="auto"/>
        </w:rPr>
        <w:t>增长</w:t>
      </w:r>
      <w:r w:rsidR="00C830A1">
        <w:rPr>
          <w:rFonts w:eastAsia="楷体_GB2312" w:hint="eastAsia"/>
          <w:color w:val="auto"/>
        </w:rPr>
        <w:t>或</w:t>
      </w:r>
      <w:r w:rsidR="00333101" w:rsidRPr="00C830A1">
        <w:rPr>
          <w:rFonts w:eastAsia="楷体_GB2312" w:hint="eastAsia"/>
          <w:color w:val="auto"/>
        </w:rPr>
        <w:t>在</w:t>
      </w:r>
      <w:r w:rsidR="00333101" w:rsidRPr="00C830A1">
        <w:rPr>
          <w:rFonts w:eastAsia="楷体_GB2312" w:hint="eastAsia"/>
          <w:color w:val="auto"/>
        </w:rPr>
        <w:t>7.5%</w:t>
      </w:r>
      <w:r w:rsidR="00333101" w:rsidRPr="00C830A1">
        <w:rPr>
          <w:rFonts w:eastAsia="楷体_GB2312" w:hint="eastAsia"/>
          <w:color w:val="auto"/>
        </w:rPr>
        <w:t>上下，</w:t>
      </w:r>
      <w:r w:rsidR="00D141EF" w:rsidRPr="00C830A1">
        <w:rPr>
          <w:rFonts w:eastAsia="楷体_GB2312" w:hint="eastAsia"/>
          <w:color w:val="auto"/>
        </w:rPr>
        <w:t>与</w:t>
      </w:r>
      <w:r w:rsidR="00D141EF" w:rsidRPr="00C830A1">
        <w:rPr>
          <w:rFonts w:eastAsia="楷体_GB2312" w:hint="eastAsia"/>
          <w:color w:val="auto"/>
        </w:rPr>
        <w:t>2013</w:t>
      </w:r>
      <w:r w:rsidR="00D141EF" w:rsidRPr="00C830A1">
        <w:rPr>
          <w:rFonts w:eastAsia="楷体_GB2312" w:hint="eastAsia"/>
          <w:color w:val="auto"/>
        </w:rPr>
        <w:t>年基本持平，</w:t>
      </w:r>
      <w:r w:rsidR="001418E9" w:rsidRPr="00C830A1">
        <w:rPr>
          <w:rFonts w:eastAsia="楷体_GB2312" w:hint="eastAsia"/>
          <w:color w:val="auto"/>
        </w:rPr>
        <w:t>经济结构</w:t>
      </w:r>
      <w:r w:rsidR="00C830A1" w:rsidRPr="00C830A1">
        <w:rPr>
          <w:rFonts w:eastAsia="楷体_GB2312" w:hint="eastAsia"/>
          <w:color w:val="auto"/>
        </w:rPr>
        <w:t>实现</w:t>
      </w:r>
      <w:r w:rsidR="001418E9" w:rsidRPr="00C830A1">
        <w:rPr>
          <w:rFonts w:eastAsia="楷体_GB2312" w:hint="eastAsia"/>
          <w:color w:val="auto"/>
        </w:rPr>
        <w:t>适度调整。</w:t>
      </w:r>
    </w:p>
    <w:p w:rsidR="00926E5F" w:rsidRDefault="00926E5F" w:rsidP="00A54EAC">
      <w:pPr>
        <w:pStyle w:val="ab"/>
        <w:numPr>
          <w:ilvl w:val="5"/>
          <w:numId w:val="2"/>
        </w:numPr>
        <w:spacing w:after="163"/>
        <w:ind w:left="4140" w:hanging="369"/>
        <w:rPr>
          <w:rFonts w:eastAsia="楷体_GB2312"/>
          <w:color w:val="auto"/>
        </w:rPr>
      </w:pPr>
      <w:r w:rsidRPr="004F4202">
        <w:rPr>
          <w:rFonts w:eastAsia="楷体_GB2312" w:hint="eastAsia"/>
          <w:color w:val="auto"/>
        </w:rPr>
        <w:t>出口</w:t>
      </w:r>
      <w:r w:rsidR="007477F4" w:rsidRPr="004F4202">
        <w:rPr>
          <w:rFonts w:eastAsia="楷体_GB2312" w:hint="eastAsia"/>
          <w:color w:val="auto"/>
        </w:rPr>
        <w:t>有望随全球经济复苏温和增长</w:t>
      </w:r>
      <w:r w:rsidR="00CE78EA">
        <w:rPr>
          <w:rFonts w:eastAsia="楷体_GB2312" w:hint="eastAsia"/>
          <w:color w:val="auto"/>
        </w:rPr>
        <w:t>。</w:t>
      </w:r>
      <w:r w:rsidR="004F4202" w:rsidRPr="004F4202">
        <w:rPr>
          <w:rFonts w:eastAsia="楷体_GB2312" w:hint="eastAsia"/>
          <w:color w:val="auto"/>
        </w:rPr>
        <w:t>2013</w:t>
      </w:r>
      <w:r w:rsidR="004F4202" w:rsidRPr="004F4202">
        <w:rPr>
          <w:rFonts w:eastAsia="楷体_GB2312" w:hint="eastAsia"/>
          <w:color w:val="auto"/>
        </w:rPr>
        <w:t>年下半年来，中国出口形势总体持续好转，尽管其中不乏人民币升值下热钱流入的因素。其中，对美欧日等发达经济体的出口呈现较为持续的增长势头，对新兴经济体出口则出现一定的分化，如对俄罗斯、巴西等总体保持增长，对其他新兴或发展中经济体则出现下滑。</w:t>
      </w:r>
      <w:r w:rsidR="005F30F2" w:rsidRPr="004F4202">
        <w:rPr>
          <w:rFonts w:eastAsia="楷体_GB2312" w:hint="eastAsia"/>
          <w:color w:val="auto"/>
        </w:rPr>
        <w:t>如前所述，在发达经济体和新兴经济体双引擎的驱动下，全球经济在</w:t>
      </w:r>
      <w:r w:rsidR="005F30F2" w:rsidRPr="004F4202">
        <w:rPr>
          <w:rFonts w:eastAsia="楷体_GB2312" w:hint="eastAsia"/>
          <w:color w:val="auto"/>
        </w:rPr>
        <w:t>2014</w:t>
      </w:r>
      <w:r w:rsidR="005F30F2" w:rsidRPr="004F4202">
        <w:rPr>
          <w:rFonts w:eastAsia="楷体_GB2312" w:hint="eastAsia"/>
          <w:color w:val="auto"/>
        </w:rPr>
        <w:t>年将整体温和改善</w:t>
      </w:r>
      <w:r w:rsidR="003D5B64" w:rsidRPr="004F4202">
        <w:rPr>
          <w:rFonts w:eastAsia="楷体_GB2312" w:hint="eastAsia"/>
          <w:color w:val="auto"/>
        </w:rPr>
        <w:t>。外部需求</w:t>
      </w:r>
      <w:r w:rsidR="00444361" w:rsidRPr="004F4202">
        <w:rPr>
          <w:rFonts w:eastAsia="楷体_GB2312" w:hint="eastAsia"/>
          <w:color w:val="auto"/>
        </w:rPr>
        <w:t>尤其是发达经济体需求</w:t>
      </w:r>
      <w:r w:rsidR="003D5B64" w:rsidRPr="004F4202">
        <w:rPr>
          <w:rFonts w:eastAsia="楷体_GB2312" w:hint="eastAsia"/>
          <w:color w:val="auto"/>
        </w:rPr>
        <w:t>上升，</w:t>
      </w:r>
      <w:r w:rsidR="007014CF" w:rsidRPr="004F4202">
        <w:rPr>
          <w:rFonts w:eastAsia="楷体_GB2312" w:hint="eastAsia"/>
          <w:color w:val="auto"/>
        </w:rPr>
        <w:t>加之</w:t>
      </w:r>
      <w:r w:rsidR="00444361" w:rsidRPr="004F4202">
        <w:rPr>
          <w:rFonts w:eastAsia="楷体_GB2312" w:hint="eastAsia"/>
          <w:color w:val="auto"/>
        </w:rPr>
        <w:t>政府又将通过多重举措推进外贸</w:t>
      </w:r>
      <w:r w:rsidR="007014CF" w:rsidRPr="004F4202">
        <w:rPr>
          <w:rFonts w:eastAsia="楷体_GB2312" w:hint="eastAsia"/>
          <w:color w:val="auto"/>
        </w:rPr>
        <w:t>的</w:t>
      </w:r>
      <w:r w:rsidR="00444361" w:rsidRPr="004F4202">
        <w:rPr>
          <w:rFonts w:eastAsia="楷体_GB2312" w:hint="eastAsia"/>
          <w:color w:val="auto"/>
        </w:rPr>
        <w:t>转型升级，因此预计</w:t>
      </w:r>
      <w:r w:rsidR="00444361" w:rsidRPr="004F4202">
        <w:rPr>
          <w:rFonts w:eastAsia="楷体_GB2312" w:hint="eastAsia"/>
          <w:color w:val="auto"/>
        </w:rPr>
        <w:t>2014</w:t>
      </w:r>
      <w:r w:rsidR="00444361" w:rsidRPr="004F4202">
        <w:rPr>
          <w:rFonts w:eastAsia="楷体_GB2312" w:hint="eastAsia"/>
          <w:color w:val="auto"/>
        </w:rPr>
        <w:t>年中国出口有望保持增长</w:t>
      </w:r>
      <w:r w:rsidR="0042220C" w:rsidRPr="004F4202">
        <w:rPr>
          <w:rFonts w:eastAsia="楷体_GB2312" w:hint="eastAsia"/>
          <w:color w:val="auto"/>
        </w:rPr>
        <w:t>。不过，</w:t>
      </w:r>
      <w:r w:rsidR="007014CF" w:rsidRPr="004F4202">
        <w:rPr>
          <w:rFonts w:eastAsia="楷体_GB2312" w:hint="eastAsia"/>
          <w:color w:val="auto"/>
        </w:rPr>
        <w:t>考虑到</w:t>
      </w:r>
      <w:r w:rsidR="00875F04" w:rsidRPr="004F4202">
        <w:rPr>
          <w:rFonts w:eastAsia="楷体_GB2312" w:hint="eastAsia"/>
          <w:color w:val="auto"/>
        </w:rPr>
        <w:t>对部分新兴或发展中经济体出口</w:t>
      </w:r>
      <w:r w:rsidR="007014CF" w:rsidRPr="004F4202">
        <w:rPr>
          <w:rFonts w:eastAsia="楷体_GB2312" w:hint="eastAsia"/>
          <w:color w:val="auto"/>
        </w:rPr>
        <w:t>的</w:t>
      </w:r>
      <w:r w:rsidR="00875F04" w:rsidRPr="004F4202">
        <w:rPr>
          <w:rFonts w:eastAsia="楷体_GB2312" w:hint="eastAsia"/>
          <w:color w:val="auto"/>
        </w:rPr>
        <w:t>下降，</w:t>
      </w:r>
      <w:r w:rsidR="007014CF" w:rsidRPr="004F4202">
        <w:rPr>
          <w:rFonts w:eastAsia="楷体_GB2312" w:hint="eastAsia"/>
          <w:color w:val="auto"/>
        </w:rPr>
        <w:t>以及</w:t>
      </w:r>
      <w:r w:rsidR="00875F04" w:rsidRPr="004F4202">
        <w:rPr>
          <w:rFonts w:eastAsia="楷体_GB2312" w:hint="eastAsia"/>
          <w:color w:val="auto"/>
        </w:rPr>
        <w:t>劳动力成本上升</w:t>
      </w:r>
      <w:r w:rsidR="007014CF" w:rsidRPr="004F4202">
        <w:rPr>
          <w:rFonts w:eastAsia="楷体_GB2312" w:hint="eastAsia"/>
          <w:color w:val="auto"/>
        </w:rPr>
        <w:t>和</w:t>
      </w:r>
      <w:r w:rsidR="00875F04" w:rsidRPr="004F4202">
        <w:rPr>
          <w:rFonts w:eastAsia="楷体_GB2312" w:hint="eastAsia"/>
          <w:color w:val="auto"/>
        </w:rPr>
        <w:t>人民币升值的影响，出口增长预计幅度有限。</w:t>
      </w:r>
    </w:p>
    <w:p w:rsidR="0035363E" w:rsidRDefault="00DF0105" w:rsidP="00A54EAC">
      <w:pPr>
        <w:pStyle w:val="ab"/>
        <w:numPr>
          <w:ilvl w:val="5"/>
          <w:numId w:val="2"/>
        </w:numPr>
        <w:spacing w:after="163"/>
        <w:ind w:left="4140" w:hanging="369"/>
        <w:rPr>
          <w:rFonts w:eastAsia="楷体_GB2312"/>
          <w:color w:val="auto"/>
        </w:rPr>
      </w:pPr>
      <w:r w:rsidRPr="006E7BCD">
        <w:rPr>
          <w:rFonts w:eastAsia="楷体_GB2312" w:hint="eastAsia"/>
          <w:color w:val="auto"/>
        </w:rPr>
        <w:t>改革推动下</w:t>
      </w:r>
      <w:r w:rsidR="0000422A" w:rsidRPr="006E7BCD">
        <w:rPr>
          <w:rFonts w:eastAsia="楷体_GB2312" w:hint="eastAsia"/>
          <w:color w:val="auto"/>
        </w:rPr>
        <w:t>投资</w:t>
      </w:r>
      <w:r w:rsidR="00CE78EA" w:rsidRPr="006E7BCD">
        <w:rPr>
          <w:rFonts w:eastAsia="楷体_GB2312" w:hint="eastAsia"/>
          <w:color w:val="auto"/>
        </w:rPr>
        <w:t>料将放缓。</w:t>
      </w:r>
      <w:r w:rsidR="002540D4" w:rsidRPr="006E7BCD">
        <w:rPr>
          <w:rFonts w:eastAsia="楷体_GB2312" w:hint="eastAsia"/>
          <w:color w:val="auto"/>
        </w:rPr>
        <w:t>全国固定资产投资（不含农户）</w:t>
      </w:r>
      <w:r w:rsidR="00194C36">
        <w:rPr>
          <w:rFonts w:eastAsia="楷体_GB2312" w:hint="eastAsia"/>
          <w:color w:val="auto"/>
        </w:rPr>
        <w:t>前</w:t>
      </w:r>
      <w:r w:rsidR="00194C36" w:rsidRPr="006E7BCD">
        <w:rPr>
          <w:rFonts w:eastAsia="楷体_GB2312" w:hint="eastAsia"/>
          <w:color w:val="auto"/>
        </w:rPr>
        <w:t>11</w:t>
      </w:r>
      <w:r w:rsidR="00194C36" w:rsidRPr="006E7BCD">
        <w:rPr>
          <w:rFonts w:eastAsia="楷体_GB2312" w:hint="eastAsia"/>
          <w:color w:val="auto"/>
        </w:rPr>
        <w:t>月</w:t>
      </w:r>
      <w:r w:rsidR="002540D4" w:rsidRPr="006E7BCD">
        <w:rPr>
          <w:rFonts w:eastAsia="楷体_GB2312" w:hint="eastAsia"/>
          <w:color w:val="auto"/>
        </w:rPr>
        <w:t>同比增长</w:t>
      </w:r>
      <w:r w:rsidR="002540D4" w:rsidRPr="006E7BCD">
        <w:rPr>
          <w:rFonts w:eastAsia="楷体_GB2312" w:hint="eastAsia"/>
          <w:color w:val="auto"/>
        </w:rPr>
        <w:t>19.9%</w:t>
      </w:r>
      <w:r w:rsidR="002540D4" w:rsidRPr="006E7BCD">
        <w:rPr>
          <w:rFonts w:eastAsia="楷体_GB2312" w:hint="eastAsia"/>
          <w:color w:val="auto"/>
        </w:rPr>
        <w:t>，全年基本保持稳步回落趋势。</w:t>
      </w:r>
      <w:r w:rsidR="006E7BCD" w:rsidRPr="006E7BCD">
        <w:rPr>
          <w:rFonts w:eastAsia="楷体_GB2312" w:hint="eastAsia"/>
          <w:color w:val="auto"/>
        </w:rPr>
        <w:t>2014</w:t>
      </w:r>
      <w:r w:rsidR="006E7BCD" w:rsidRPr="006E7BCD">
        <w:rPr>
          <w:rFonts w:eastAsia="楷体_GB2312" w:hint="eastAsia"/>
          <w:color w:val="auto"/>
        </w:rPr>
        <w:t>年，固定资产投资增速预计</w:t>
      </w:r>
      <w:r w:rsidR="009F7E5B">
        <w:rPr>
          <w:rFonts w:eastAsia="楷体_GB2312" w:hint="eastAsia"/>
          <w:color w:val="auto"/>
        </w:rPr>
        <w:t>将</w:t>
      </w:r>
      <w:r w:rsidR="006E7BCD" w:rsidRPr="006E7BCD">
        <w:rPr>
          <w:rFonts w:eastAsia="楷体_GB2312" w:hint="eastAsia"/>
          <w:color w:val="auto"/>
        </w:rPr>
        <w:t>进一步小幅放缓。</w:t>
      </w:r>
      <w:r w:rsidR="00D6607E">
        <w:rPr>
          <w:rFonts w:eastAsia="楷体_GB2312" w:hint="eastAsia"/>
          <w:color w:val="auto"/>
        </w:rPr>
        <w:t>一方面</w:t>
      </w:r>
      <w:r w:rsidR="006E7BCD" w:rsidRPr="006E7BCD">
        <w:rPr>
          <w:rFonts w:eastAsia="楷体_GB2312" w:hint="eastAsia"/>
          <w:color w:val="auto"/>
        </w:rPr>
        <w:t>，</w:t>
      </w:r>
      <w:r w:rsidR="0035363E" w:rsidRPr="006E7BCD">
        <w:rPr>
          <w:rFonts w:eastAsia="楷体_GB2312" w:hint="eastAsia"/>
          <w:color w:val="auto"/>
        </w:rPr>
        <w:t>改革的重要目标就是要改变依靠</w:t>
      </w:r>
      <w:r w:rsidR="0035363E" w:rsidRPr="006E7BCD">
        <w:rPr>
          <w:rFonts w:eastAsia="楷体_GB2312" w:hint="eastAsia"/>
          <w:color w:val="auto"/>
        </w:rPr>
        <w:lastRenderedPageBreak/>
        <w:t>投资和出口拉动的经济增长方式</w:t>
      </w:r>
      <w:r w:rsidR="00FD7DF9">
        <w:rPr>
          <w:rFonts w:eastAsia="楷体_GB2312" w:hint="eastAsia"/>
          <w:color w:val="auto"/>
        </w:rPr>
        <w:t>；</w:t>
      </w:r>
      <w:r w:rsidR="00D6607E">
        <w:rPr>
          <w:rFonts w:eastAsia="楷体_GB2312" w:hint="eastAsia"/>
          <w:color w:val="auto"/>
        </w:rPr>
        <w:t>另一方面，</w:t>
      </w:r>
      <w:r w:rsidR="00FD7DF9">
        <w:rPr>
          <w:rFonts w:eastAsia="楷体_GB2312" w:hint="eastAsia"/>
          <w:color w:val="auto"/>
        </w:rPr>
        <w:t>在</w:t>
      </w:r>
      <w:r w:rsidR="009F7E5B">
        <w:rPr>
          <w:rFonts w:eastAsia="楷体_GB2312" w:hint="eastAsia"/>
          <w:color w:val="auto"/>
        </w:rPr>
        <w:t>地方政府</w:t>
      </w:r>
      <w:r w:rsidR="00FD7DF9">
        <w:rPr>
          <w:rFonts w:eastAsia="楷体_GB2312" w:hint="eastAsia"/>
          <w:color w:val="auto"/>
        </w:rPr>
        <w:t>财政压力、高</w:t>
      </w:r>
      <w:r w:rsidR="009F7E5B">
        <w:rPr>
          <w:rFonts w:eastAsia="楷体_GB2312" w:hint="eastAsia"/>
          <w:color w:val="auto"/>
        </w:rPr>
        <w:t>资金成本</w:t>
      </w:r>
      <w:r w:rsidR="00FD7DF9">
        <w:rPr>
          <w:rFonts w:eastAsia="楷体_GB2312" w:hint="eastAsia"/>
          <w:color w:val="auto"/>
        </w:rPr>
        <w:t>压力</w:t>
      </w:r>
      <w:r w:rsidR="009F7E5B">
        <w:rPr>
          <w:rFonts w:eastAsia="楷体_GB2312" w:hint="eastAsia"/>
          <w:color w:val="auto"/>
        </w:rPr>
        <w:t>、资金供给压力等综合作用</w:t>
      </w:r>
      <w:r w:rsidR="00DC4043">
        <w:rPr>
          <w:rFonts w:eastAsia="楷体_GB2312" w:hint="eastAsia"/>
          <w:color w:val="auto"/>
        </w:rPr>
        <w:t>，基建投资和房地产投资</w:t>
      </w:r>
      <w:r w:rsidR="00E00E65">
        <w:rPr>
          <w:rFonts w:eastAsia="楷体_GB2312" w:hint="eastAsia"/>
          <w:color w:val="auto"/>
        </w:rPr>
        <w:t>（新开工面积下滑也印证这一判断）</w:t>
      </w:r>
      <w:r w:rsidR="00DC4043">
        <w:rPr>
          <w:rFonts w:eastAsia="楷体_GB2312" w:hint="eastAsia"/>
          <w:color w:val="auto"/>
        </w:rPr>
        <w:t>预计将小幅下滑，</w:t>
      </w:r>
      <w:r w:rsidR="00D62816">
        <w:rPr>
          <w:rFonts w:eastAsia="楷体_GB2312" w:hint="eastAsia"/>
          <w:color w:val="auto"/>
        </w:rPr>
        <w:t>制造业则在产能过剩和资金成本压力下预计低位徘徊</w:t>
      </w:r>
      <w:r w:rsidR="00D6607E">
        <w:rPr>
          <w:rFonts w:eastAsia="楷体_GB2312" w:hint="eastAsia"/>
          <w:color w:val="auto"/>
        </w:rPr>
        <w:t>；另外，尽管政府</w:t>
      </w:r>
      <w:r w:rsidR="00D6607E" w:rsidRPr="009251F6">
        <w:rPr>
          <w:rFonts w:eastAsia="楷体_GB2312" w:hint="eastAsia"/>
          <w:color w:val="auto"/>
        </w:rPr>
        <w:t>鼓励民间投资</w:t>
      </w:r>
      <w:r w:rsidR="00D6607E">
        <w:rPr>
          <w:rFonts w:eastAsia="楷体_GB2312" w:hint="eastAsia"/>
          <w:color w:val="auto"/>
        </w:rPr>
        <w:t>，并将一些垄断领域向民间投资开放，但真正激活民间投资尚需时日。</w:t>
      </w:r>
      <w:r w:rsidR="001C618D">
        <w:rPr>
          <w:rFonts w:eastAsia="楷体_GB2312" w:hint="eastAsia"/>
          <w:color w:val="auto"/>
        </w:rPr>
        <w:t>相较而言，受益改革推动，</w:t>
      </w:r>
      <w:r w:rsidR="00800430">
        <w:rPr>
          <w:rFonts w:eastAsia="楷体_GB2312" w:hint="eastAsia"/>
          <w:color w:val="auto"/>
        </w:rPr>
        <w:t>基建投资中的</w:t>
      </w:r>
      <w:r w:rsidR="00800430" w:rsidRPr="00800430">
        <w:rPr>
          <w:rFonts w:eastAsia="楷体_GB2312" w:hint="eastAsia"/>
          <w:color w:val="auto"/>
        </w:rPr>
        <w:t>棚户区改造、中西部地区铁路建设、市政基础设施</w:t>
      </w:r>
      <w:r w:rsidR="00800430">
        <w:rPr>
          <w:rFonts w:eastAsia="楷体_GB2312" w:hint="eastAsia"/>
          <w:color w:val="auto"/>
        </w:rPr>
        <w:t>（如城市管网）</w:t>
      </w:r>
      <w:r w:rsidR="00800430" w:rsidRPr="00800430">
        <w:rPr>
          <w:rFonts w:eastAsia="楷体_GB2312" w:hint="eastAsia"/>
          <w:color w:val="auto"/>
        </w:rPr>
        <w:t>和地铁公共交通建设</w:t>
      </w:r>
      <w:r w:rsidR="00800430">
        <w:rPr>
          <w:rFonts w:eastAsia="楷体_GB2312" w:hint="eastAsia"/>
          <w:color w:val="auto"/>
        </w:rPr>
        <w:t>等以及服务业投资</w:t>
      </w:r>
      <w:r w:rsidR="007E0CC2">
        <w:rPr>
          <w:rFonts w:eastAsia="楷体_GB2312" w:hint="eastAsia"/>
          <w:color w:val="auto"/>
        </w:rPr>
        <w:t>等增长有望加快或保持。</w:t>
      </w:r>
    </w:p>
    <w:p w:rsidR="00682F62" w:rsidRDefault="007E4627" w:rsidP="00D51365">
      <w:pPr>
        <w:pStyle w:val="ab"/>
        <w:numPr>
          <w:ilvl w:val="5"/>
          <w:numId w:val="2"/>
        </w:numPr>
        <w:spacing w:after="163"/>
        <w:ind w:left="4140" w:hanging="369"/>
        <w:rPr>
          <w:rFonts w:eastAsia="楷体_GB2312"/>
          <w:color w:val="auto"/>
        </w:rPr>
      </w:pPr>
      <w:r>
        <w:rPr>
          <w:rFonts w:eastAsia="楷体_GB2312" w:hint="eastAsia"/>
          <w:color w:val="auto"/>
        </w:rPr>
        <w:t>低基数及</w:t>
      </w:r>
      <w:r w:rsidR="004D0ACC" w:rsidRPr="00194C36">
        <w:rPr>
          <w:rFonts w:eastAsia="楷体_GB2312" w:hint="eastAsia"/>
          <w:color w:val="auto"/>
        </w:rPr>
        <w:t>消费</w:t>
      </w:r>
      <w:r w:rsidR="00687DEE" w:rsidRPr="00194C36">
        <w:rPr>
          <w:rFonts w:eastAsia="楷体_GB2312" w:hint="eastAsia"/>
          <w:color w:val="auto"/>
        </w:rPr>
        <w:t>升级促进消费</w:t>
      </w:r>
      <w:r w:rsidR="00F440F8" w:rsidRPr="00194C36">
        <w:rPr>
          <w:rFonts w:eastAsia="楷体_GB2312" w:hint="eastAsia"/>
          <w:color w:val="auto"/>
        </w:rPr>
        <w:t>稳中有升。</w:t>
      </w:r>
      <w:r w:rsidR="00194C36" w:rsidRPr="006E7BCD">
        <w:rPr>
          <w:rFonts w:eastAsia="楷体_GB2312" w:hint="eastAsia"/>
          <w:color w:val="auto"/>
        </w:rPr>
        <w:t>2013</w:t>
      </w:r>
      <w:r w:rsidR="00194C36" w:rsidRPr="006E7BCD">
        <w:rPr>
          <w:rFonts w:eastAsia="楷体_GB2312" w:hint="eastAsia"/>
          <w:color w:val="auto"/>
        </w:rPr>
        <w:t>年</w:t>
      </w:r>
      <w:r w:rsidR="00194C36" w:rsidRPr="006E7BCD">
        <w:rPr>
          <w:rFonts w:eastAsia="楷体_GB2312" w:hint="eastAsia"/>
          <w:color w:val="auto"/>
        </w:rPr>
        <w:t>1</w:t>
      </w:r>
      <w:r w:rsidR="00194C36" w:rsidRPr="006E7BCD">
        <w:rPr>
          <w:rFonts w:eastAsia="楷体_GB2312" w:hint="eastAsia"/>
          <w:color w:val="auto"/>
        </w:rPr>
        <w:t>到</w:t>
      </w:r>
      <w:r w:rsidR="00194C36" w:rsidRPr="006E7BCD">
        <w:rPr>
          <w:rFonts w:eastAsia="楷体_GB2312" w:hint="eastAsia"/>
          <w:color w:val="auto"/>
        </w:rPr>
        <w:t>11</w:t>
      </w:r>
      <w:r w:rsidR="00194C36" w:rsidRPr="006E7BCD">
        <w:rPr>
          <w:rFonts w:eastAsia="楷体_GB2312" w:hint="eastAsia"/>
          <w:color w:val="auto"/>
        </w:rPr>
        <w:t>月，</w:t>
      </w:r>
      <w:r w:rsidR="00194C36" w:rsidRPr="00194C36">
        <w:rPr>
          <w:rFonts w:eastAsia="楷体_GB2312" w:hint="eastAsia"/>
          <w:color w:val="auto"/>
        </w:rPr>
        <w:t>社会消费品零售总额</w:t>
      </w:r>
      <w:r w:rsidR="00194C36" w:rsidRPr="00194C36">
        <w:rPr>
          <w:rFonts w:eastAsia="楷体_GB2312" w:hint="eastAsia"/>
          <w:color w:val="auto"/>
        </w:rPr>
        <w:t xml:space="preserve">211320 </w:t>
      </w:r>
      <w:r w:rsidR="00194C36" w:rsidRPr="00194C36">
        <w:rPr>
          <w:rFonts w:eastAsia="楷体_GB2312" w:hint="eastAsia"/>
          <w:color w:val="auto"/>
        </w:rPr>
        <w:t>亿元，同比增长</w:t>
      </w:r>
      <w:r w:rsidR="00194C36" w:rsidRPr="00194C36">
        <w:rPr>
          <w:rFonts w:eastAsia="楷体_GB2312" w:hint="eastAsia"/>
          <w:color w:val="auto"/>
        </w:rPr>
        <w:t>13.0%</w:t>
      </w:r>
      <w:r w:rsidR="00E42CDF">
        <w:rPr>
          <w:rFonts w:eastAsia="楷体_GB2312" w:hint="eastAsia"/>
          <w:color w:val="auto"/>
        </w:rPr>
        <w:t>，尽管同比略有回落，但下半年来持续增长趋势良好</w:t>
      </w:r>
      <w:r>
        <w:rPr>
          <w:rFonts w:eastAsia="楷体_GB2312" w:hint="eastAsia"/>
          <w:color w:val="auto"/>
        </w:rPr>
        <w:t>，且在必需消费增长</w:t>
      </w:r>
      <w:r w:rsidRPr="007E4627">
        <w:rPr>
          <w:rFonts w:eastAsia="楷体_GB2312" w:hint="eastAsia"/>
          <w:color w:val="auto"/>
        </w:rPr>
        <w:t>稳定</w:t>
      </w:r>
      <w:r>
        <w:rPr>
          <w:rFonts w:eastAsia="楷体_GB2312" w:hint="eastAsia"/>
          <w:color w:val="auto"/>
        </w:rPr>
        <w:t>的同时，可选消费</w:t>
      </w:r>
      <w:r w:rsidRPr="007E4627">
        <w:rPr>
          <w:rFonts w:eastAsia="楷体_GB2312" w:hint="eastAsia"/>
          <w:color w:val="auto"/>
        </w:rPr>
        <w:t>增长加速</w:t>
      </w:r>
      <w:r w:rsidR="00E42CDF">
        <w:rPr>
          <w:rFonts w:eastAsia="楷体_GB2312" w:hint="eastAsia"/>
          <w:color w:val="auto"/>
        </w:rPr>
        <w:t>。</w:t>
      </w:r>
      <w:r w:rsidR="004F0833">
        <w:rPr>
          <w:rFonts w:eastAsia="楷体_GB2312" w:hint="eastAsia"/>
          <w:color w:val="auto"/>
        </w:rPr>
        <w:t>其中，</w:t>
      </w:r>
      <w:r w:rsidR="00E42CDF">
        <w:rPr>
          <w:rFonts w:eastAsia="楷体_GB2312" w:hint="eastAsia"/>
          <w:color w:val="auto"/>
        </w:rPr>
        <w:t>限制三公消费以及上半年</w:t>
      </w:r>
      <w:r w:rsidR="00152298">
        <w:rPr>
          <w:rFonts w:eastAsia="楷体_GB2312" w:hint="eastAsia"/>
          <w:color w:val="auto"/>
        </w:rPr>
        <w:t>收入增速下降</w:t>
      </w:r>
      <w:r w:rsidR="004F0833">
        <w:rPr>
          <w:rFonts w:eastAsia="楷体_GB2312" w:hint="eastAsia"/>
          <w:color w:val="auto"/>
        </w:rPr>
        <w:t>，</w:t>
      </w:r>
      <w:r w:rsidR="00152298">
        <w:rPr>
          <w:rFonts w:eastAsia="楷体_GB2312" w:hint="eastAsia"/>
          <w:color w:val="auto"/>
        </w:rPr>
        <w:t>是抑制</w:t>
      </w:r>
      <w:r w:rsidR="004F0833">
        <w:rPr>
          <w:rFonts w:eastAsia="楷体_GB2312" w:hint="eastAsia"/>
          <w:color w:val="auto"/>
        </w:rPr>
        <w:t>2013</w:t>
      </w:r>
      <w:r w:rsidR="00152298">
        <w:rPr>
          <w:rFonts w:eastAsia="楷体_GB2312" w:hint="eastAsia"/>
          <w:color w:val="auto"/>
        </w:rPr>
        <w:t>年消费增长的主要因素。不过</w:t>
      </w:r>
      <w:r>
        <w:rPr>
          <w:rFonts w:eastAsia="楷体_GB2312" w:hint="eastAsia"/>
          <w:color w:val="auto"/>
        </w:rPr>
        <w:t>，</w:t>
      </w:r>
      <w:r>
        <w:rPr>
          <w:rFonts w:eastAsia="楷体_GB2312" w:hint="eastAsia"/>
          <w:color w:val="auto"/>
        </w:rPr>
        <w:t>2013</w:t>
      </w:r>
      <w:r w:rsidR="00152298">
        <w:rPr>
          <w:rFonts w:eastAsia="楷体_GB2312" w:hint="eastAsia"/>
          <w:color w:val="auto"/>
        </w:rPr>
        <w:t>年</w:t>
      </w:r>
      <w:r>
        <w:rPr>
          <w:rFonts w:eastAsia="楷体_GB2312" w:hint="eastAsia"/>
          <w:color w:val="auto"/>
        </w:rPr>
        <w:t>相对</w:t>
      </w:r>
      <w:r w:rsidR="00152298">
        <w:rPr>
          <w:rFonts w:eastAsia="楷体_GB2312" w:hint="eastAsia"/>
          <w:color w:val="auto"/>
        </w:rPr>
        <w:t>较低的基数为</w:t>
      </w:r>
      <w:r w:rsidR="00152298">
        <w:rPr>
          <w:rFonts w:eastAsia="楷体_GB2312" w:hint="eastAsia"/>
          <w:color w:val="auto"/>
        </w:rPr>
        <w:t>2014</w:t>
      </w:r>
      <w:r w:rsidR="00152298">
        <w:rPr>
          <w:rFonts w:eastAsia="楷体_GB2312" w:hint="eastAsia"/>
          <w:color w:val="auto"/>
        </w:rPr>
        <w:t>年消费增速的提升留下了空间，</w:t>
      </w:r>
      <w:r>
        <w:rPr>
          <w:rFonts w:eastAsia="楷体_GB2312" w:hint="eastAsia"/>
          <w:color w:val="auto"/>
        </w:rPr>
        <w:t>同时</w:t>
      </w:r>
      <w:r w:rsidR="005B5A41">
        <w:rPr>
          <w:rFonts w:eastAsia="楷体_GB2312" w:hint="eastAsia"/>
          <w:color w:val="auto"/>
        </w:rPr>
        <w:t>国内外</w:t>
      </w:r>
      <w:r>
        <w:rPr>
          <w:rFonts w:eastAsia="楷体_GB2312" w:hint="eastAsia"/>
          <w:color w:val="auto"/>
        </w:rPr>
        <w:t>经济形势企稳</w:t>
      </w:r>
      <w:r w:rsidR="00407BE7">
        <w:rPr>
          <w:rFonts w:eastAsia="楷体_GB2312" w:hint="eastAsia"/>
          <w:color w:val="auto"/>
        </w:rPr>
        <w:t>及收入增速提升</w:t>
      </w:r>
      <w:r w:rsidR="004A72AB">
        <w:rPr>
          <w:rFonts w:eastAsia="楷体_GB2312" w:hint="eastAsia"/>
          <w:color w:val="auto"/>
        </w:rPr>
        <w:t>下消费升级</w:t>
      </w:r>
      <w:r w:rsidR="00220DD2">
        <w:rPr>
          <w:rFonts w:eastAsia="楷体_GB2312" w:hint="eastAsia"/>
          <w:color w:val="auto"/>
        </w:rPr>
        <w:t>（如文化娱乐、医疗保健、居住出行</w:t>
      </w:r>
      <w:r w:rsidR="00F62E79">
        <w:rPr>
          <w:rFonts w:eastAsia="楷体_GB2312" w:hint="eastAsia"/>
          <w:color w:val="auto"/>
        </w:rPr>
        <w:t>等</w:t>
      </w:r>
      <w:r w:rsidR="00220DD2">
        <w:rPr>
          <w:rFonts w:eastAsia="楷体_GB2312" w:hint="eastAsia"/>
          <w:color w:val="auto"/>
        </w:rPr>
        <w:t>）</w:t>
      </w:r>
      <w:r w:rsidR="00197D45">
        <w:rPr>
          <w:rFonts w:eastAsia="楷体_GB2312" w:hint="eastAsia"/>
          <w:color w:val="auto"/>
        </w:rPr>
        <w:t>，将共同促进新一年消费增速</w:t>
      </w:r>
      <w:r w:rsidR="004F060E">
        <w:rPr>
          <w:rFonts w:eastAsia="楷体_GB2312" w:hint="eastAsia"/>
          <w:color w:val="auto"/>
        </w:rPr>
        <w:t>的</w:t>
      </w:r>
      <w:r w:rsidR="00197D45">
        <w:rPr>
          <w:rFonts w:eastAsia="楷体_GB2312" w:hint="eastAsia"/>
          <w:color w:val="auto"/>
        </w:rPr>
        <w:t>稳中有升。</w:t>
      </w:r>
    </w:p>
    <w:tbl>
      <w:tblPr>
        <w:tblW w:w="10771" w:type="dxa"/>
        <w:tblLayout w:type="fixed"/>
        <w:tblCellMar>
          <w:left w:w="0" w:type="dxa"/>
          <w:right w:w="0" w:type="dxa"/>
        </w:tblCellMar>
        <w:tblLook w:val="0000"/>
      </w:tblPr>
      <w:tblGrid>
        <w:gridCol w:w="5272"/>
        <w:gridCol w:w="227"/>
        <w:gridCol w:w="5272"/>
      </w:tblGrid>
      <w:tr w:rsidR="00A73EB5" w:rsidRPr="00837084" w:rsidTr="007117DB">
        <w:trPr>
          <w:cantSplit/>
          <w:trHeight w:val="368"/>
        </w:trPr>
        <w:tc>
          <w:tcPr>
            <w:tcW w:w="5272" w:type="dxa"/>
            <w:tcBorders>
              <w:top w:val="single" w:sz="6" w:space="0" w:color="FF6600"/>
              <w:bottom w:val="single" w:sz="6" w:space="0" w:color="FF6600"/>
            </w:tcBorders>
            <w:shd w:val="clear" w:color="auto" w:fill="auto"/>
            <w:vAlign w:val="center"/>
          </w:tcPr>
          <w:p w:rsidR="00A73EB5" w:rsidRDefault="00A73EB5" w:rsidP="005C3A2E">
            <w:pPr>
              <w:pStyle w:val="SubTitleLargeTable"/>
              <w:pBdr>
                <w:top w:val="none" w:sz="0" w:space="0" w:color="auto"/>
              </w:pBdr>
            </w:pPr>
            <w:r w:rsidRPr="001609A2">
              <w:rPr>
                <w:rFonts w:eastAsia="楷体_GB2312"/>
                <w:color w:val="FF6600"/>
              </w:rPr>
              <w:t>图表</w:t>
            </w:r>
            <w:r w:rsidR="005C3A2E">
              <w:rPr>
                <w:rFonts w:eastAsia="楷体_GB2312" w:hint="eastAsia"/>
                <w:color w:val="FF6600"/>
              </w:rPr>
              <w:t>3</w:t>
            </w:r>
            <w:r w:rsidRPr="001609A2">
              <w:rPr>
                <w:rFonts w:eastAsia="楷体_GB2312" w:hint="eastAsia"/>
                <w:color w:val="FF6600"/>
              </w:rPr>
              <w:t>：</w:t>
            </w:r>
            <w:r w:rsidR="0000422A">
              <w:rPr>
                <w:rFonts w:eastAsia="楷体_GB2312" w:hint="eastAsia"/>
                <w:color w:val="FF6600"/>
              </w:rPr>
              <w:t>中国进出口同比增长情况</w:t>
            </w:r>
          </w:p>
        </w:tc>
        <w:tc>
          <w:tcPr>
            <w:tcW w:w="227" w:type="dxa"/>
            <w:vAlign w:val="center"/>
          </w:tcPr>
          <w:p w:rsidR="00A73EB5" w:rsidRPr="00837084" w:rsidRDefault="00A73EB5" w:rsidP="007117DB">
            <w:pPr>
              <w:jc w:val="center"/>
            </w:pPr>
          </w:p>
        </w:tc>
        <w:tc>
          <w:tcPr>
            <w:tcW w:w="5272" w:type="dxa"/>
            <w:tcBorders>
              <w:top w:val="single" w:sz="6" w:space="0" w:color="FF6600"/>
              <w:bottom w:val="single" w:sz="6" w:space="0" w:color="FF6600"/>
            </w:tcBorders>
            <w:shd w:val="clear" w:color="auto" w:fill="auto"/>
            <w:vAlign w:val="center"/>
          </w:tcPr>
          <w:p w:rsidR="00A73EB5" w:rsidRPr="00F12D44" w:rsidRDefault="00A73EB5" w:rsidP="005C3A2E">
            <w:pPr>
              <w:pStyle w:val="SubTitleLargeTable"/>
              <w:pBdr>
                <w:top w:val="none" w:sz="0" w:space="0" w:color="auto"/>
              </w:pBdr>
            </w:pPr>
            <w:r w:rsidRPr="001609A2">
              <w:rPr>
                <w:rFonts w:eastAsia="楷体_GB2312"/>
                <w:color w:val="FF6600"/>
              </w:rPr>
              <w:t>图表</w:t>
            </w:r>
            <w:r w:rsidR="005C3A2E">
              <w:rPr>
                <w:rFonts w:eastAsia="楷体_GB2312" w:hint="eastAsia"/>
                <w:color w:val="FF6600"/>
              </w:rPr>
              <w:t>4</w:t>
            </w:r>
            <w:r w:rsidRPr="001609A2">
              <w:rPr>
                <w:rFonts w:eastAsia="楷体_GB2312" w:hint="eastAsia"/>
                <w:color w:val="FF6600"/>
              </w:rPr>
              <w:t>：</w:t>
            </w:r>
            <w:r w:rsidR="00904A0E">
              <w:rPr>
                <w:rFonts w:eastAsia="楷体_GB2312" w:hint="eastAsia"/>
                <w:color w:val="FF6600"/>
              </w:rPr>
              <w:t>固定资产投资增长情况</w:t>
            </w:r>
            <w:r w:rsidR="003420EF">
              <w:rPr>
                <w:rFonts w:eastAsia="楷体_GB2312" w:hint="eastAsia"/>
                <w:color w:val="FF6600"/>
              </w:rPr>
              <w:t>（累计同比）</w:t>
            </w:r>
          </w:p>
        </w:tc>
      </w:tr>
      <w:tr w:rsidR="00A73EB5" w:rsidRPr="00837084" w:rsidTr="007117DB">
        <w:trPr>
          <w:cantSplit/>
          <w:trHeight w:val="3016"/>
        </w:trPr>
        <w:tc>
          <w:tcPr>
            <w:tcW w:w="5272" w:type="dxa"/>
            <w:tcBorders>
              <w:top w:val="single" w:sz="6" w:space="0" w:color="FF6600"/>
              <w:bottom w:val="single" w:sz="6" w:space="0" w:color="FF6600"/>
            </w:tcBorders>
            <w:shd w:val="clear" w:color="auto" w:fill="auto"/>
            <w:vAlign w:val="center"/>
          </w:tcPr>
          <w:p w:rsidR="00A73EB5" w:rsidRDefault="0000422A" w:rsidP="007117DB">
            <w:pPr>
              <w:jc w:val="center"/>
            </w:pPr>
            <w:r>
              <w:rPr>
                <w:noProof/>
              </w:rPr>
              <w:drawing>
                <wp:inline distT="0" distB="0" distL="0" distR="0">
                  <wp:extent cx="3276600" cy="1970314"/>
                  <wp:effectExtent l="19050" t="0" r="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272394" cy="1967785"/>
                          </a:xfrm>
                          <a:prstGeom prst="rect">
                            <a:avLst/>
                          </a:prstGeom>
                          <a:noFill/>
                        </pic:spPr>
                      </pic:pic>
                    </a:graphicData>
                  </a:graphic>
                </wp:inline>
              </w:drawing>
            </w:r>
          </w:p>
        </w:tc>
        <w:tc>
          <w:tcPr>
            <w:tcW w:w="227" w:type="dxa"/>
            <w:vAlign w:val="center"/>
          </w:tcPr>
          <w:p w:rsidR="00A73EB5" w:rsidRPr="00837084" w:rsidRDefault="00A73EB5" w:rsidP="007117DB">
            <w:pPr>
              <w:jc w:val="center"/>
            </w:pPr>
          </w:p>
        </w:tc>
        <w:tc>
          <w:tcPr>
            <w:tcW w:w="5272" w:type="dxa"/>
            <w:tcBorders>
              <w:top w:val="single" w:sz="6" w:space="0" w:color="FF6600"/>
              <w:bottom w:val="single" w:sz="6" w:space="0" w:color="FF6600"/>
            </w:tcBorders>
            <w:shd w:val="clear" w:color="auto" w:fill="auto"/>
            <w:vAlign w:val="center"/>
          </w:tcPr>
          <w:p w:rsidR="00A73EB5" w:rsidRPr="00F12D44" w:rsidRDefault="00A34190" w:rsidP="007117DB">
            <w:pPr>
              <w:jc w:val="center"/>
            </w:pPr>
            <w:r>
              <w:rPr>
                <w:noProof/>
              </w:rPr>
              <w:drawing>
                <wp:inline distT="0" distB="0" distL="0" distR="0">
                  <wp:extent cx="3310542" cy="1990725"/>
                  <wp:effectExtent l="19050" t="0" r="4158" b="0"/>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320264" cy="1996571"/>
                          </a:xfrm>
                          <a:prstGeom prst="rect">
                            <a:avLst/>
                          </a:prstGeom>
                          <a:noFill/>
                        </pic:spPr>
                      </pic:pic>
                    </a:graphicData>
                  </a:graphic>
                </wp:inline>
              </w:drawing>
            </w:r>
          </w:p>
        </w:tc>
      </w:tr>
    </w:tbl>
    <w:p w:rsidR="00A73EB5" w:rsidRPr="003F6CBD" w:rsidRDefault="00A73EB5" w:rsidP="00A73EB5">
      <w:pPr>
        <w:pStyle w:val="FootnoteNoline"/>
        <w:ind w:left="0"/>
        <w:rPr>
          <w:color w:val="FF6600"/>
        </w:rPr>
      </w:pPr>
      <w:r w:rsidRPr="001609A2">
        <w:rPr>
          <w:rFonts w:eastAsia="楷体_GB2312" w:hint="eastAsia"/>
          <w:color w:val="FF6600"/>
          <w:lang w:val="en-US"/>
        </w:rPr>
        <w:t>来源：凯石财富工场</w:t>
      </w:r>
      <w:r w:rsidRPr="001609A2">
        <w:rPr>
          <w:rFonts w:eastAsia="楷体_GB2312" w:hint="eastAsia"/>
          <w:color w:val="FF6600"/>
          <w:lang w:val="en-US"/>
        </w:rPr>
        <w:t xml:space="preserve"> wind </w:t>
      </w:r>
    </w:p>
    <w:tbl>
      <w:tblPr>
        <w:tblW w:w="10771" w:type="dxa"/>
        <w:tblLayout w:type="fixed"/>
        <w:tblCellMar>
          <w:left w:w="0" w:type="dxa"/>
          <w:right w:w="0" w:type="dxa"/>
        </w:tblCellMar>
        <w:tblLook w:val="0000"/>
      </w:tblPr>
      <w:tblGrid>
        <w:gridCol w:w="5272"/>
        <w:gridCol w:w="227"/>
        <w:gridCol w:w="5272"/>
      </w:tblGrid>
      <w:tr w:rsidR="00A73EB5" w:rsidRPr="00837084" w:rsidTr="007117DB">
        <w:trPr>
          <w:cantSplit/>
          <w:trHeight w:val="368"/>
        </w:trPr>
        <w:tc>
          <w:tcPr>
            <w:tcW w:w="5272" w:type="dxa"/>
            <w:tcBorders>
              <w:top w:val="single" w:sz="6" w:space="0" w:color="FF6600"/>
              <w:bottom w:val="single" w:sz="6" w:space="0" w:color="FF6600"/>
            </w:tcBorders>
            <w:shd w:val="clear" w:color="auto" w:fill="auto"/>
            <w:vAlign w:val="center"/>
          </w:tcPr>
          <w:p w:rsidR="00A73EB5" w:rsidRDefault="00A73EB5" w:rsidP="005C3A2E">
            <w:pPr>
              <w:pStyle w:val="SubTitleLargeTable"/>
              <w:pBdr>
                <w:top w:val="none" w:sz="0" w:space="0" w:color="auto"/>
              </w:pBdr>
            </w:pPr>
            <w:r w:rsidRPr="001609A2">
              <w:rPr>
                <w:rFonts w:eastAsia="楷体_GB2312"/>
                <w:color w:val="FF6600"/>
              </w:rPr>
              <w:t>图表</w:t>
            </w:r>
            <w:r w:rsidR="005C3A2E">
              <w:rPr>
                <w:rFonts w:eastAsia="楷体_GB2312" w:hint="eastAsia"/>
                <w:color w:val="FF6600"/>
              </w:rPr>
              <w:t>5</w:t>
            </w:r>
            <w:r w:rsidRPr="001609A2">
              <w:rPr>
                <w:rFonts w:eastAsia="楷体_GB2312" w:hint="eastAsia"/>
                <w:color w:val="FF6600"/>
              </w:rPr>
              <w:t>：</w:t>
            </w:r>
            <w:r w:rsidR="005B5BDD" w:rsidRPr="005B5BDD">
              <w:rPr>
                <w:rFonts w:eastAsia="楷体_GB2312" w:hint="eastAsia"/>
                <w:color w:val="FF6600"/>
              </w:rPr>
              <w:t>社会消费品零售总额</w:t>
            </w:r>
            <w:r w:rsidR="005B5BDD">
              <w:rPr>
                <w:rFonts w:eastAsia="楷体_GB2312" w:hint="eastAsia"/>
                <w:color w:val="FF6600"/>
              </w:rPr>
              <w:t>增长情况</w:t>
            </w:r>
          </w:p>
        </w:tc>
        <w:tc>
          <w:tcPr>
            <w:tcW w:w="227" w:type="dxa"/>
            <w:vAlign w:val="center"/>
          </w:tcPr>
          <w:p w:rsidR="00A73EB5" w:rsidRPr="00837084" w:rsidRDefault="00A73EB5" w:rsidP="007117DB">
            <w:pPr>
              <w:jc w:val="center"/>
            </w:pPr>
          </w:p>
        </w:tc>
        <w:tc>
          <w:tcPr>
            <w:tcW w:w="5272" w:type="dxa"/>
            <w:tcBorders>
              <w:top w:val="single" w:sz="6" w:space="0" w:color="FF6600"/>
              <w:bottom w:val="single" w:sz="6" w:space="0" w:color="FF6600"/>
            </w:tcBorders>
            <w:shd w:val="clear" w:color="auto" w:fill="auto"/>
            <w:vAlign w:val="center"/>
          </w:tcPr>
          <w:p w:rsidR="00A73EB5" w:rsidRPr="00F12D44" w:rsidRDefault="00A73EB5" w:rsidP="005C3A2E">
            <w:pPr>
              <w:pStyle w:val="SubTitleLargeTable"/>
              <w:pBdr>
                <w:top w:val="none" w:sz="0" w:space="0" w:color="auto"/>
              </w:pBdr>
            </w:pPr>
            <w:r w:rsidRPr="001609A2">
              <w:rPr>
                <w:rFonts w:eastAsia="楷体_GB2312"/>
                <w:color w:val="FF6600"/>
              </w:rPr>
              <w:t>图表</w:t>
            </w:r>
            <w:r w:rsidR="005C3A2E">
              <w:rPr>
                <w:rFonts w:eastAsia="楷体_GB2312" w:hint="eastAsia"/>
                <w:color w:val="FF6600"/>
              </w:rPr>
              <w:t>6</w:t>
            </w:r>
            <w:r w:rsidRPr="001609A2">
              <w:rPr>
                <w:rFonts w:eastAsia="楷体_GB2312" w:hint="eastAsia"/>
                <w:color w:val="FF6600"/>
              </w:rPr>
              <w:t>：</w:t>
            </w:r>
            <w:r w:rsidR="005B5BDD">
              <w:rPr>
                <w:rFonts w:eastAsia="楷体_GB2312" w:hint="eastAsia"/>
                <w:color w:val="FF6600"/>
              </w:rPr>
              <w:t>GDP</w:t>
            </w:r>
            <w:r w:rsidR="005B5BDD">
              <w:rPr>
                <w:rFonts w:eastAsia="楷体_GB2312" w:hint="eastAsia"/>
                <w:color w:val="FF6600"/>
              </w:rPr>
              <w:t>增长情况</w:t>
            </w:r>
          </w:p>
        </w:tc>
      </w:tr>
      <w:tr w:rsidR="00A73EB5" w:rsidRPr="00837084" w:rsidTr="007117DB">
        <w:trPr>
          <w:cantSplit/>
          <w:trHeight w:val="3016"/>
        </w:trPr>
        <w:tc>
          <w:tcPr>
            <w:tcW w:w="5272" w:type="dxa"/>
            <w:tcBorders>
              <w:top w:val="single" w:sz="6" w:space="0" w:color="FF6600"/>
              <w:bottom w:val="single" w:sz="6" w:space="0" w:color="FF6600"/>
            </w:tcBorders>
            <w:shd w:val="clear" w:color="auto" w:fill="auto"/>
            <w:vAlign w:val="center"/>
          </w:tcPr>
          <w:p w:rsidR="00A73EB5" w:rsidRDefault="005B5BDD" w:rsidP="007117DB">
            <w:pPr>
              <w:jc w:val="center"/>
            </w:pPr>
            <w:r>
              <w:rPr>
                <w:noProof/>
              </w:rPr>
              <w:drawing>
                <wp:inline distT="0" distB="0" distL="0" distR="0">
                  <wp:extent cx="3343275" cy="1600200"/>
                  <wp:effectExtent l="19050" t="0" r="9525"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srcRect/>
                          <a:stretch>
                            <a:fillRect/>
                          </a:stretch>
                        </pic:blipFill>
                        <pic:spPr bwMode="auto">
                          <a:xfrm>
                            <a:off x="0" y="0"/>
                            <a:ext cx="3343275" cy="1600200"/>
                          </a:xfrm>
                          <a:prstGeom prst="rect">
                            <a:avLst/>
                          </a:prstGeom>
                          <a:noFill/>
                          <a:ln w="9525">
                            <a:noFill/>
                            <a:miter lim="800000"/>
                            <a:headEnd/>
                            <a:tailEnd/>
                          </a:ln>
                        </pic:spPr>
                      </pic:pic>
                    </a:graphicData>
                  </a:graphic>
                </wp:inline>
              </w:drawing>
            </w:r>
          </w:p>
        </w:tc>
        <w:tc>
          <w:tcPr>
            <w:tcW w:w="227" w:type="dxa"/>
            <w:vAlign w:val="center"/>
          </w:tcPr>
          <w:p w:rsidR="00A73EB5" w:rsidRPr="00837084" w:rsidRDefault="00A73EB5" w:rsidP="007117DB">
            <w:pPr>
              <w:jc w:val="center"/>
            </w:pPr>
          </w:p>
        </w:tc>
        <w:tc>
          <w:tcPr>
            <w:tcW w:w="5272" w:type="dxa"/>
            <w:tcBorders>
              <w:top w:val="single" w:sz="6" w:space="0" w:color="FF6600"/>
              <w:bottom w:val="single" w:sz="6" w:space="0" w:color="FF6600"/>
            </w:tcBorders>
            <w:shd w:val="clear" w:color="auto" w:fill="auto"/>
            <w:vAlign w:val="center"/>
          </w:tcPr>
          <w:p w:rsidR="00A73EB5" w:rsidRPr="00F12D44" w:rsidRDefault="005B5BDD" w:rsidP="007117DB">
            <w:pPr>
              <w:jc w:val="center"/>
            </w:pPr>
            <w:r>
              <w:rPr>
                <w:noProof/>
              </w:rPr>
              <w:drawing>
                <wp:inline distT="0" distB="0" distL="0" distR="0">
                  <wp:extent cx="3343275" cy="1685925"/>
                  <wp:effectExtent l="19050" t="0" r="952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srcRect/>
                          <a:stretch>
                            <a:fillRect/>
                          </a:stretch>
                        </pic:blipFill>
                        <pic:spPr bwMode="auto">
                          <a:xfrm>
                            <a:off x="0" y="0"/>
                            <a:ext cx="3343275" cy="1685925"/>
                          </a:xfrm>
                          <a:prstGeom prst="rect">
                            <a:avLst/>
                          </a:prstGeom>
                          <a:noFill/>
                          <a:ln w="9525">
                            <a:noFill/>
                            <a:miter lim="800000"/>
                            <a:headEnd/>
                            <a:tailEnd/>
                          </a:ln>
                        </pic:spPr>
                      </pic:pic>
                    </a:graphicData>
                  </a:graphic>
                </wp:inline>
              </w:drawing>
            </w:r>
          </w:p>
        </w:tc>
      </w:tr>
    </w:tbl>
    <w:p w:rsidR="00A73EB5" w:rsidRPr="003F6CBD" w:rsidRDefault="00A73EB5" w:rsidP="00A73EB5">
      <w:pPr>
        <w:pStyle w:val="FootnoteNoline"/>
        <w:ind w:left="0"/>
        <w:rPr>
          <w:color w:val="FF6600"/>
        </w:rPr>
      </w:pPr>
      <w:r w:rsidRPr="001609A2">
        <w:rPr>
          <w:rFonts w:eastAsia="楷体_GB2312" w:hint="eastAsia"/>
          <w:color w:val="FF6600"/>
          <w:lang w:val="en-US"/>
        </w:rPr>
        <w:t>来源：凯石财富工场</w:t>
      </w:r>
      <w:r w:rsidRPr="001609A2">
        <w:rPr>
          <w:rFonts w:eastAsia="楷体_GB2312" w:hint="eastAsia"/>
          <w:color w:val="FF6600"/>
          <w:lang w:val="en-US"/>
        </w:rPr>
        <w:t xml:space="preserve"> wind </w:t>
      </w:r>
    </w:p>
    <w:p w:rsidR="00112F63" w:rsidRPr="001B4410" w:rsidRDefault="003138D3" w:rsidP="000E2EDF">
      <w:pPr>
        <w:pStyle w:val="ab"/>
        <w:numPr>
          <w:ilvl w:val="4"/>
          <w:numId w:val="1"/>
        </w:numPr>
        <w:spacing w:after="163"/>
        <w:rPr>
          <w:rFonts w:eastAsia="楷体_GB2312"/>
          <w:color w:val="auto"/>
        </w:rPr>
      </w:pPr>
      <w:r w:rsidRPr="001B4410">
        <w:rPr>
          <w:rFonts w:eastAsia="楷体_GB2312" w:hint="eastAsia"/>
          <w:color w:val="auto"/>
        </w:rPr>
        <w:t>物价方面，预计</w:t>
      </w:r>
      <w:r w:rsidRPr="001B4410">
        <w:rPr>
          <w:rFonts w:eastAsia="楷体_GB2312" w:hint="eastAsia"/>
          <w:color w:val="auto"/>
        </w:rPr>
        <w:t>2014</w:t>
      </w:r>
      <w:r w:rsidRPr="001B4410">
        <w:rPr>
          <w:rFonts w:eastAsia="楷体_GB2312" w:hint="eastAsia"/>
          <w:color w:val="auto"/>
        </w:rPr>
        <w:t>年以猪肉为代表的食品价格或将温和上涨</w:t>
      </w:r>
      <w:r w:rsidR="000B214F" w:rsidRPr="001B4410">
        <w:rPr>
          <w:rFonts w:eastAsia="楷体_GB2312" w:hint="eastAsia"/>
          <w:color w:val="auto"/>
        </w:rPr>
        <w:t>（上半年更为显著）</w:t>
      </w:r>
      <w:r w:rsidRPr="001B4410">
        <w:rPr>
          <w:rFonts w:eastAsia="楷体_GB2312" w:hint="eastAsia"/>
          <w:color w:val="auto"/>
        </w:rPr>
        <w:t>，劳动力成本上升、房价上涨亦将对物价起到一定的推动作用，</w:t>
      </w:r>
      <w:r w:rsidR="000B214F" w:rsidRPr="001B4410">
        <w:rPr>
          <w:rFonts w:eastAsia="楷体_GB2312" w:hint="eastAsia"/>
          <w:color w:val="auto"/>
        </w:rPr>
        <w:t>但</w:t>
      </w:r>
      <w:r w:rsidR="00DA3E71" w:rsidRPr="001B4410">
        <w:rPr>
          <w:rFonts w:eastAsia="楷体_GB2312" w:hint="eastAsia"/>
          <w:color w:val="auto"/>
        </w:rPr>
        <w:t>在产能过剩以及需求</w:t>
      </w:r>
      <w:r w:rsidR="000B214F" w:rsidRPr="001B4410">
        <w:rPr>
          <w:rFonts w:eastAsia="楷体_GB2312" w:hint="eastAsia"/>
          <w:color w:val="auto"/>
        </w:rPr>
        <w:t>不足</w:t>
      </w:r>
      <w:r w:rsidR="00DA3E71" w:rsidRPr="001B4410">
        <w:rPr>
          <w:rFonts w:eastAsia="楷体_GB2312" w:hint="eastAsia"/>
          <w:color w:val="auto"/>
        </w:rPr>
        <w:t>的情况下，生产资料价格或将保持稳定</w:t>
      </w:r>
      <w:r w:rsidR="00C91959" w:rsidRPr="001B4410">
        <w:rPr>
          <w:rFonts w:eastAsia="楷体_GB2312" w:hint="eastAsia"/>
          <w:color w:val="auto"/>
        </w:rPr>
        <w:t>。</w:t>
      </w:r>
      <w:r w:rsidR="00BF3296" w:rsidRPr="001B4410">
        <w:rPr>
          <w:rFonts w:eastAsia="楷体_GB2312" w:hint="eastAsia"/>
          <w:color w:val="auto"/>
        </w:rPr>
        <w:t>综合来看</w:t>
      </w:r>
      <w:r w:rsidR="002477E1" w:rsidRPr="001B4410">
        <w:rPr>
          <w:rFonts w:eastAsia="楷体_GB2312" w:hint="eastAsia"/>
          <w:color w:val="auto"/>
        </w:rPr>
        <w:t>，预期全年</w:t>
      </w:r>
      <w:r w:rsidR="002477E1" w:rsidRPr="001B4410">
        <w:rPr>
          <w:rFonts w:eastAsia="楷体_GB2312" w:hint="eastAsia"/>
          <w:color w:val="auto"/>
        </w:rPr>
        <w:t>CPI</w:t>
      </w:r>
      <w:r w:rsidR="002477E1" w:rsidRPr="001B4410">
        <w:rPr>
          <w:rFonts w:eastAsia="楷体_GB2312" w:hint="eastAsia"/>
          <w:color w:val="auto"/>
        </w:rPr>
        <w:t>涨幅在</w:t>
      </w:r>
      <w:r w:rsidR="002477E1" w:rsidRPr="001B4410">
        <w:rPr>
          <w:rFonts w:eastAsia="楷体_GB2312" w:hint="eastAsia"/>
          <w:color w:val="auto"/>
        </w:rPr>
        <w:t>3%</w:t>
      </w:r>
      <w:r w:rsidR="00AF7CF5" w:rsidRPr="001B4410">
        <w:rPr>
          <w:rFonts w:eastAsia="楷体_GB2312" w:hint="eastAsia"/>
          <w:color w:val="auto"/>
        </w:rPr>
        <w:t>~3.2%</w:t>
      </w:r>
      <w:r w:rsidR="00AF7CF5" w:rsidRPr="001B4410">
        <w:rPr>
          <w:rFonts w:eastAsia="楷体_GB2312" w:hint="eastAsia"/>
          <w:color w:val="auto"/>
        </w:rPr>
        <w:t>上下</w:t>
      </w:r>
      <w:r w:rsidR="000B214F" w:rsidRPr="001B4410">
        <w:rPr>
          <w:rFonts w:eastAsia="楷体_GB2312" w:hint="eastAsia"/>
          <w:color w:val="auto"/>
        </w:rPr>
        <w:t>，</w:t>
      </w:r>
      <w:r w:rsidR="00053DA5" w:rsidRPr="001B4410">
        <w:rPr>
          <w:rFonts w:eastAsia="楷体_GB2312" w:hint="eastAsia"/>
          <w:color w:val="auto"/>
        </w:rPr>
        <w:t>通胀比较温和</w:t>
      </w:r>
      <w:r w:rsidR="001D52F4" w:rsidRPr="001B4410">
        <w:rPr>
          <w:rFonts w:eastAsia="楷体_GB2312" w:hint="eastAsia"/>
          <w:color w:val="auto"/>
        </w:rPr>
        <w:t>，其中上半年通胀压力高于下半年</w:t>
      </w:r>
      <w:r w:rsidR="00053DA5" w:rsidRPr="001B4410">
        <w:rPr>
          <w:rFonts w:eastAsia="楷体_GB2312" w:hint="eastAsia"/>
          <w:color w:val="auto"/>
        </w:rPr>
        <w:t>。</w:t>
      </w:r>
      <w:r w:rsidR="001B4410" w:rsidRPr="001B4410">
        <w:rPr>
          <w:rFonts w:eastAsia="楷体_GB2312" w:hint="eastAsia"/>
          <w:color w:val="auto"/>
        </w:rPr>
        <w:t>货币政策方面，</w:t>
      </w:r>
      <w:r w:rsidR="00647355" w:rsidRPr="001B4410">
        <w:rPr>
          <w:rFonts w:eastAsia="楷体_GB2312" w:hint="eastAsia"/>
          <w:color w:val="auto"/>
        </w:rPr>
        <w:t>中央经济工作会议</w:t>
      </w:r>
      <w:r w:rsidR="00720827" w:rsidRPr="001B4410">
        <w:rPr>
          <w:rFonts w:eastAsia="楷体_GB2312" w:hint="eastAsia"/>
          <w:color w:val="auto"/>
        </w:rPr>
        <w:t>明确</w:t>
      </w:r>
      <w:r w:rsidR="00647355" w:rsidRPr="001B4410">
        <w:rPr>
          <w:rFonts w:eastAsia="楷体_GB2312" w:hint="eastAsia"/>
          <w:color w:val="auto"/>
        </w:rPr>
        <w:t>指出，</w:t>
      </w:r>
      <w:r w:rsidR="00720827" w:rsidRPr="001B4410">
        <w:rPr>
          <w:rFonts w:eastAsia="楷体_GB2312" w:hint="eastAsia"/>
          <w:color w:val="auto"/>
        </w:rPr>
        <w:t>2014</w:t>
      </w:r>
      <w:r w:rsidR="00720827" w:rsidRPr="001B4410">
        <w:rPr>
          <w:rFonts w:eastAsia="楷体_GB2312" w:hint="eastAsia"/>
          <w:color w:val="auto"/>
        </w:rPr>
        <w:t>年</w:t>
      </w:r>
      <w:r w:rsidR="00647355" w:rsidRPr="001B4410">
        <w:rPr>
          <w:rFonts w:eastAsia="楷体_GB2312" w:hint="eastAsia"/>
          <w:color w:val="auto"/>
        </w:rPr>
        <w:t>继续实施积极的财政政策和稳健的货币政策</w:t>
      </w:r>
      <w:r w:rsidR="000B6599" w:rsidRPr="001B4410">
        <w:rPr>
          <w:rFonts w:eastAsia="楷体_GB2312" w:hint="eastAsia"/>
          <w:color w:val="auto"/>
        </w:rPr>
        <w:t>。</w:t>
      </w:r>
      <w:r w:rsidR="001D52F4" w:rsidRPr="001B4410">
        <w:rPr>
          <w:rFonts w:eastAsia="楷体_GB2312" w:hint="eastAsia"/>
          <w:color w:val="auto"/>
        </w:rPr>
        <w:t>但同时亦提到</w:t>
      </w:r>
      <w:r w:rsidR="000B6599" w:rsidRPr="001B4410">
        <w:rPr>
          <w:rFonts w:eastAsia="楷体_GB2312" w:hint="eastAsia"/>
          <w:color w:val="auto"/>
        </w:rPr>
        <w:t>，</w:t>
      </w:r>
      <w:r w:rsidR="00647355" w:rsidRPr="001B4410">
        <w:rPr>
          <w:rFonts w:eastAsia="楷体_GB2312" w:hint="eastAsia"/>
          <w:color w:val="auto"/>
        </w:rPr>
        <w:t>增强调控的针对性、</w:t>
      </w:r>
      <w:r w:rsidR="00647355" w:rsidRPr="001B4410">
        <w:rPr>
          <w:rFonts w:eastAsia="楷体_GB2312" w:hint="eastAsia"/>
          <w:color w:val="auto"/>
        </w:rPr>
        <w:lastRenderedPageBreak/>
        <w:t>灵活性、前瞻性，处理好保持经济平稳较快发展、调整经济结构、管理通胀预期的关系</w:t>
      </w:r>
      <w:r w:rsidR="000B6599" w:rsidRPr="001B4410">
        <w:rPr>
          <w:rFonts w:eastAsia="楷体_GB2312" w:hint="eastAsia"/>
          <w:color w:val="auto"/>
        </w:rPr>
        <w:t>。</w:t>
      </w:r>
      <w:r w:rsidR="000C5AA9" w:rsidRPr="001B4410">
        <w:rPr>
          <w:rFonts w:eastAsia="楷体_GB2312" w:hint="eastAsia"/>
          <w:color w:val="auto"/>
        </w:rPr>
        <w:t>而且</w:t>
      </w:r>
      <w:r w:rsidR="000B6599" w:rsidRPr="001B4410">
        <w:rPr>
          <w:rFonts w:eastAsia="楷体_GB2312" w:hint="eastAsia"/>
          <w:color w:val="auto"/>
        </w:rPr>
        <w:t>，金融风险</w:t>
      </w:r>
      <w:r w:rsidR="000C5AA9" w:rsidRPr="001B4410">
        <w:rPr>
          <w:rFonts w:eastAsia="楷体_GB2312" w:hint="eastAsia"/>
          <w:color w:val="auto"/>
        </w:rPr>
        <w:t>将</w:t>
      </w:r>
      <w:r w:rsidR="00802456" w:rsidRPr="001B4410">
        <w:rPr>
          <w:rFonts w:eastAsia="楷体_GB2312" w:hint="eastAsia"/>
          <w:color w:val="auto"/>
        </w:rPr>
        <w:t>继续束缚着央行的手脚</w:t>
      </w:r>
      <w:r w:rsidR="000C5AA9" w:rsidRPr="001B4410">
        <w:rPr>
          <w:rFonts w:eastAsia="楷体_GB2312" w:hint="eastAsia"/>
          <w:color w:val="auto"/>
        </w:rPr>
        <w:t>。因此，预计</w:t>
      </w:r>
      <w:r w:rsidR="000C5AA9" w:rsidRPr="001B4410">
        <w:rPr>
          <w:rFonts w:eastAsia="楷体_GB2312" w:hint="eastAsia"/>
          <w:color w:val="auto"/>
        </w:rPr>
        <w:t>2014</w:t>
      </w:r>
      <w:r w:rsidR="000C5AA9" w:rsidRPr="001B4410">
        <w:rPr>
          <w:rFonts w:eastAsia="楷体_GB2312" w:hint="eastAsia"/>
          <w:color w:val="auto"/>
        </w:rPr>
        <w:t>年整体将继续</w:t>
      </w:r>
      <w:r w:rsidR="0019050E" w:rsidRPr="001B4410">
        <w:rPr>
          <w:rFonts w:eastAsia="楷体_GB2312" w:hint="eastAsia"/>
          <w:color w:val="auto"/>
        </w:rPr>
        <w:t>延续紧平衡的货币政策。</w:t>
      </w:r>
    </w:p>
    <w:tbl>
      <w:tblPr>
        <w:tblW w:w="10771" w:type="dxa"/>
        <w:tblLayout w:type="fixed"/>
        <w:tblCellMar>
          <w:left w:w="0" w:type="dxa"/>
          <w:right w:w="0" w:type="dxa"/>
        </w:tblCellMar>
        <w:tblLook w:val="0000"/>
      </w:tblPr>
      <w:tblGrid>
        <w:gridCol w:w="5272"/>
        <w:gridCol w:w="227"/>
        <w:gridCol w:w="5272"/>
      </w:tblGrid>
      <w:tr w:rsidR="003138D3" w:rsidRPr="00837084" w:rsidTr="00BE3BC4">
        <w:trPr>
          <w:cantSplit/>
          <w:trHeight w:val="368"/>
        </w:trPr>
        <w:tc>
          <w:tcPr>
            <w:tcW w:w="5272" w:type="dxa"/>
            <w:tcBorders>
              <w:top w:val="single" w:sz="6" w:space="0" w:color="FF6600"/>
              <w:bottom w:val="single" w:sz="6" w:space="0" w:color="FF6600"/>
            </w:tcBorders>
            <w:shd w:val="clear" w:color="auto" w:fill="auto"/>
            <w:vAlign w:val="center"/>
          </w:tcPr>
          <w:p w:rsidR="003138D3" w:rsidRDefault="003138D3" w:rsidP="00F200FD">
            <w:pPr>
              <w:pStyle w:val="SubTitleLargeTable"/>
              <w:pBdr>
                <w:top w:val="none" w:sz="0" w:space="0" w:color="auto"/>
              </w:pBdr>
            </w:pPr>
            <w:r w:rsidRPr="001609A2">
              <w:rPr>
                <w:rFonts w:eastAsia="楷体_GB2312"/>
                <w:color w:val="FF6600"/>
              </w:rPr>
              <w:t>图表</w:t>
            </w:r>
            <w:r w:rsidR="00F200FD">
              <w:rPr>
                <w:rFonts w:eastAsia="楷体_GB2312" w:hint="eastAsia"/>
                <w:color w:val="FF6600"/>
              </w:rPr>
              <w:t>7</w:t>
            </w:r>
            <w:r w:rsidRPr="001609A2">
              <w:rPr>
                <w:rFonts w:eastAsia="楷体_GB2312" w:hint="eastAsia"/>
                <w:color w:val="FF6600"/>
              </w:rPr>
              <w:t>：</w:t>
            </w:r>
            <w:r w:rsidR="00F200FD">
              <w:rPr>
                <w:rFonts w:eastAsia="楷体_GB2312" w:hint="eastAsia"/>
                <w:color w:val="FF6600"/>
              </w:rPr>
              <w:t>CPI</w:t>
            </w:r>
            <w:r w:rsidR="00F200FD">
              <w:rPr>
                <w:rFonts w:eastAsia="楷体_GB2312" w:hint="eastAsia"/>
                <w:color w:val="FF6600"/>
              </w:rPr>
              <w:t>与</w:t>
            </w:r>
            <w:r w:rsidR="00F200FD">
              <w:rPr>
                <w:rFonts w:eastAsia="楷体_GB2312" w:hint="eastAsia"/>
                <w:color w:val="FF6600"/>
              </w:rPr>
              <w:t>PPI</w:t>
            </w:r>
            <w:r w:rsidR="00F200FD">
              <w:rPr>
                <w:rFonts w:eastAsia="楷体_GB2312" w:hint="eastAsia"/>
                <w:color w:val="FF6600"/>
              </w:rPr>
              <w:t>走势情况</w:t>
            </w:r>
          </w:p>
        </w:tc>
        <w:tc>
          <w:tcPr>
            <w:tcW w:w="227" w:type="dxa"/>
            <w:vAlign w:val="center"/>
          </w:tcPr>
          <w:p w:rsidR="003138D3" w:rsidRPr="00837084" w:rsidRDefault="003138D3" w:rsidP="00BE3BC4">
            <w:pPr>
              <w:jc w:val="center"/>
            </w:pPr>
          </w:p>
        </w:tc>
        <w:tc>
          <w:tcPr>
            <w:tcW w:w="5272" w:type="dxa"/>
            <w:tcBorders>
              <w:top w:val="single" w:sz="6" w:space="0" w:color="FF6600"/>
              <w:bottom w:val="single" w:sz="6" w:space="0" w:color="FF6600"/>
            </w:tcBorders>
            <w:shd w:val="clear" w:color="auto" w:fill="auto"/>
            <w:vAlign w:val="center"/>
          </w:tcPr>
          <w:p w:rsidR="003138D3" w:rsidRPr="00F12D44" w:rsidRDefault="003138D3" w:rsidP="00F200FD">
            <w:pPr>
              <w:pStyle w:val="SubTitleLargeTable"/>
              <w:pBdr>
                <w:top w:val="none" w:sz="0" w:space="0" w:color="auto"/>
              </w:pBdr>
            </w:pPr>
            <w:r w:rsidRPr="001609A2">
              <w:rPr>
                <w:rFonts w:eastAsia="楷体_GB2312"/>
                <w:color w:val="FF6600"/>
              </w:rPr>
              <w:t>图表</w:t>
            </w:r>
            <w:r w:rsidR="00F200FD">
              <w:rPr>
                <w:rFonts w:eastAsia="楷体_GB2312" w:hint="eastAsia"/>
                <w:color w:val="FF6600"/>
              </w:rPr>
              <w:t>8</w:t>
            </w:r>
            <w:r w:rsidRPr="001609A2">
              <w:rPr>
                <w:rFonts w:eastAsia="楷体_GB2312" w:hint="eastAsia"/>
                <w:color w:val="FF6600"/>
              </w:rPr>
              <w:t>：</w:t>
            </w:r>
            <w:r w:rsidR="00F200FD">
              <w:rPr>
                <w:rFonts w:eastAsia="楷体_GB2312" w:hint="eastAsia"/>
                <w:color w:val="FF6600"/>
              </w:rPr>
              <w:t>广义货币供应量变化情况</w:t>
            </w:r>
          </w:p>
        </w:tc>
      </w:tr>
      <w:tr w:rsidR="003138D3" w:rsidRPr="00837084" w:rsidTr="00BE3BC4">
        <w:trPr>
          <w:cantSplit/>
          <w:trHeight w:val="3016"/>
        </w:trPr>
        <w:tc>
          <w:tcPr>
            <w:tcW w:w="5272" w:type="dxa"/>
            <w:tcBorders>
              <w:top w:val="single" w:sz="6" w:space="0" w:color="FF6600"/>
              <w:bottom w:val="single" w:sz="6" w:space="0" w:color="FF6600"/>
            </w:tcBorders>
            <w:shd w:val="clear" w:color="auto" w:fill="auto"/>
            <w:vAlign w:val="center"/>
          </w:tcPr>
          <w:p w:rsidR="003138D3" w:rsidRDefault="008C1208" w:rsidP="00BE3BC4">
            <w:pPr>
              <w:jc w:val="center"/>
            </w:pPr>
            <w:r>
              <w:rPr>
                <w:noProof/>
              </w:rPr>
              <w:drawing>
                <wp:inline distT="0" distB="0" distL="0" distR="0">
                  <wp:extent cx="3343275" cy="1781175"/>
                  <wp:effectExtent l="1905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3343275" cy="1781175"/>
                          </a:xfrm>
                          <a:prstGeom prst="rect">
                            <a:avLst/>
                          </a:prstGeom>
                          <a:noFill/>
                          <a:ln w="9525">
                            <a:noFill/>
                            <a:miter lim="800000"/>
                            <a:headEnd/>
                            <a:tailEnd/>
                          </a:ln>
                        </pic:spPr>
                      </pic:pic>
                    </a:graphicData>
                  </a:graphic>
                </wp:inline>
              </w:drawing>
            </w:r>
          </w:p>
        </w:tc>
        <w:tc>
          <w:tcPr>
            <w:tcW w:w="227" w:type="dxa"/>
            <w:vAlign w:val="center"/>
          </w:tcPr>
          <w:p w:rsidR="003138D3" w:rsidRPr="00837084" w:rsidRDefault="003138D3" w:rsidP="00BE3BC4">
            <w:pPr>
              <w:jc w:val="center"/>
            </w:pPr>
          </w:p>
        </w:tc>
        <w:tc>
          <w:tcPr>
            <w:tcW w:w="5272" w:type="dxa"/>
            <w:tcBorders>
              <w:top w:val="single" w:sz="6" w:space="0" w:color="FF6600"/>
              <w:bottom w:val="single" w:sz="6" w:space="0" w:color="FF6600"/>
            </w:tcBorders>
            <w:shd w:val="clear" w:color="auto" w:fill="auto"/>
            <w:vAlign w:val="center"/>
          </w:tcPr>
          <w:p w:rsidR="003138D3" w:rsidRPr="00F12D44" w:rsidRDefault="008C1208" w:rsidP="00BE3BC4">
            <w:pPr>
              <w:jc w:val="center"/>
            </w:pPr>
            <w:r>
              <w:rPr>
                <w:noProof/>
              </w:rPr>
              <w:drawing>
                <wp:inline distT="0" distB="0" distL="0" distR="0">
                  <wp:extent cx="3343275" cy="1790700"/>
                  <wp:effectExtent l="1905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3343275" cy="1790700"/>
                          </a:xfrm>
                          <a:prstGeom prst="rect">
                            <a:avLst/>
                          </a:prstGeom>
                          <a:noFill/>
                          <a:ln w="9525">
                            <a:noFill/>
                            <a:miter lim="800000"/>
                            <a:headEnd/>
                            <a:tailEnd/>
                          </a:ln>
                        </pic:spPr>
                      </pic:pic>
                    </a:graphicData>
                  </a:graphic>
                </wp:inline>
              </w:drawing>
            </w:r>
          </w:p>
        </w:tc>
      </w:tr>
    </w:tbl>
    <w:p w:rsidR="003138D3" w:rsidRPr="003F6CBD" w:rsidRDefault="003138D3" w:rsidP="003138D3">
      <w:pPr>
        <w:pStyle w:val="FootnoteNoline"/>
        <w:ind w:left="0"/>
        <w:rPr>
          <w:color w:val="FF6600"/>
        </w:rPr>
      </w:pPr>
      <w:r w:rsidRPr="001609A2">
        <w:rPr>
          <w:rFonts w:eastAsia="楷体_GB2312" w:hint="eastAsia"/>
          <w:color w:val="FF6600"/>
          <w:lang w:val="en-US"/>
        </w:rPr>
        <w:t>来源：凯石财富工场</w:t>
      </w:r>
      <w:r w:rsidRPr="001609A2">
        <w:rPr>
          <w:rFonts w:eastAsia="楷体_GB2312" w:hint="eastAsia"/>
          <w:color w:val="FF6600"/>
          <w:lang w:val="en-US"/>
        </w:rPr>
        <w:t xml:space="preserve"> wind </w:t>
      </w:r>
    </w:p>
    <w:p w:rsidR="00787F9D" w:rsidRPr="00787F9D" w:rsidRDefault="00787F9D" w:rsidP="00787F9D">
      <w:pPr>
        <w:widowControl/>
        <w:spacing w:after="120" w:line="240" w:lineRule="exact"/>
        <w:ind w:left="3430"/>
        <w:rPr>
          <w:rFonts w:ascii="Arial" w:eastAsia="楷体_GB2312" w:hAnsi="Arial" w:cs="Times New Roman"/>
          <w:b/>
          <w:bCs/>
          <w:color w:val="0070C0"/>
          <w:kern w:val="0"/>
          <w:sz w:val="24"/>
          <w:szCs w:val="20"/>
          <w:lang w:val="en-GB"/>
        </w:rPr>
      </w:pPr>
      <w:r w:rsidRPr="00787F9D">
        <w:rPr>
          <w:rFonts w:ascii="Arial" w:eastAsia="楷体_GB2312" w:hAnsi="Arial" w:cs="Times New Roman" w:hint="eastAsia"/>
          <w:b/>
          <w:bCs/>
          <w:color w:val="0070C0"/>
          <w:kern w:val="0"/>
          <w:sz w:val="24"/>
          <w:szCs w:val="20"/>
          <w:lang w:val="en-GB"/>
        </w:rPr>
        <w:t>利率压制</w:t>
      </w:r>
      <w:r w:rsidR="00866607">
        <w:rPr>
          <w:rFonts w:ascii="Arial" w:eastAsia="楷体_GB2312" w:hAnsi="Arial" w:cs="Times New Roman" w:hint="eastAsia"/>
          <w:b/>
          <w:bCs/>
          <w:color w:val="0070C0"/>
          <w:kern w:val="0"/>
          <w:sz w:val="24"/>
          <w:szCs w:val="20"/>
          <w:lang w:val="en-GB"/>
        </w:rPr>
        <w:t>市场</w:t>
      </w:r>
      <w:r w:rsidRPr="00787F9D">
        <w:rPr>
          <w:rFonts w:ascii="Arial" w:eastAsia="楷体_GB2312" w:hAnsi="Arial" w:cs="Times New Roman" w:hint="eastAsia"/>
          <w:b/>
          <w:bCs/>
          <w:color w:val="0070C0"/>
          <w:kern w:val="0"/>
          <w:sz w:val="24"/>
          <w:szCs w:val="20"/>
          <w:lang w:val="en-GB"/>
        </w:rPr>
        <w:t>整体机会有限</w:t>
      </w:r>
      <w:r w:rsidR="00C52543">
        <w:rPr>
          <w:rFonts w:ascii="Arial" w:eastAsia="楷体_GB2312" w:hAnsi="Arial" w:cs="Times New Roman" w:hint="eastAsia"/>
          <w:b/>
          <w:bCs/>
          <w:color w:val="0070C0"/>
          <w:kern w:val="0"/>
          <w:sz w:val="24"/>
          <w:szCs w:val="20"/>
          <w:lang w:val="en-GB"/>
        </w:rPr>
        <w:t>，主题</w:t>
      </w:r>
      <w:r w:rsidR="00866607">
        <w:rPr>
          <w:rFonts w:ascii="Arial" w:eastAsia="楷体_GB2312" w:hAnsi="Arial" w:cs="Times New Roman" w:hint="eastAsia"/>
          <w:b/>
          <w:bCs/>
          <w:color w:val="0070C0"/>
          <w:kern w:val="0"/>
          <w:sz w:val="24"/>
          <w:szCs w:val="20"/>
          <w:lang w:val="en-GB"/>
        </w:rPr>
        <w:t>投资年</w:t>
      </w:r>
      <w:r w:rsidR="00C52543">
        <w:rPr>
          <w:rFonts w:ascii="Arial" w:eastAsia="楷体_GB2312" w:hAnsi="Arial" w:cs="Times New Roman" w:hint="eastAsia"/>
          <w:b/>
          <w:bCs/>
          <w:color w:val="0070C0"/>
          <w:kern w:val="0"/>
          <w:sz w:val="24"/>
          <w:szCs w:val="20"/>
          <w:lang w:val="en-GB"/>
        </w:rPr>
        <w:t>上演速度与激情</w:t>
      </w:r>
    </w:p>
    <w:p w:rsidR="00787F9D" w:rsidRDefault="00787F9D" w:rsidP="00787F9D">
      <w:pPr>
        <w:pStyle w:val="ab"/>
        <w:numPr>
          <w:ilvl w:val="4"/>
          <w:numId w:val="1"/>
        </w:numPr>
        <w:spacing w:after="163"/>
        <w:rPr>
          <w:rFonts w:eastAsia="楷体_GB2312"/>
          <w:color w:val="auto"/>
        </w:rPr>
      </w:pPr>
      <w:r>
        <w:rPr>
          <w:rFonts w:eastAsia="楷体_GB2312" w:hint="eastAsia"/>
          <w:color w:val="auto"/>
        </w:rPr>
        <w:t>在企业盈利增长</w:t>
      </w:r>
      <w:r w:rsidR="006C72A4">
        <w:rPr>
          <w:rFonts w:eastAsia="楷体_GB2312" w:hint="eastAsia"/>
          <w:color w:val="auto"/>
        </w:rPr>
        <w:t>稳定但</w:t>
      </w:r>
      <w:r>
        <w:rPr>
          <w:rFonts w:eastAsia="楷体_GB2312" w:hint="eastAsia"/>
          <w:color w:val="auto"/>
        </w:rPr>
        <w:t>有限、市场利率居高不下、流动性供应并不乐观等多重因素作用下，</w:t>
      </w:r>
      <w:r>
        <w:rPr>
          <w:rFonts w:eastAsia="楷体_GB2312" w:hint="eastAsia"/>
          <w:color w:val="auto"/>
        </w:rPr>
        <w:t>A</w:t>
      </w:r>
      <w:r>
        <w:rPr>
          <w:rFonts w:eastAsia="楷体_GB2312" w:hint="eastAsia"/>
          <w:color w:val="auto"/>
        </w:rPr>
        <w:t>股市场</w:t>
      </w:r>
      <w:r w:rsidR="006C72A4">
        <w:rPr>
          <w:rFonts w:eastAsia="楷体_GB2312" w:hint="eastAsia"/>
          <w:color w:val="auto"/>
        </w:rPr>
        <w:t>虽有估值优势，但在</w:t>
      </w:r>
      <w:r>
        <w:rPr>
          <w:rFonts w:eastAsia="楷体_GB2312" w:hint="eastAsia"/>
          <w:color w:val="auto"/>
        </w:rPr>
        <w:t>2014</w:t>
      </w:r>
      <w:r>
        <w:rPr>
          <w:rFonts w:eastAsia="楷体_GB2312" w:hint="eastAsia"/>
          <w:color w:val="auto"/>
        </w:rPr>
        <w:t>年</w:t>
      </w:r>
      <w:r w:rsidRPr="00261350">
        <w:rPr>
          <w:rFonts w:eastAsia="楷体_GB2312" w:hint="eastAsia"/>
          <w:color w:val="auto"/>
        </w:rPr>
        <w:t>预计</w:t>
      </w:r>
      <w:r w:rsidR="006C72A4">
        <w:rPr>
          <w:rFonts w:eastAsia="楷体_GB2312" w:hint="eastAsia"/>
          <w:color w:val="auto"/>
        </w:rPr>
        <w:t>仍</w:t>
      </w:r>
      <w:r w:rsidRPr="00261350">
        <w:rPr>
          <w:rFonts w:eastAsia="楷体_GB2312" w:hint="eastAsia"/>
          <w:color w:val="auto"/>
        </w:rPr>
        <w:t>难</w:t>
      </w:r>
      <w:r w:rsidR="006C72A4">
        <w:rPr>
          <w:rFonts w:eastAsia="楷体_GB2312" w:hint="eastAsia"/>
          <w:color w:val="auto"/>
        </w:rPr>
        <w:t>出现</w:t>
      </w:r>
      <w:r>
        <w:rPr>
          <w:rFonts w:eastAsia="楷体_GB2312" w:hint="eastAsia"/>
          <w:color w:val="auto"/>
        </w:rPr>
        <w:t>显著</w:t>
      </w:r>
      <w:r w:rsidRPr="00261350">
        <w:rPr>
          <w:rFonts w:eastAsia="楷体_GB2312" w:hint="eastAsia"/>
          <w:color w:val="auto"/>
        </w:rPr>
        <w:t>的系统性机会</w:t>
      </w:r>
      <w:r w:rsidR="006C72A4">
        <w:rPr>
          <w:rFonts w:eastAsia="楷体_GB2312" w:hint="eastAsia"/>
          <w:color w:val="auto"/>
        </w:rPr>
        <w:t>。当然，</w:t>
      </w:r>
      <w:r w:rsidR="00416CBE">
        <w:rPr>
          <w:rFonts w:eastAsia="楷体_GB2312" w:hint="eastAsia"/>
          <w:color w:val="auto"/>
        </w:rPr>
        <w:t>估值支撑下</w:t>
      </w:r>
      <w:r>
        <w:rPr>
          <w:rFonts w:eastAsia="楷体_GB2312" w:hint="eastAsia"/>
          <w:color w:val="auto"/>
        </w:rPr>
        <w:t>主板市场向下波动空间亦不大</w:t>
      </w:r>
      <w:r w:rsidR="00810257">
        <w:rPr>
          <w:rFonts w:eastAsia="楷体_GB2312" w:hint="eastAsia"/>
          <w:color w:val="auto"/>
        </w:rPr>
        <w:t>，上证指数预计核心波动区间在【</w:t>
      </w:r>
      <w:r w:rsidR="00810257">
        <w:rPr>
          <w:rFonts w:eastAsia="楷体_GB2312" w:hint="eastAsia"/>
          <w:color w:val="auto"/>
        </w:rPr>
        <w:t>2000~2400</w:t>
      </w:r>
      <w:r w:rsidR="00810257">
        <w:rPr>
          <w:rFonts w:eastAsia="楷体_GB2312" w:hint="eastAsia"/>
          <w:color w:val="auto"/>
        </w:rPr>
        <w:t>】</w:t>
      </w:r>
      <w:r>
        <w:rPr>
          <w:rFonts w:eastAsia="楷体_GB2312" w:hint="eastAsia"/>
          <w:color w:val="auto"/>
        </w:rPr>
        <w:t>。</w:t>
      </w:r>
    </w:p>
    <w:p w:rsidR="00787F9D" w:rsidRDefault="00787F9D" w:rsidP="00787F9D">
      <w:pPr>
        <w:pStyle w:val="ab"/>
        <w:numPr>
          <w:ilvl w:val="5"/>
          <w:numId w:val="2"/>
        </w:numPr>
        <w:spacing w:after="163"/>
        <w:ind w:left="4140" w:hanging="369"/>
        <w:rPr>
          <w:rFonts w:eastAsia="楷体_GB2312"/>
          <w:color w:val="auto"/>
        </w:rPr>
      </w:pPr>
      <w:r w:rsidRPr="00261350">
        <w:rPr>
          <w:rFonts w:eastAsia="楷体_GB2312" w:hint="eastAsia"/>
          <w:color w:val="auto"/>
        </w:rPr>
        <w:t>在宏观基本面总体保持平稳、经济结构适度调整的背景下，</w:t>
      </w:r>
      <w:r>
        <w:rPr>
          <w:rFonts w:eastAsia="楷体_GB2312" w:hint="eastAsia"/>
          <w:color w:val="auto"/>
        </w:rPr>
        <w:t>A</w:t>
      </w:r>
      <w:r>
        <w:rPr>
          <w:rFonts w:eastAsia="楷体_GB2312" w:hint="eastAsia"/>
          <w:color w:val="auto"/>
        </w:rPr>
        <w:t>股</w:t>
      </w:r>
      <w:r w:rsidRPr="00261350">
        <w:rPr>
          <w:rFonts w:eastAsia="楷体_GB2312" w:hint="eastAsia"/>
          <w:color w:val="auto"/>
        </w:rPr>
        <w:t>上市公司盈利水平预计基本稳定，目前市场一致预期</w:t>
      </w:r>
      <w:r w:rsidRPr="00261350">
        <w:rPr>
          <w:rFonts w:eastAsia="楷体_GB2312"/>
          <w:color w:val="auto"/>
        </w:rPr>
        <w:t>2014</w:t>
      </w:r>
      <w:r w:rsidRPr="00261350">
        <w:rPr>
          <w:rFonts w:eastAsia="楷体_GB2312" w:hint="eastAsia"/>
          <w:color w:val="auto"/>
        </w:rPr>
        <w:t>年整体盈利增速在</w:t>
      </w:r>
      <w:r w:rsidRPr="00261350">
        <w:rPr>
          <w:rFonts w:eastAsia="楷体_GB2312"/>
          <w:color w:val="auto"/>
        </w:rPr>
        <w:t>10%</w:t>
      </w:r>
      <w:r w:rsidRPr="00261350">
        <w:rPr>
          <w:rFonts w:eastAsia="楷体_GB2312" w:hint="eastAsia"/>
          <w:color w:val="auto"/>
        </w:rPr>
        <w:t>上下。</w:t>
      </w:r>
    </w:p>
    <w:p w:rsidR="00787F9D" w:rsidRDefault="006C72A4" w:rsidP="00787F9D">
      <w:pPr>
        <w:pStyle w:val="ab"/>
        <w:numPr>
          <w:ilvl w:val="5"/>
          <w:numId w:val="2"/>
        </w:numPr>
        <w:spacing w:after="163"/>
        <w:ind w:left="4140" w:hanging="369"/>
        <w:rPr>
          <w:rFonts w:eastAsia="楷体_GB2312"/>
          <w:color w:val="auto"/>
        </w:rPr>
      </w:pPr>
      <w:r>
        <w:rPr>
          <w:rFonts w:eastAsia="楷体_GB2312"/>
          <w:color w:val="auto"/>
        </w:rPr>
        <w:t>无论横向还是纵向比较，</w:t>
      </w:r>
      <w:r w:rsidR="00787F9D" w:rsidRPr="00261350">
        <w:rPr>
          <w:rFonts w:eastAsia="楷体_GB2312"/>
          <w:color w:val="auto"/>
        </w:rPr>
        <w:t>A</w:t>
      </w:r>
      <w:r>
        <w:rPr>
          <w:rFonts w:eastAsia="楷体_GB2312" w:hint="eastAsia"/>
          <w:color w:val="auto"/>
        </w:rPr>
        <w:t>股</w:t>
      </w:r>
      <w:r w:rsidR="00787F9D" w:rsidRPr="00261350">
        <w:rPr>
          <w:rFonts w:eastAsia="楷体_GB2312" w:hint="eastAsia"/>
          <w:color w:val="auto"/>
        </w:rPr>
        <w:t>市场</w:t>
      </w:r>
      <w:r>
        <w:rPr>
          <w:rFonts w:eastAsia="楷体_GB2312" w:hint="eastAsia"/>
          <w:color w:val="auto"/>
        </w:rPr>
        <w:t>尤其是主板市场</w:t>
      </w:r>
      <w:r w:rsidR="00787F9D" w:rsidRPr="00261350">
        <w:rPr>
          <w:rFonts w:eastAsia="楷体_GB2312" w:hint="eastAsia"/>
          <w:color w:val="auto"/>
        </w:rPr>
        <w:t>的估值水平处于历史低位，但在紧平衡的货币政策</w:t>
      </w:r>
      <w:r w:rsidR="00416CBE">
        <w:rPr>
          <w:rFonts w:eastAsia="楷体_GB2312" w:hint="eastAsia"/>
          <w:color w:val="auto"/>
        </w:rPr>
        <w:t>以及金融机构去杠杆的背景下</w:t>
      </w:r>
      <w:r w:rsidR="00787F9D" w:rsidRPr="00261350">
        <w:rPr>
          <w:rFonts w:eastAsia="楷体_GB2312" w:hint="eastAsia"/>
          <w:color w:val="auto"/>
        </w:rPr>
        <w:t>，市场</w:t>
      </w:r>
      <w:r>
        <w:rPr>
          <w:rFonts w:eastAsia="楷体_GB2312" w:hint="eastAsia"/>
          <w:color w:val="auto"/>
        </w:rPr>
        <w:t>实际</w:t>
      </w:r>
      <w:r w:rsidR="00787F9D" w:rsidRPr="00261350">
        <w:rPr>
          <w:rFonts w:eastAsia="楷体_GB2312" w:hint="eastAsia"/>
          <w:color w:val="auto"/>
        </w:rPr>
        <w:t>利率水平</w:t>
      </w:r>
      <w:r w:rsidR="00416CBE">
        <w:rPr>
          <w:rFonts w:eastAsia="楷体_GB2312" w:hint="eastAsia"/>
          <w:color w:val="auto"/>
        </w:rPr>
        <w:t>或</w:t>
      </w:r>
      <w:r w:rsidR="00787F9D" w:rsidRPr="00261350">
        <w:rPr>
          <w:rFonts w:eastAsia="楷体_GB2312" w:hint="eastAsia"/>
          <w:color w:val="auto"/>
        </w:rPr>
        <w:t>继续处于高位，</w:t>
      </w:r>
      <w:r w:rsidR="00787F9D">
        <w:rPr>
          <w:rFonts w:eastAsia="楷体_GB2312" w:hint="eastAsia"/>
          <w:color w:val="auto"/>
        </w:rPr>
        <w:t>主板</w:t>
      </w:r>
      <w:r w:rsidR="00787F9D" w:rsidRPr="00261350">
        <w:rPr>
          <w:rFonts w:eastAsia="楷体_GB2312" w:hint="eastAsia"/>
          <w:color w:val="auto"/>
        </w:rPr>
        <w:t>市场</w:t>
      </w:r>
      <w:r>
        <w:rPr>
          <w:rFonts w:eastAsia="楷体_GB2312" w:hint="eastAsia"/>
          <w:color w:val="auto"/>
        </w:rPr>
        <w:t>的</w:t>
      </w:r>
      <w:r w:rsidR="00787F9D" w:rsidRPr="00261350">
        <w:rPr>
          <w:rFonts w:eastAsia="楷体_GB2312" w:hint="eastAsia"/>
          <w:color w:val="auto"/>
        </w:rPr>
        <w:t>估值也将继续受到压制</w:t>
      </w:r>
      <w:r w:rsidR="00787F9D">
        <w:rPr>
          <w:rFonts w:eastAsia="楷体_GB2312" w:hint="eastAsia"/>
          <w:color w:val="auto"/>
        </w:rPr>
        <w:t>。</w:t>
      </w:r>
      <w:r>
        <w:rPr>
          <w:rFonts w:eastAsia="楷体_GB2312" w:hint="eastAsia"/>
          <w:color w:val="auto"/>
        </w:rPr>
        <w:t>另外，</w:t>
      </w:r>
      <w:r w:rsidR="00787F9D">
        <w:rPr>
          <w:rFonts w:eastAsia="楷体_GB2312" w:hint="eastAsia"/>
          <w:color w:val="auto"/>
        </w:rPr>
        <w:t>在创业板与主板市场估值分化严重、</w:t>
      </w:r>
      <w:r w:rsidR="00787F9D">
        <w:rPr>
          <w:rFonts w:eastAsia="楷体_GB2312" w:hint="eastAsia"/>
          <w:color w:val="auto"/>
        </w:rPr>
        <w:t>IPO</w:t>
      </w:r>
      <w:r w:rsidR="00787F9D">
        <w:rPr>
          <w:rFonts w:eastAsia="楷体_GB2312" w:hint="eastAsia"/>
          <w:color w:val="auto"/>
        </w:rPr>
        <w:t>重启且新规</w:t>
      </w:r>
      <w:r w:rsidR="00416CBE">
        <w:rPr>
          <w:rFonts w:eastAsia="楷体_GB2312" w:hint="eastAsia"/>
          <w:color w:val="auto"/>
        </w:rPr>
        <w:t>实施</w:t>
      </w:r>
      <w:r w:rsidR="00787F9D">
        <w:rPr>
          <w:rFonts w:eastAsia="楷体_GB2312" w:hint="eastAsia"/>
          <w:color w:val="auto"/>
        </w:rPr>
        <w:t>冲击成长股高估值水平</w:t>
      </w:r>
      <w:r w:rsidR="00416CBE">
        <w:rPr>
          <w:rFonts w:eastAsia="楷体_GB2312" w:hint="eastAsia"/>
          <w:color w:val="auto"/>
        </w:rPr>
        <w:t>的情况</w:t>
      </w:r>
      <w:r w:rsidR="00787F9D">
        <w:rPr>
          <w:rFonts w:eastAsia="楷体_GB2312" w:hint="eastAsia"/>
          <w:color w:val="auto"/>
        </w:rPr>
        <w:t>下，以创业板为代表的估值过高的成长股，</w:t>
      </w:r>
      <w:r>
        <w:rPr>
          <w:rFonts w:eastAsia="楷体_GB2312" w:hint="eastAsia"/>
          <w:color w:val="auto"/>
        </w:rPr>
        <w:t>还</w:t>
      </w:r>
      <w:r w:rsidR="00787F9D">
        <w:rPr>
          <w:rFonts w:eastAsia="楷体_GB2312" w:hint="eastAsia"/>
          <w:color w:val="auto"/>
        </w:rPr>
        <w:t>将面临局部的估值压力。</w:t>
      </w:r>
    </w:p>
    <w:p w:rsidR="00787F9D" w:rsidRDefault="00416CBE" w:rsidP="00787F9D">
      <w:pPr>
        <w:pStyle w:val="ab"/>
        <w:numPr>
          <w:ilvl w:val="5"/>
          <w:numId w:val="2"/>
        </w:numPr>
        <w:spacing w:after="163"/>
        <w:ind w:left="4140" w:hanging="369"/>
        <w:rPr>
          <w:rFonts w:eastAsia="楷体_GB2312"/>
          <w:color w:val="auto"/>
        </w:rPr>
      </w:pPr>
      <w:r>
        <w:rPr>
          <w:rFonts w:eastAsia="楷体_GB2312" w:hint="eastAsia"/>
          <w:color w:val="auto"/>
        </w:rPr>
        <w:t>流动性方面</w:t>
      </w:r>
      <w:r w:rsidR="00787F9D">
        <w:rPr>
          <w:rFonts w:eastAsia="楷体_GB2312" w:hint="eastAsia"/>
          <w:color w:val="auto"/>
        </w:rPr>
        <w:t>，</w:t>
      </w:r>
      <w:r w:rsidR="00787F9D" w:rsidRPr="00261350">
        <w:rPr>
          <w:rFonts w:eastAsia="楷体_GB2312" w:hint="eastAsia"/>
          <w:color w:val="auto"/>
        </w:rPr>
        <w:t>考虑到紧平衡的货币政策、</w:t>
      </w:r>
      <w:r>
        <w:rPr>
          <w:rFonts w:eastAsia="楷体_GB2312" w:hint="eastAsia"/>
          <w:color w:val="auto"/>
        </w:rPr>
        <w:t>金融机构去杠杆、</w:t>
      </w:r>
      <w:r w:rsidR="00787F9D" w:rsidRPr="00261350">
        <w:rPr>
          <w:rFonts w:eastAsia="楷体_GB2312"/>
          <w:color w:val="auto"/>
        </w:rPr>
        <w:t>QE</w:t>
      </w:r>
      <w:r w:rsidR="00787F9D" w:rsidRPr="00261350">
        <w:rPr>
          <w:rFonts w:eastAsia="楷体_GB2312" w:hint="eastAsia"/>
          <w:color w:val="auto"/>
        </w:rPr>
        <w:t>退出的冲击、</w:t>
      </w:r>
      <w:r w:rsidR="00787F9D" w:rsidRPr="00261350">
        <w:rPr>
          <w:rFonts w:eastAsia="楷体_GB2312"/>
          <w:color w:val="auto"/>
        </w:rPr>
        <w:t>IPO</w:t>
      </w:r>
      <w:r w:rsidR="00787F9D" w:rsidRPr="00261350">
        <w:rPr>
          <w:rFonts w:eastAsia="楷体_GB2312" w:hint="eastAsia"/>
          <w:color w:val="auto"/>
        </w:rPr>
        <w:t>重启分流等</w:t>
      </w:r>
      <w:r>
        <w:rPr>
          <w:rFonts w:eastAsia="楷体_GB2312" w:hint="eastAsia"/>
          <w:color w:val="auto"/>
        </w:rPr>
        <w:t>多重</w:t>
      </w:r>
      <w:r w:rsidR="00787F9D" w:rsidRPr="00261350">
        <w:rPr>
          <w:rFonts w:eastAsia="楷体_GB2312" w:hint="eastAsia"/>
          <w:color w:val="auto"/>
        </w:rPr>
        <w:t>因素，</w:t>
      </w:r>
      <w:r>
        <w:rPr>
          <w:rFonts w:eastAsia="楷体_GB2312" w:hint="eastAsia"/>
          <w:color w:val="auto"/>
        </w:rPr>
        <w:t>2014</w:t>
      </w:r>
      <w:r>
        <w:rPr>
          <w:rFonts w:eastAsia="楷体_GB2312" w:hint="eastAsia"/>
          <w:color w:val="auto"/>
        </w:rPr>
        <w:t>年</w:t>
      </w:r>
      <w:r w:rsidR="00787F9D" w:rsidRPr="00261350">
        <w:rPr>
          <w:rFonts w:eastAsia="楷体_GB2312"/>
          <w:color w:val="auto"/>
        </w:rPr>
        <w:t>A</w:t>
      </w:r>
      <w:r w:rsidR="00787F9D">
        <w:rPr>
          <w:rFonts w:eastAsia="楷体_GB2312" w:hint="eastAsia"/>
          <w:color w:val="auto"/>
        </w:rPr>
        <w:t>股市场</w:t>
      </w:r>
      <w:r>
        <w:rPr>
          <w:rFonts w:eastAsia="楷体_GB2312" w:hint="eastAsia"/>
          <w:color w:val="auto"/>
        </w:rPr>
        <w:t>的总体</w:t>
      </w:r>
      <w:r w:rsidR="00787F9D">
        <w:rPr>
          <w:rFonts w:eastAsia="楷体_GB2312" w:hint="eastAsia"/>
          <w:color w:val="auto"/>
        </w:rPr>
        <w:t>流动性供应</w:t>
      </w:r>
      <w:r>
        <w:rPr>
          <w:rFonts w:eastAsia="楷体_GB2312" w:hint="eastAsia"/>
          <w:color w:val="auto"/>
        </w:rPr>
        <w:t>仍</w:t>
      </w:r>
      <w:r w:rsidR="00787F9D">
        <w:rPr>
          <w:rFonts w:eastAsia="楷体_GB2312" w:hint="eastAsia"/>
          <w:color w:val="auto"/>
        </w:rPr>
        <w:t>难</w:t>
      </w:r>
      <w:r>
        <w:rPr>
          <w:rFonts w:eastAsia="楷体_GB2312" w:hint="eastAsia"/>
          <w:color w:val="auto"/>
        </w:rPr>
        <w:t>言</w:t>
      </w:r>
      <w:r w:rsidR="00787F9D">
        <w:rPr>
          <w:rFonts w:eastAsia="楷体_GB2312" w:hint="eastAsia"/>
          <w:color w:val="auto"/>
        </w:rPr>
        <w:t>乐观</w:t>
      </w:r>
      <w:r>
        <w:rPr>
          <w:rFonts w:eastAsia="楷体_GB2312" w:hint="eastAsia"/>
          <w:color w:val="auto"/>
        </w:rPr>
        <w:t>，至少上半年如此</w:t>
      </w:r>
      <w:r w:rsidR="00787F9D">
        <w:rPr>
          <w:rFonts w:eastAsia="楷体_GB2312" w:hint="eastAsia"/>
          <w:color w:val="auto"/>
        </w:rPr>
        <w:t>。</w:t>
      </w:r>
    </w:p>
    <w:tbl>
      <w:tblPr>
        <w:tblW w:w="7440"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4A0"/>
      </w:tblPr>
      <w:tblGrid>
        <w:gridCol w:w="7440"/>
      </w:tblGrid>
      <w:tr w:rsidR="00787F9D" w:rsidTr="00D7449C">
        <w:trPr>
          <w:cantSplit/>
          <w:trHeight w:val="65"/>
        </w:trPr>
        <w:tc>
          <w:tcPr>
            <w:tcW w:w="7440" w:type="dxa"/>
            <w:tcBorders>
              <w:top w:val="single" w:sz="6" w:space="0" w:color="FF6600"/>
              <w:left w:val="nil"/>
              <w:bottom w:val="single" w:sz="6" w:space="0" w:color="FF6600"/>
              <w:right w:val="nil"/>
            </w:tcBorders>
            <w:vAlign w:val="center"/>
            <w:hideMark/>
          </w:tcPr>
          <w:p w:rsidR="00787F9D" w:rsidRPr="00CA744D" w:rsidRDefault="00787F9D" w:rsidP="00D7449C">
            <w:pPr>
              <w:pStyle w:val="SubTitleLargeTable"/>
              <w:pBdr>
                <w:top w:val="none" w:sz="0" w:space="0" w:color="auto"/>
              </w:pBdr>
              <w:rPr>
                <w:rFonts w:ascii="宋体" w:eastAsiaTheme="minorEastAsia" w:hAnsi="宋体"/>
                <w:b w:val="0"/>
                <w:color w:val="FF6600"/>
                <w:kern w:val="2"/>
              </w:rPr>
            </w:pPr>
            <w:r>
              <w:rPr>
                <w:rFonts w:eastAsia="楷体_GB2312" w:hint="eastAsia"/>
                <w:color w:val="FF6600"/>
                <w:kern w:val="2"/>
              </w:rPr>
              <w:t>图表</w:t>
            </w:r>
            <w:r>
              <w:rPr>
                <w:rFonts w:eastAsiaTheme="minorEastAsia" w:hint="eastAsia"/>
                <w:color w:val="FF6600"/>
                <w:kern w:val="2"/>
              </w:rPr>
              <w:t>9</w:t>
            </w:r>
            <w:r>
              <w:rPr>
                <w:rFonts w:eastAsia="楷体_GB2312" w:hint="eastAsia"/>
                <w:color w:val="FF6600"/>
                <w:kern w:val="2"/>
              </w:rPr>
              <w:t>：</w:t>
            </w:r>
            <w:r w:rsidRPr="008736F7">
              <w:rPr>
                <w:rFonts w:eastAsia="楷体_GB2312" w:hint="eastAsia"/>
                <w:color w:val="FF6600"/>
              </w:rPr>
              <w:t>A</w:t>
            </w:r>
            <w:r w:rsidRPr="008736F7">
              <w:rPr>
                <w:rFonts w:eastAsia="楷体_GB2312"/>
                <w:color w:val="FF6600"/>
              </w:rPr>
              <w:t>股市场主要指数市盈率比较</w:t>
            </w:r>
          </w:p>
        </w:tc>
      </w:tr>
      <w:tr w:rsidR="00787F9D" w:rsidTr="00D7449C">
        <w:trPr>
          <w:cantSplit/>
          <w:trHeight w:val="3339"/>
        </w:trPr>
        <w:tc>
          <w:tcPr>
            <w:tcW w:w="7440" w:type="dxa"/>
            <w:tcBorders>
              <w:top w:val="single" w:sz="6" w:space="0" w:color="FF6600"/>
              <w:left w:val="nil"/>
              <w:bottom w:val="single" w:sz="6" w:space="0" w:color="FF6600"/>
              <w:right w:val="nil"/>
            </w:tcBorders>
            <w:vAlign w:val="center"/>
          </w:tcPr>
          <w:p w:rsidR="00787F9D" w:rsidRDefault="00787F9D" w:rsidP="00D7449C">
            <w:pPr>
              <w:snapToGrid w:val="0"/>
              <w:spacing w:line="10" w:lineRule="atLeast"/>
              <w:jc w:val="center"/>
              <w:rPr>
                <w:rFonts w:ascii="宋体" w:eastAsia="宋体" w:hAnsi="宋体"/>
                <w:b/>
              </w:rPr>
            </w:pPr>
            <w:r>
              <w:rPr>
                <w:rFonts w:ascii="宋体" w:eastAsia="宋体" w:hAnsi="宋体"/>
                <w:b/>
                <w:noProof/>
              </w:rPr>
              <w:drawing>
                <wp:inline distT="0" distB="0" distL="0" distR="0">
                  <wp:extent cx="4724400" cy="2019300"/>
                  <wp:effectExtent l="1905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4724400" cy="2019300"/>
                          </a:xfrm>
                          <a:prstGeom prst="rect">
                            <a:avLst/>
                          </a:prstGeom>
                          <a:noFill/>
                          <a:ln w="9525">
                            <a:noFill/>
                            <a:miter lim="800000"/>
                            <a:headEnd/>
                            <a:tailEnd/>
                          </a:ln>
                        </pic:spPr>
                      </pic:pic>
                    </a:graphicData>
                  </a:graphic>
                </wp:inline>
              </w:drawing>
            </w:r>
          </w:p>
        </w:tc>
      </w:tr>
    </w:tbl>
    <w:p w:rsidR="00787F9D" w:rsidRDefault="00787F9D" w:rsidP="00787F9D">
      <w:pPr>
        <w:pStyle w:val="FootnoteNoline"/>
        <w:rPr>
          <w:color w:val="FF6600"/>
        </w:rPr>
      </w:pPr>
      <w:r>
        <w:rPr>
          <w:rFonts w:eastAsia="楷体_GB2312" w:hint="eastAsia"/>
          <w:color w:val="FF6600"/>
        </w:rPr>
        <w:t>来源：凯石财富工场</w:t>
      </w:r>
      <w:r>
        <w:rPr>
          <w:rFonts w:eastAsia="楷体_GB2312" w:hint="eastAsia"/>
          <w:color w:val="FF6600"/>
        </w:rPr>
        <w:t xml:space="preserve"> wind</w:t>
      </w:r>
    </w:p>
    <w:p w:rsidR="00087A79" w:rsidRPr="009959DC" w:rsidRDefault="00787F9D" w:rsidP="00787F9D">
      <w:pPr>
        <w:pStyle w:val="ab"/>
        <w:numPr>
          <w:ilvl w:val="4"/>
          <w:numId w:val="1"/>
        </w:numPr>
        <w:spacing w:after="163"/>
        <w:rPr>
          <w:rFonts w:eastAsia="楷体_GB2312"/>
          <w:color w:val="auto"/>
        </w:rPr>
      </w:pPr>
      <w:r w:rsidRPr="009959DC">
        <w:rPr>
          <w:rFonts w:eastAsia="楷体_GB2312" w:hint="eastAsia"/>
          <w:color w:val="auto"/>
        </w:rPr>
        <w:lastRenderedPageBreak/>
        <w:t>落实改革无疑是</w:t>
      </w:r>
      <w:r w:rsidRPr="009959DC">
        <w:rPr>
          <w:rFonts w:eastAsia="楷体_GB2312" w:hint="eastAsia"/>
          <w:color w:val="auto"/>
        </w:rPr>
        <w:t>2014</w:t>
      </w:r>
      <w:r w:rsidRPr="009959DC">
        <w:rPr>
          <w:rFonts w:eastAsia="楷体_GB2312" w:hint="eastAsia"/>
          <w:color w:val="auto"/>
        </w:rPr>
        <w:t>年政策的着力点，改革蕴含的增长潜力，将使得相关主题投资机会活跃于全年，继续为市场输入结构性机会，如</w:t>
      </w:r>
      <w:r w:rsidR="003E496D" w:rsidRPr="009959DC">
        <w:rPr>
          <w:rFonts w:eastAsia="楷体_GB2312" w:hint="eastAsia"/>
          <w:color w:val="auto"/>
        </w:rPr>
        <w:t>大家耳熟能详的</w:t>
      </w:r>
      <w:r w:rsidRPr="009959DC">
        <w:rPr>
          <w:rFonts w:eastAsia="楷体_GB2312" w:hint="eastAsia"/>
          <w:color w:val="auto"/>
        </w:rPr>
        <w:t>军工安防、土地改革、金融改革、国企改革、破除垄断及资源价格改革、生态环保、自贸区等重点改革领域</w:t>
      </w:r>
      <w:r w:rsidR="00400479" w:rsidRPr="009959DC">
        <w:rPr>
          <w:rFonts w:eastAsia="楷体_GB2312" w:hint="eastAsia"/>
          <w:color w:val="auto"/>
        </w:rPr>
        <w:t>，</w:t>
      </w:r>
      <w:r w:rsidR="00400479" w:rsidRPr="009959DC">
        <w:rPr>
          <w:rFonts w:eastAsia="楷体_GB2312" w:hint="eastAsia"/>
          <w:color w:val="auto"/>
        </w:rPr>
        <w:t>2014</w:t>
      </w:r>
      <w:r w:rsidR="00400479" w:rsidRPr="009959DC">
        <w:rPr>
          <w:rFonts w:eastAsia="楷体_GB2312" w:hint="eastAsia"/>
          <w:color w:val="auto"/>
        </w:rPr>
        <w:t>年将是主题投资年。</w:t>
      </w:r>
      <w:r w:rsidRPr="009959DC">
        <w:rPr>
          <w:rFonts w:eastAsia="楷体_GB2312" w:hint="eastAsia"/>
          <w:color w:val="auto"/>
        </w:rPr>
        <w:t>不过，改革并非一蹴而就，</w:t>
      </w:r>
      <w:r w:rsidR="003E496D" w:rsidRPr="009959DC">
        <w:rPr>
          <w:rFonts w:eastAsia="楷体_GB2312" w:hint="eastAsia"/>
          <w:color w:val="auto"/>
        </w:rPr>
        <w:t>改革红利的释放更多将是缓慢而长期的过程。在</w:t>
      </w:r>
      <w:r w:rsidRPr="009959DC">
        <w:rPr>
          <w:rFonts w:eastAsia="楷体_GB2312" w:hint="eastAsia"/>
          <w:color w:val="auto"/>
        </w:rPr>
        <w:t>相当部分被寄予厚望的受益行业</w:t>
      </w:r>
      <w:r w:rsidRPr="009959DC">
        <w:rPr>
          <w:rFonts w:eastAsia="楷体_GB2312" w:hint="eastAsia"/>
          <w:color w:val="auto"/>
        </w:rPr>
        <w:t>/</w:t>
      </w:r>
      <w:r w:rsidRPr="009959DC">
        <w:rPr>
          <w:rFonts w:eastAsia="楷体_GB2312" w:hint="eastAsia"/>
          <w:color w:val="auto"/>
        </w:rPr>
        <w:t>企业估值相对较高的背景下，市场氛围需要改革</w:t>
      </w:r>
      <w:r w:rsidR="003E496D" w:rsidRPr="009959DC">
        <w:rPr>
          <w:rFonts w:eastAsia="楷体_GB2312" w:hint="eastAsia"/>
          <w:color w:val="auto"/>
        </w:rPr>
        <w:t>措施</w:t>
      </w:r>
      <w:r w:rsidRPr="009959DC">
        <w:rPr>
          <w:rFonts w:eastAsia="楷体_GB2312" w:hint="eastAsia"/>
          <w:color w:val="auto"/>
        </w:rPr>
        <w:t>的逐步落实来维护或提升，而政策一时的偏差或低于预期都将带来市场情绪的剧烈波动，进而引起相关板块的大幅震荡。因此，</w:t>
      </w:r>
      <w:r w:rsidR="004535BF" w:rsidRPr="009959DC">
        <w:rPr>
          <w:rFonts w:eastAsia="楷体_GB2312" w:hint="eastAsia"/>
          <w:color w:val="auto"/>
        </w:rPr>
        <w:t>市场</w:t>
      </w:r>
      <w:r w:rsidR="009959DC">
        <w:rPr>
          <w:rFonts w:eastAsia="楷体_GB2312" w:hint="eastAsia"/>
          <w:color w:val="auto"/>
        </w:rPr>
        <w:t>投资</w:t>
      </w:r>
      <w:r w:rsidR="004535BF" w:rsidRPr="009959DC">
        <w:rPr>
          <w:rFonts w:eastAsia="楷体_GB2312" w:hint="eastAsia"/>
          <w:color w:val="auto"/>
        </w:rPr>
        <w:t>主题</w:t>
      </w:r>
      <w:r w:rsidR="00087A79" w:rsidRPr="009959DC">
        <w:rPr>
          <w:rFonts w:eastAsia="楷体_GB2312" w:hint="eastAsia"/>
          <w:color w:val="auto"/>
        </w:rPr>
        <w:t>无论是机会的</w:t>
      </w:r>
      <w:r w:rsidRPr="009959DC">
        <w:rPr>
          <w:rFonts w:eastAsia="楷体_GB2312" w:hint="eastAsia"/>
          <w:color w:val="auto"/>
        </w:rPr>
        <w:t>演绎</w:t>
      </w:r>
      <w:r w:rsidR="00087A79" w:rsidRPr="009959DC">
        <w:rPr>
          <w:rFonts w:eastAsia="楷体_GB2312" w:hint="eastAsia"/>
          <w:color w:val="auto"/>
        </w:rPr>
        <w:t>还是风险的释放，</w:t>
      </w:r>
      <w:r w:rsidR="009959DC" w:rsidRPr="009959DC">
        <w:rPr>
          <w:rFonts w:eastAsia="楷体_GB2312" w:hint="eastAsia"/>
          <w:color w:val="auto"/>
        </w:rPr>
        <w:t>预计</w:t>
      </w:r>
      <w:r w:rsidR="009959DC">
        <w:rPr>
          <w:rFonts w:eastAsia="楷体_GB2312" w:hint="eastAsia"/>
          <w:color w:val="auto"/>
        </w:rPr>
        <w:t>都</w:t>
      </w:r>
      <w:r w:rsidR="009959DC" w:rsidRPr="009959DC">
        <w:rPr>
          <w:rFonts w:eastAsia="楷体_GB2312" w:hint="eastAsia"/>
          <w:color w:val="auto"/>
        </w:rPr>
        <w:t>将</w:t>
      </w:r>
      <w:r w:rsidRPr="009959DC">
        <w:rPr>
          <w:rFonts w:eastAsia="楷体_GB2312" w:hint="eastAsia"/>
          <w:color w:val="auto"/>
        </w:rPr>
        <w:t>呈现</w:t>
      </w:r>
      <w:r w:rsidR="004535BF" w:rsidRPr="009959DC">
        <w:rPr>
          <w:rFonts w:eastAsia="楷体_GB2312" w:hint="eastAsia"/>
          <w:color w:val="auto"/>
        </w:rPr>
        <w:t>频繁</w:t>
      </w:r>
      <w:r w:rsidRPr="009959DC">
        <w:rPr>
          <w:rFonts w:eastAsia="楷体_GB2312" w:hint="eastAsia"/>
          <w:color w:val="auto"/>
        </w:rPr>
        <w:t>、脉冲式特征，同时各板块间的轮动</w:t>
      </w:r>
      <w:r w:rsidR="009959DC" w:rsidRPr="009959DC">
        <w:rPr>
          <w:rFonts w:eastAsia="楷体_GB2312" w:hint="eastAsia"/>
          <w:color w:val="auto"/>
        </w:rPr>
        <w:t>亦将加快，激情与速度</w:t>
      </w:r>
      <w:r w:rsidR="003267CA">
        <w:rPr>
          <w:rFonts w:eastAsia="楷体_GB2312" w:hint="eastAsia"/>
          <w:color w:val="auto"/>
        </w:rPr>
        <w:t>同时上演</w:t>
      </w:r>
      <w:r w:rsidR="009959DC" w:rsidRPr="009959DC">
        <w:rPr>
          <w:rFonts w:eastAsia="楷体_GB2312" w:hint="eastAsia"/>
          <w:color w:val="auto"/>
        </w:rPr>
        <w:t>。</w:t>
      </w:r>
    </w:p>
    <w:p w:rsidR="00256A3A" w:rsidRPr="006B085A" w:rsidRDefault="004F343D" w:rsidP="00E22A18">
      <w:pPr>
        <w:widowControl/>
        <w:spacing w:after="120" w:line="240" w:lineRule="exact"/>
        <w:ind w:left="3430"/>
        <w:rPr>
          <w:rFonts w:ascii="Arial" w:eastAsia="楷体_GB2312" w:hAnsi="Arial" w:cs="Times New Roman"/>
          <w:b/>
          <w:bCs/>
          <w:color w:val="0070C0"/>
          <w:kern w:val="0"/>
          <w:sz w:val="24"/>
          <w:szCs w:val="20"/>
          <w:lang w:val="en-GB"/>
        </w:rPr>
      </w:pPr>
      <w:r>
        <w:rPr>
          <w:rFonts w:ascii="Arial" w:eastAsia="楷体_GB2312" w:hAnsi="Arial" w:cs="Times New Roman" w:hint="eastAsia"/>
          <w:b/>
          <w:bCs/>
          <w:color w:val="0070C0"/>
          <w:kern w:val="0"/>
          <w:sz w:val="24"/>
          <w:szCs w:val="20"/>
          <w:lang w:val="en-GB"/>
        </w:rPr>
        <w:t>基金投资</w:t>
      </w:r>
      <w:r w:rsidR="004B3350">
        <w:rPr>
          <w:rFonts w:ascii="Arial" w:eastAsia="楷体_GB2312" w:hAnsi="Arial" w:cs="Times New Roman" w:hint="eastAsia"/>
          <w:b/>
          <w:bCs/>
          <w:color w:val="0070C0"/>
          <w:kern w:val="0"/>
          <w:sz w:val="24"/>
          <w:szCs w:val="20"/>
          <w:lang w:val="en-GB"/>
        </w:rPr>
        <w:t>策略</w:t>
      </w:r>
      <w:r>
        <w:rPr>
          <w:rFonts w:ascii="Arial" w:eastAsia="楷体_GB2312" w:hAnsi="Arial" w:cs="Times New Roman" w:hint="eastAsia"/>
          <w:b/>
          <w:bCs/>
          <w:color w:val="0070C0"/>
          <w:kern w:val="0"/>
          <w:sz w:val="24"/>
          <w:szCs w:val="20"/>
          <w:lang w:val="en-GB"/>
        </w:rPr>
        <w:t>：</w:t>
      </w:r>
      <w:r w:rsidR="00F00ADE">
        <w:rPr>
          <w:rFonts w:ascii="Arial" w:eastAsia="楷体_GB2312" w:hAnsi="Arial" w:cs="Times New Roman" w:hint="eastAsia"/>
          <w:b/>
          <w:bCs/>
          <w:color w:val="0070C0"/>
          <w:kern w:val="0"/>
          <w:sz w:val="24"/>
          <w:szCs w:val="20"/>
          <w:lang w:val="en-GB"/>
        </w:rPr>
        <w:t>择时能力</w:t>
      </w:r>
      <w:r w:rsidR="00FD4C1C">
        <w:rPr>
          <w:rFonts w:ascii="Arial" w:eastAsia="楷体_GB2312" w:hAnsi="Arial" w:cs="Times New Roman" w:hint="eastAsia"/>
          <w:b/>
          <w:bCs/>
          <w:color w:val="0070C0"/>
          <w:kern w:val="0"/>
          <w:sz w:val="24"/>
          <w:szCs w:val="20"/>
          <w:lang w:val="en-GB"/>
        </w:rPr>
        <w:t>迎来用武之地</w:t>
      </w:r>
      <w:r w:rsidR="00166E52">
        <w:rPr>
          <w:rFonts w:ascii="Arial" w:eastAsia="楷体_GB2312" w:hAnsi="Arial" w:cs="Times New Roman" w:hint="eastAsia"/>
          <w:b/>
          <w:bCs/>
          <w:color w:val="0070C0"/>
          <w:kern w:val="0"/>
          <w:sz w:val="24"/>
          <w:szCs w:val="20"/>
          <w:lang w:val="en-GB"/>
        </w:rPr>
        <w:t>，</w:t>
      </w:r>
      <w:r w:rsidR="00BB73B1">
        <w:rPr>
          <w:rFonts w:ascii="Arial" w:eastAsia="楷体_GB2312" w:hAnsi="Arial" w:cs="Times New Roman" w:hint="eastAsia"/>
          <w:b/>
          <w:bCs/>
          <w:color w:val="0070C0"/>
          <w:kern w:val="0"/>
          <w:sz w:val="24"/>
          <w:szCs w:val="20"/>
          <w:lang w:val="en-GB"/>
        </w:rPr>
        <w:t>主动</w:t>
      </w:r>
      <w:r w:rsidR="00166E52">
        <w:rPr>
          <w:rFonts w:ascii="Arial" w:eastAsia="楷体_GB2312" w:hAnsi="Arial" w:cs="Times New Roman" w:hint="eastAsia"/>
          <w:b/>
          <w:bCs/>
          <w:color w:val="0070C0"/>
          <w:kern w:val="0"/>
          <w:sz w:val="24"/>
          <w:szCs w:val="20"/>
          <w:lang w:val="en-GB"/>
        </w:rPr>
        <w:t>出击把握主题轮换</w:t>
      </w:r>
    </w:p>
    <w:p w:rsidR="00437621" w:rsidRPr="001B1F02" w:rsidRDefault="006B2E9D" w:rsidP="00437621">
      <w:pPr>
        <w:pStyle w:val="ab"/>
        <w:numPr>
          <w:ilvl w:val="4"/>
          <w:numId w:val="1"/>
        </w:numPr>
        <w:spacing w:after="163"/>
        <w:rPr>
          <w:rFonts w:eastAsia="楷体_GB2312"/>
          <w:color w:val="auto"/>
        </w:rPr>
      </w:pPr>
      <w:r w:rsidRPr="001B1F02">
        <w:rPr>
          <w:rFonts w:eastAsia="楷体_GB2312" w:hint="eastAsia"/>
          <w:color w:val="auto"/>
        </w:rPr>
        <w:t>基金投资，无外乎为选人</w:t>
      </w:r>
      <w:r w:rsidR="004C61A7">
        <w:rPr>
          <w:rFonts w:eastAsia="楷体_GB2312" w:hint="eastAsia"/>
          <w:color w:val="auto"/>
        </w:rPr>
        <w:t>（即管理人的投资管理能力）</w:t>
      </w:r>
      <w:r w:rsidRPr="001B1F02">
        <w:rPr>
          <w:rFonts w:eastAsia="楷体_GB2312" w:hint="eastAsia"/>
          <w:color w:val="auto"/>
        </w:rPr>
        <w:t>或选产品</w:t>
      </w:r>
      <w:r w:rsidR="004C61A7">
        <w:rPr>
          <w:rFonts w:eastAsia="楷体_GB2312" w:hint="eastAsia"/>
          <w:color w:val="auto"/>
        </w:rPr>
        <w:t>。</w:t>
      </w:r>
      <w:r w:rsidR="000F17A4">
        <w:rPr>
          <w:rFonts w:eastAsia="楷体_GB2312" w:hint="eastAsia"/>
          <w:color w:val="auto"/>
        </w:rPr>
        <w:t>尽管</w:t>
      </w:r>
      <w:r w:rsidR="000F17A4">
        <w:rPr>
          <w:rFonts w:eastAsia="楷体_GB2312" w:hint="eastAsia"/>
          <w:color w:val="auto"/>
        </w:rPr>
        <w:t>2014</w:t>
      </w:r>
      <w:r w:rsidR="000F17A4">
        <w:rPr>
          <w:rFonts w:eastAsia="楷体_GB2312" w:hint="eastAsia"/>
          <w:color w:val="auto"/>
        </w:rPr>
        <w:t>年是主题投资年，但在速度与激情同时上演、</w:t>
      </w:r>
      <w:r w:rsidR="00D46067">
        <w:rPr>
          <w:rFonts w:eastAsia="楷体_GB2312" w:hint="eastAsia"/>
          <w:color w:val="auto"/>
        </w:rPr>
        <w:t>板块</w:t>
      </w:r>
      <w:r w:rsidR="00B61F72">
        <w:rPr>
          <w:rFonts w:eastAsia="楷体_GB2312" w:hint="eastAsia"/>
          <w:color w:val="auto"/>
        </w:rPr>
        <w:t>内部估值分化的预期下，</w:t>
      </w:r>
      <w:r w:rsidR="00B61F72">
        <w:rPr>
          <w:rFonts w:eastAsia="楷体_GB2312" w:hint="eastAsia"/>
          <w:color w:val="auto"/>
        </w:rPr>
        <w:t>2013</w:t>
      </w:r>
      <w:r w:rsidR="00B61F72">
        <w:rPr>
          <w:rFonts w:eastAsia="楷体_GB2312" w:hint="eastAsia"/>
          <w:color w:val="auto"/>
        </w:rPr>
        <w:t>年一直沉默的择时能力（包括大类资产配置以及主题间的灵活切换）将迎来用武之地，其对超额收益的贡献将上升，甚至整体上超过选股能力</w:t>
      </w:r>
      <w:r w:rsidR="00047DBC">
        <w:rPr>
          <w:rFonts w:eastAsia="楷体_GB2312" w:hint="eastAsia"/>
          <w:color w:val="auto"/>
        </w:rPr>
        <w:t>的</w:t>
      </w:r>
      <w:r w:rsidR="00B61F72">
        <w:rPr>
          <w:rFonts w:eastAsia="楷体_GB2312" w:hint="eastAsia"/>
          <w:color w:val="auto"/>
        </w:rPr>
        <w:t>贡献。</w:t>
      </w:r>
      <w:r w:rsidR="00680EC2">
        <w:rPr>
          <w:rFonts w:eastAsia="楷体_GB2312" w:hint="eastAsia"/>
          <w:color w:val="auto"/>
        </w:rPr>
        <w:t>因此，</w:t>
      </w:r>
      <w:r w:rsidR="00680EC2">
        <w:rPr>
          <w:rFonts w:eastAsia="楷体_GB2312" w:hint="eastAsia"/>
          <w:color w:val="auto"/>
        </w:rPr>
        <w:t>2014</w:t>
      </w:r>
      <w:r w:rsidR="00680EC2">
        <w:rPr>
          <w:rFonts w:eastAsia="楷体_GB2312" w:hint="eastAsia"/>
          <w:color w:val="auto"/>
        </w:rPr>
        <w:t>年在选人上，</w:t>
      </w:r>
      <w:r w:rsidR="00047DBC">
        <w:rPr>
          <w:rFonts w:eastAsia="楷体_GB2312" w:hint="eastAsia"/>
          <w:color w:val="auto"/>
        </w:rPr>
        <w:t>我们建议</w:t>
      </w:r>
      <w:r w:rsidR="00680EC2">
        <w:rPr>
          <w:rFonts w:eastAsia="楷体_GB2312" w:hint="eastAsia"/>
          <w:color w:val="auto"/>
        </w:rPr>
        <w:t>以择时能力</w:t>
      </w:r>
      <w:r w:rsidR="00047DBC">
        <w:rPr>
          <w:rFonts w:eastAsia="楷体_GB2312" w:hint="eastAsia"/>
          <w:color w:val="auto"/>
        </w:rPr>
        <w:t>为主要参考，选择能力为辅助（不妨聚焦到少数选股能力经过长期检验的基金经理）。选产品方面，</w:t>
      </w:r>
      <w:r w:rsidR="00C5104B">
        <w:rPr>
          <w:rFonts w:eastAsia="楷体_GB2312" w:hint="eastAsia"/>
          <w:color w:val="auto"/>
        </w:rPr>
        <w:t>则</w:t>
      </w:r>
      <w:r w:rsidR="002F6091">
        <w:rPr>
          <w:rFonts w:eastAsia="楷体_GB2312" w:hint="eastAsia"/>
          <w:color w:val="auto"/>
        </w:rPr>
        <w:t>建议</w:t>
      </w:r>
      <w:r w:rsidR="00C5104B">
        <w:rPr>
          <w:rFonts w:eastAsia="楷体_GB2312" w:hint="eastAsia"/>
          <w:color w:val="auto"/>
        </w:rPr>
        <w:t>顺应主题投资年的特点，</w:t>
      </w:r>
      <w:r w:rsidR="003B4D70">
        <w:rPr>
          <w:rFonts w:eastAsia="楷体_GB2312" w:hint="eastAsia"/>
          <w:color w:val="auto"/>
        </w:rPr>
        <w:t>在以主要投资</w:t>
      </w:r>
      <w:r w:rsidR="00310630">
        <w:rPr>
          <w:rFonts w:eastAsia="楷体_GB2312" w:hint="eastAsia"/>
          <w:color w:val="auto"/>
        </w:rPr>
        <w:t>大众消费</w:t>
      </w:r>
      <w:r w:rsidR="00BA1EA1">
        <w:rPr>
          <w:rFonts w:eastAsia="楷体_GB2312" w:hint="eastAsia"/>
          <w:color w:val="auto"/>
        </w:rPr>
        <w:t>品领域产品</w:t>
      </w:r>
      <w:r w:rsidR="003B4D70">
        <w:rPr>
          <w:rFonts w:eastAsia="楷体_GB2312" w:hint="eastAsia"/>
          <w:color w:val="auto"/>
        </w:rPr>
        <w:t>为相对持续的标的同时，依据</w:t>
      </w:r>
      <w:r w:rsidR="003B4D70" w:rsidRPr="003B4D70">
        <w:rPr>
          <w:rFonts w:eastAsia="楷体_GB2312" w:hint="eastAsia"/>
          <w:color w:val="auto"/>
        </w:rPr>
        <w:t>基金</w:t>
      </w:r>
      <w:r w:rsidR="003B4D70">
        <w:rPr>
          <w:rFonts w:eastAsia="楷体_GB2312" w:hint="eastAsia"/>
          <w:color w:val="auto"/>
        </w:rPr>
        <w:t>产品设计及持仓特征主动把握主题轮动</w:t>
      </w:r>
      <w:r w:rsidR="00F12333">
        <w:rPr>
          <w:rFonts w:eastAsia="楷体_GB2312" w:hint="eastAsia"/>
          <w:color w:val="auto"/>
        </w:rPr>
        <w:t>，同样</w:t>
      </w:r>
      <w:r w:rsidR="00BB73B1">
        <w:rPr>
          <w:rFonts w:eastAsia="楷体_GB2312" w:hint="eastAsia"/>
          <w:color w:val="auto"/>
        </w:rPr>
        <w:t>需要</w:t>
      </w:r>
      <w:r w:rsidR="00F12333">
        <w:rPr>
          <w:rFonts w:eastAsia="楷体_GB2312" w:hint="eastAsia"/>
          <w:color w:val="auto"/>
        </w:rPr>
        <w:t>灵活</w:t>
      </w:r>
      <w:r w:rsidR="00BB73B1">
        <w:rPr>
          <w:rFonts w:eastAsia="楷体_GB2312" w:hint="eastAsia"/>
          <w:color w:val="auto"/>
        </w:rPr>
        <w:t>性</w:t>
      </w:r>
      <w:r w:rsidR="003B4D70">
        <w:rPr>
          <w:rFonts w:eastAsia="楷体_GB2312" w:hint="eastAsia"/>
          <w:color w:val="auto"/>
        </w:rPr>
        <w:t>。</w:t>
      </w:r>
      <w:r w:rsidR="00D46067">
        <w:rPr>
          <w:rFonts w:eastAsia="楷体_GB2312" w:hint="eastAsia"/>
          <w:color w:val="auto"/>
        </w:rPr>
        <w:t>IPO</w:t>
      </w:r>
      <w:r w:rsidR="00D46067">
        <w:rPr>
          <w:rFonts w:eastAsia="楷体_GB2312" w:hint="eastAsia"/>
          <w:color w:val="auto"/>
        </w:rPr>
        <w:t>在新规下开闸，</w:t>
      </w:r>
      <w:r w:rsidR="00B660E1" w:rsidRPr="00B660E1">
        <w:rPr>
          <w:rFonts w:eastAsia="楷体_GB2312" w:hint="eastAsia"/>
          <w:color w:val="auto"/>
        </w:rPr>
        <w:t>新标的、新策略以及新产品，或带给投资者些许惊喜。</w:t>
      </w:r>
    </w:p>
    <w:p w:rsidR="00923534" w:rsidRPr="00923534" w:rsidRDefault="00710AF5" w:rsidP="00923534">
      <w:pPr>
        <w:widowControl/>
        <w:spacing w:after="120" w:line="240" w:lineRule="exact"/>
        <w:ind w:left="3430"/>
        <w:rPr>
          <w:rFonts w:ascii="Arial" w:eastAsia="楷体_GB2312" w:hAnsi="Arial" w:cs="Times New Roman"/>
          <w:b/>
          <w:bCs/>
          <w:color w:val="0070C0"/>
          <w:kern w:val="0"/>
          <w:szCs w:val="21"/>
          <w:lang w:val="en-GB"/>
        </w:rPr>
      </w:pPr>
      <w:r>
        <w:rPr>
          <w:rFonts w:ascii="Arial" w:eastAsia="楷体_GB2312" w:hAnsi="Arial" w:cs="Times New Roman" w:hint="eastAsia"/>
          <w:b/>
          <w:bCs/>
          <w:color w:val="0070C0"/>
          <w:kern w:val="0"/>
          <w:szCs w:val="21"/>
          <w:lang w:val="en-GB"/>
        </w:rPr>
        <w:t>灵活择时</w:t>
      </w:r>
      <w:r w:rsidR="00890E4A">
        <w:rPr>
          <w:rFonts w:ascii="Arial" w:eastAsia="楷体_GB2312" w:hAnsi="Arial" w:cs="Times New Roman" w:hint="eastAsia"/>
          <w:b/>
          <w:bCs/>
          <w:color w:val="0070C0"/>
          <w:kern w:val="0"/>
          <w:szCs w:val="21"/>
          <w:lang w:val="en-GB"/>
        </w:rPr>
        <w:t>操作</w:t>
      </w:r>
      <w:r>
        <w:rPr>
          <w:rFonts w:ascii="Arial" w:eastAsia="楷体_GB2312" w:hAnsi="Arial" w:cs="Times New Roman" w:hint="eastAsia"/>
          <w:b/>
          <w:bCs/>
          <w:color w:val="0070C0"/>
          <w:kern w:val="0"/>
          <w:szCs w:val="21"/>
          <w:lang w:val="en-GB"/>
        </w:rPr>
        <w:t>“增强”</w:t>
      </w:r>
      <w:r w:rsidR="004D04FC">
        <w:rPr>
          <w:rFonts w:ascii="Arial" w:eastAsia="楷体_GB2312" w:hAnsi="Arial" w:cs="Times New Roman" w:hint="eastAsia"/>
          <w:b/>
          <w:bCs/>
          <w:color w:val="0070C0"/>
          <w:kern w:val="0"/>
          <w:szCs w:val="21"/>
          <w:lang w:val="en-GB"/>
        </w:rPr>
        <w:t>收益</w:t>
      </w:r>
      <w:r w:rsidR="00890E4A">
        <w:rPr>
          <w:rFonts w:ascii="Arial" w:eastAsia="楷体_GB2312" w:hAnsi="Arial" w:cs="Times New Roman" w:hint="eastAsia"/>
          <w:b/>
          <w:bCs/>
          <w:color w:val="0070C0"/>
          <w:kern w:val="0"/>
          <w:szCs w:val="21"/>
          <w:lang w:val="en-GB"/>
        </w:rPr>
        <w:t>，选股</w:t>
      </w:r>
      <w:r w:rsidR="00AD1949">
        <w:rPr>
          <w:rFonts w:ascii="Arial" w:eastAsia="楷体_GB2312" w:hAnsi="Arial" w:cs="Times New Roman" w:hint="eastAsia"/>
          <w:b/>
          <w:bCs/>
          <w:color w:val="0070C0"/>
          <w:kern w:val="0"/>
          <w:szCs w:val="21"/>
          <w:lang w:val="en-GB"/>
        </w:rPr>
        <w:t>考验</w:t>
      </w:r>
      <w:r w:rsidR="00890E4A">
        <w:rPr>
          <w:rFonts w:ascii="Arial" w:eastAsia="楷体_GB2312" w:hAnsi="Arial" w:cs="Times New Roman" w:hint="eastAsia"/>
          <w:b/>
          <w:bCs/>
          <w:color w:val="0070C0"/>
          <w:kern w:val="0"/>
          <w:szCs w:val="21"/>
          <w:lang w:val="en-GB"/>
        </w:rPr>
        <w:t>本事而非“胆识”</w:t>
      </w:r>
    </w:p>
    <w:p w:rsidR="00262E05" w:rsidRPr="006B21B0" w:rsidRDefault="005D1680" w:rsidP="005D1680">
      <w:pPr>
        <w:pStyle w:val="ab"/>
        <w:numPr>
          <w:ilvl w:val="4"/>
          <w:numId w:val="1"/>
        </w:numPr>
        <w:spacing w:after="163"/>
        <w:rPr>
          <w:rFonts w:eastAsia="楷体_GB2312"/>
          <w:color w:val="auto"/>
        </w:rPr>
      </w:pPr>
      <w:r w:rsidRPr="006B21B0">
        <w:rPr>
          <w:rFonts w:eastAsia="楷体_GB2312" w:hint="eastAsia"/>
          <w:color w:val="auto"/>
        </w:rPr>
        <w:t>市场不仅有风格的轮换，基金投资管理能力对超额收益的贡献亦存在轮换。观察过往七年影响基金间业绩差异化的因素看到：</w:t>
      </w:r>
      <w:r w:rsidRPr="006B21B0">
        <w:rPr>
          <w:rFonts w:eastAsia="楷体_GB2312" w:hint="eastAsia"/>
          <w:color w:val="auto"/>
        </w:rPr>
        <w:t>2007</w:t>
      </w:r>
      <w:r w:rsidRPr="006B21B0">
        <w:rPr>
          <w:rFonts w:eastAsia="楷体_GB2312" w:hint="eastAsia"/>
          <w:color w:val="auto"/>
        </w:rPr>
        <w:t>年～</w:t>
      </w:r>
      <w:r w:rsidRPr="006B21B0">
        <w:rPr>
          <w:rFonts w:eastAsia="楷体_GB2312" w:hint="eastAsia"/>
          <w:color w:val="auto"/>
        </w:rPr>
        <w:t>2008</w:t>
      </w:r>
      <w:r w:rsidRPr="006B21B0">
        <w:rPr>
          <w:rFonts w:eastAsia="楷体_GB2312" w:hint="eastAsia"/>
          <w:color w:val="auto"/>
        </w:rPr>
        <w:t>年的单边上涨</w:t>
      </w:r>
      <w:r w:rsidRPr="006B21B0">
        <w:rPr>
          <w:rFonts w:eastAsia="楷体_GB2312" w:hint="eastAsia"/>
          <w:color w:val="auto"/>
        </w:rPr>
        <w:t>/</w:t>
      </w:r>
      <w:r w:rsidRPr="006B21B0">
        <w:rPr>
          <w:rFonts w:eastAsia="楷体_GB2312" w:hint="eastAsia"/>
          <w:color w:val="auto"/>
        </w:rPr>
        <w:t>下跌行情中</w:t>
      </w:r>
      <w:r w:rsidR="00C56873">
        <w:rPr>
          <w:rFonts w:eastAsia="楷体_GB2312" w:hint="eastAsia"/>
          <w:color w:val="auto"/>
        </w:rPr>
        <w:t>，</w:t>
      </w:r>
      <w:r w:rsidRPr="006B21B0">
        <w:rPr>
          <w:rFonts w:eastAsia="楷体_GB2312" w:hint="eastAsia"/>
          <w:color w:val="auto"/>
        </w:rPr>
        <w:t>大类资产配置是主导因素，仓位基本决定成败</w:t>
      </w:r>
      <w:r w:rsidR="006B21B0" w:rsidRPr="006B21B0">
        <w:rPr>
          <w:rFonts w:eastAsia="楷体_GB2312" w:hint="eastAsia"/>
          <w:color w:val="auto"/>
        </w:rPr>
        <w:t>；</w:t>
      </w:r>
      <w:r w:rsidRPr="006B21B0">
        <w:rPr>
          <w:rFonts w:eastAsia="楷体_GB2312" w:hint="eastAsia"/>
          <w:color w:val="auto"/>
        </w:rPr>
        <w:t>2009</w:t>
      </w:r>
      <w:r w:rsidRPr="006B21B0">
        <w:rPr>
          <w:rFonts w:eastAsia="楷体_GB2312" w:hint="eastAsia"/>
          <w:color w:val="auto"/>
        </w:rPr>
        <w:t>年取而代之的是行业配置选择，从上半年的周期性行业到下半年的稳定增长行业，把握行业转换结构的基金产品胜出；</w:t>
      </w:r>
      <w:r w:rsidRPr="006B21B0">
        <w:rPr>
          <w:rFonts w:eastAsia="楷体_GB2312" w:hint="eastAsia"/>
          <w:color w:val="auto"/>
        </w:rPr>
        <w:t>2010</w:t>
      </w:r>
      <w:r w:rsidR="006B21B0">
        <w:rPr>
          <w:rFonts w:eastAsia="楷体_GB2312" w:hint="eastAsia"/>
          <w:color w:val="auto"/>
        </w:rPr>
        <w:t>年主导因素进一步转换为选股能力，并演绎的淋漓尽致；</w:t>
      </w:r>
      <w:r w:rsidR="006B21B0">
        <w:rPr>
          <w:rFonts w:eastAsia="楷体_GB2312" w:hint="eastAsia"/>
          <w:color w:val="auto"/>
        </w:rPr>
        <w:t>2011</w:t>
      </w:r>
      <w:r w:rsidR="006B21B0">
        <w:rPr>
          <w:rFonts w:eastAsia="楷体_GB2312" w:hint="eastAsia"/>
          <w:color w:val="auto"/>
        </w:rPr>
        <w:t>年</w:t>
      </w:r>
      <w:r w:rsidR="006B21B0">
        <w:rPr>
          <w:rFonts w:eastAsia="楷体_GB2312" w:hint="eastAsia"/>
          <w:color w:val="auto"/>
        </w:rPr>
        <w:t>~2012</w:t>
      </w:r>
      <w:r w:rsidR="006B21B0">
        <w:rPr>
          <w:rFonts w:eastAsia="楷体_GB2312" w:hint="eastAsia"/>
          <w:color w:val="auto"/>
        </w:rPr>
        <w:t>年资产配置</w:t>
      </w:r>
      <w:r w:rsidR="005346AF">
        <w:rPr>
          <w:rFonts w:eastAsia="楷体_GB2312" w:hint="eastAsia"/>
          <w:color w:val="auto"/>
        </w:rPr>
        <w:t>再度成为基金间业绩差异的主要因素；</w:t>
      </w:r>
      <w:r w:rsidR="001161DB" w:rsidRPr="00E24AD6">
        <w:rPr>
          <w:rFonts w:eastAsia="楷体_GB2312" w:hint="eastAsia"/>
          <w:color w:val="auto"/>
        </w:rPr>
        <w:t>2013</w:t>
      </w:r>
      <w:r w:rsidR="001161DB" w:rsidRPr="00E24AD6">
        <w:rPr>
          <w:rFonts w:eastAsia="楷体_GB2312" w:hint="eastAsia"/>
          <w:color w:val="auto"/>
        </w:rPr>
        <w:t>年以创业板为代表成长股呈现鸡犬升天的格局，基金经理的选股能力甚至“胆识”</w:t>
      </w:r>
      <w:r w:rsidR="001161DB">
        <w:rPr>
          <w:rFonts w:eastAsia="楷体_GB2312" w:hint="eastAsia"/>
          <w:color w:val="auto"/>
        </w:rPr>
        <w:t>再度</w:t>
      </w:r>
      <w:r w:rsidR="001161DB" w:rsidRPr="00E24AD6">
        <w:rPr>
          <w:rFonts w:eastAsia="楷体_GB2312" w:hint="eastAsia"/>
          <w:color w:val="auto"/>
        </w:rPr>
        <w:t>成为基金间业绩差异的主要因素。</w:t>
      </w:r>
    </w:p>
    <w:p w:rsidR="007A6887" w:rsidRDefault="00B970ED" w:rsidP="00FD2A05">
      <w:pPr>
        <w:pStyle w:val="ab"/>
        <w:numPr>
          <w:ilvl w:val="4"/>
          <w:numId w:val="1"/>
        </w:numPr>
        <w:spacing w:after="163"/>
        <w:rPr>
          <w:rFonts w:eastAsia="楷体_GB2312"/>
          <w:color w:val="auto"/>
        </w:rPr>
      </w:pPr>
      <w:r w:rsidRPr="006163BB">
        <w:rPr>
          <w:rFonts w:eastAsia="楷体_GB2312" w:hint="eastAsia"/>
          <w:color w:val="auto"/>
        </w:rPr>
        <w:t>如上所述</w:t>
      </w:r>
      <w:r w:rsidR="00EF4FDD" w:rsidRPr="006163BB">
        <w:rPr>
          <w:rFonts w:eastAsia="楷体_GB2312" w:hint="eastAsia"/>
          <w:color w:val="auto"/>
        </w:rPr>
        <w:t>，</w:t>
      </w:r>
      <w:r w:rsidRPr="006163BB">
        <w:rPr>
          <w:rFonts w:eastAsia="楷体_GB2312" w:hint="eastAsia"/>
          <w:color w:val="auto"/>
        </w:rPr>
        <w:t>2014</w:t>
      </w:r>
      <w:r w:rsidRPr="006163BB">
        <w:rPr>
          <w:rFonts w:eastAsia="楷体_GB2312" w:hint="eastAsia"/>
          <w:color w:val="auto"/>
        </w:rPr>
        <w:t>年作为主题投资年，市场投资主题无论是机会的演绎还是风险的释放，预计都将呈现频繁、脉冲式特征，同时各板块间轮动亦将加快。</w:t>
      </w:r>
      <w:r w:rsidR="00D126BD" w:rsidRPr="006163BB">
        <w:rPr>
          <w:rFonts w:eastAsia="楷体_GB2312" w:hint="eastAsia"/>
          <w:color w:val="auto"/>
        </w:rPr>
        <w:t>另外，债市持续调整</w:t>
      </w:r>
      <w:r w:rsidR="00B506C7" w:rsidRPr="006163BB">
        <w:rPr>
          <w:rFonts w:eastAsia="楷体_GB2312" w:hint="eastAsia"/>
          <w:color w:val="auto"/>
        </w:rPr>
        <w:t>、收益率处于高位的情况</w:t>
      </w:r>
      <w:r w:rsidR="00D126BD" w:rsidRPr="006163BB">
        <w:rPr>
          <w:rFonts w:eastAsia="楷体_GB2312" w:hint="eastAsia"/>
          <w:color w:val="auto"/>
        </w:rPr>
        <w:t>下，</w:t>
      </w:r>
      <w:r w:rsidR="00D126BD" w:rsidRPr="006163BB">
        <w:rPr>
          <w:rFonts w:eastAsia="楷体_GB2312" w:hint="eastAsia"/>
          <w:color w:val="auto"/>
        </w:rPr>
        <w:t>2014</w:t>
      </w:r>
      <w:r w:rsidR="00D126BD" w:rsidRPr="006163BB">
        <w:rPr>
          <w:rFonts w:eastAsia="楷体_GB2312" w:hint="eastAsia"/>
          <w:color w:val="auto"/>
        </w:rPr>
        <w:t>年</w:t>
      </w:r>
      <w:r w:rsidR="00262E05" w:rsidRPr="006163BB">
        <w:rPr>
          <w:rFonts w:eastAsia="楷体_GB2312" w:hint="eastAsia"/>
          <w:color w:val="auto"/>
        </w:rPr>
        <w:t>资本市场</w:t>
      </w:r>
      <w:r w:rsidR="00D126BD" w:rsidRPr="006163BB">
        <w:rPr>
          <w:rFonts w:eastAsia="楷体_GB2312" w:hint="eastAsia"/>
          <w:color w:val="auto"/>
        </w:rPr>
        <w:t>或出现</w:t>
      </w:r>
      <w:r w:rsidR="009D0CC8" w:rsidRPr="006163BB">
        <w:rPr>
          <w:rFonts w:eastAsia="楷体_GB2312" w:hint="eastAsia"/>
          <w:color w:val="auto"/>
        </w:rPr>
        <w:t>一两波</w:t>
      </w:r>
      <w:r w:rsidR="00D126BD" w:rsidRPr="006163BB">
        <w:rPr>
          <w:rFonts w:eastAsia="楷体_GB2312" w:hint="eastAsia"/>
          <w:color w:val="auto"/>
        </w:rPr>
        <w:t>大类资产配置机会。</w:t>
      </w:r>
      <w:r w:rsidR="00CB30DB" w:rsidRPr="006163BB">
        <w:rPr>
          <w:rFonts w:eastAsia="楷体_GB2312" w:hint="eastAsia"/>
          <w:color w:val="auto"/>
        </w:rPr>
        <w:t>在此背景下，基金经理的择时操作将</w:t>
      </w:r>
      <w:r w:rsidR="00FB4BA6" w:rsidRPr="006163BB">
        <w:rPr>
          <w:rFonts w:eastAsia="楷体_GB2312" w:hint="eastAsia"/>
          <w:color w:val="auto"/>
        </w:rPr>
        <w:t>将迎来用武之地</w:t>
      </w:r>
      <w:r w:rsidR="00CB30DB" w:rsidRPr="006163BB">
        <w:rPr>
          <w:rFonts w:eastAsia="楷体_GB2312" w:hint="eastAsia"/>
          <w:color w:val="auto"/>
        </w:rPr>
        <w:t>，无论是股债</w:t>
      </w:r>
      <w:r w:rsidR="00FB4BA6" w:rsidRPr="006163BB">
        <w:rPr>
          <w:rFonts w:eastAsia="楷体_GB2312" w:hint="eastAsia"/>
          <w:color w:val="auto"/>
        </w:rPr>
        <w:t>间的</w:t>
      </w:r>
      <w:r w:rsidR="00CB30DB" w:rsidRPr="006163BB">
        <w:rPr>
          <w:rFonts w:eastAsia="楷体_GB2312" w:hint="eastAsia"/>
          <w:color w:val="auto"/>
        </w:rPr>
        <w:t>大类资产配置，还是针对改革相关板块的灵活配置轮换，都将成为基金获取超额收益的重要方式。</w:t>
      </w:r>
    </w:p>
    <w:p w:rsidR="007A6887" w:rsidRDefault="00FB4BA6" w:rsidP="00FD2A05">
      <w:pPr>
        <w:pStyle w:val="ab"/>
        <w:numPr>
          <w:ilvl w:val="4"/>
          <w:numId w:val="1"/>
        </w:numPr>
        <w:spacing w:after="163"/>
        <w:rPr>
          <w:rFonts w:eastAsia="楷体_GB2312"/>
          <w:color w:val="auto"/>
        </w:rPr>
      </w:pPr>
      <w:r w:rsidRPr="006163BB">
        <w:rPr>
          <w:rFonts w:eastAsia="楷体_GB2312" w:hint="eastAsia"/>
          <w:color w:val="auto"/>
        </w:rPr>
        <w:t>相对而言</w:t>
      </w:r>
      <w:r w:rsidR="0018327F" w:rsidRPr="006163BB">
        <w:rPr>
          <w:rFonts w:eastAsia="楷体_GB2312" w:hint="eastAsia"/>
          <w:color w:val="auto"/>
        </w:rPr>
        <w:t>，随着股价高涨后估值水平的高企，以及时间推移下伪成长股逐步露出狐狸尾巴，成长股</w:t>
      </w:r>
      <w:r w:rsidRPr="006163BB">
        <w:rPr>
          <w:rFonts w:eastAsia="楷体_GB2312" w:hint="eastAsia"/>
          <w:color w:val="auto"/>
        </w:rPr>
        <w:t>或者说主题投资</w:t>
      </w:r>
      <w:r w:rsidR="0018327F" w:rsidRPr="006163BB">
        <w:rPr>
          <w:rFonts w:eastAsia="楷体_GB2312" w:hint="eastAsia"/>
          <w:color w:val="auto"/>
        </w:rPr>
        <w:t>内部行情将分化。在此背景下，大小盘股间的风格轮换也将随之让位于业绩增长，只有真正具有良好业绩及估值的个股才具有进一步创新高的机会。这将对基金经理</w:t>
      </w:r>
      <w:r w:rsidR="00EA7EC1" w:rsidRPr="006163BB">
        <w:rPr>
          <w:rFonts w:eastAsia="楷体_GB2312" w:hint="eastAsia"/>
          <w:color w:val="auto"/>
        </w:rPr>
        <w:t>真正的</w:t>
      </w:r>
      <w:r w:rsidR="0018327F" w:rsidRPr="006163BB">
        <w:rPr>
          <w:rFonts w:eastAsia="楷体_GB2312" w:hint="eastAsia"/>
          <w:color w:val="auto"/>
        </w:rPr>
        <w:t>选股能力提出严峻考验，靠“胆识”过日子的时代一去不复返。</w:t>
      </w:r>
    </w:p>
    <w:p w:rsidR="007536ED" w:rsidRDefault="00411A44" w:rsidP="00780947">
      <w:pPr>
        <w:pStyle w:val="ab"/>
        <w:numPr>
          <w:ilvl w:val="4"/>
          <w:numId w:val="1"/>
        </w:numPr>
        <w:spacing w:after="3000"/>
        <w:rPr>
          <w:rFonts w:eastAsia="楷体_GB2312"/>
          <w:color w:val="auto"/>
        </w:rPr>
      </w:pPr>
      <w:r w:rsidRPr="006163BB">
        <w:rPr>
          <w:rFonts w:eastAsia="楷体_GB2312" w:hint="eastAsia"/>
          <w:color w:val="auto"/>
        </w:rPr>
        <w:t>因此</w:t>
      </w:r>
      <w:r w:rsidR="00081118" w:rsidRPr="006163BB">
        <w:rPr>
          <w:rFonts w:eastAsia="楷体_GB2312" w:hint="eastAsia"/>
          <w:color w:val="auto"/>
        </w:rPr>
        <w:t>，在基金经理选股能力和择时能力的两件武器选择上，</w:t>
      </w:r>
      <w:r w:rsidR="007079A7">
        <w:rPr>
          <w:rFonts w:eastAsia="楷体_GB2312" w:hint="eastAsia"/>
          <w:color w:val="auto"/>
        </w:rPr>
        <w:t>从整个行业角度出发，</w:t>
      </w:r>
      <w:r w:rsidR="00081118" w:rsidRPr="006163BB">
        <w:rPr>
          <w:rFonts w:eastAsia="楷体_GB2312" w:hint="eastAsia"/>
          <w:color w:val="auto"/>
        </w:rPr>
        <w:t>2014</w:t>
      </w:r>
      <w:r w:rsidR="00081118" w:rsidRPr="006163BB">
        <w:rPr>
          <w:rFonts w:eastAsia="楷体_GB2312" w:hint="eastAsia"/>
          <w:color w:val="auto"/>
        </w:rPr>
        <w:t>年我们首选</w:t>
      </w:r>
      <w:r w:rsidR="00C77C22">
        <w:rPr>
          <w:rFonts w:eastAsia="楷体_GB2312" w:hint="eastAsia"/>
          <w:color w:val="auto"/>
        </w:rPr>
        <w:t>择时能力</w:t>
      </w:r>
      <w:r w:rsidRPr="006163BB">
        <w:rPr>
          <w:rFonts w:eastAsia="楷体_GB2312" w:hint="eastAsia"/>
          <w:color w:val="auto"/>
        </w:rPr>
        <w:t>，</w:t>
      </w:r>
      <w:r w:rsidR="006163BB" w:rsidRPr="006163BB">
        <w:rPr>
          <w:rFonts w:eastAsia="楷体_GB2312" w:hint="eastAsia"/>
          <w:color w:val="auto"/>
        </w:rPr>
        <w:t>将</w:t>
      </w:r>
      <w:r w:rsidR="00C77C22">
        <w:rPr>
          <w:rFonts w:eastAsia="楷体_GB2312" w:hint="eastAsia"/>
          <w:color w:val="auto"/>
        </w:rPr>
        <w:t>选股</w:t>
      </w:r>
      <w:r w:rsidRPr="006163BB">
        <w:rPr>
          <w:rFonts w:eastAsia="楷体_GB2312" w:hint="eastAsia"/>
          <w:color w:val="auto"/>
        </w:rPr>
        <w:t>能力为辅助</w:t>
      </w:r>
      <w:r w:rsidR="006163BB" w:rsidRPr="006163BB">
        <w:rPr>
          <w:rFonts w:eastAsia="楷体_GB2312" w:hint="eastAsia"/>
          <w:color w:val="auto"/>
        </w:rPr>
        <w:t>。</w:t>
      </w:r>
      <w:r w:rsidR="007536ED">
        <w:rPr>
          <w:rFonts w:eastAsia="楷体_GB2312" w:hint="eastAsia"/>
          <w:color w:val="auto"/>
        </w:rPr>
        <w:t>我们通过量化方式，对基金经理</w:t>
      </w:r>
      <w:r w:rsidR="00C77C22">
        <w:rPr>
          <w:rFonts w:eastAsia="楷体_GB2312" w:hint="eastAsia"/>
          <w:color w:val="auto"/>
        </w:rPr>
        <w:t>的</w:t>
      </w:r>
      <w:r w:rsidR="007536ED">
        <w:rPr>
          <w:rFonts w:eastAsia="楷体_GB2312" w:hint="eastAsia"/>
          <w:color w:val="auto"/>
        </w:rPr>
        <w:t>主动择时操作的效果</w:t>
      </w:r>
      <w:r w:rsidR="00315A5E">
        <w:rPr>
          <w:rFonts w:eastAsia="楷体_GB2312" w:hint="eastAsia"/>
          <w:color w:val="auto"/>
        </w:rPr>
        <w:t>（依据市场变化灵活调整组合贝塔值的效果）</w:t>
      </w:r>
      <w:r w:rsidR="007536ED">
        <w:rPr>
          <w:rFonts w:eastAsia="楷体_GB2312" w:hint="eastAsia"/>
          <w:color w:val="auto"/>
        </w:rPr>
        <w:t>进行比较。结果显示，下述基金经理表现出相对优势的择时操作能力，其管理的基金产品</w:t>
      </w:r>
      <w:r w:rsidR="004D04FC">
        <w:rPr>
          <w:rFonts w:eastAsia="楷体_GB2312" w:hint="eastAsia"/>
          <w:color w:val="auto"/>
        </w:rPr>
        <w:t>值得重点关注。</w:t>
      </w:r>
    </w:p>
    <w:tbl>
      <w:tblPr>
        <w:tblW w:w="10771" w:type="dxa"/>
        <w:tblLayout w:type="fixed"/>
        <w:tblCellMar>
          <w:left w:w="0" w:type="dxa"/>
          <w:right w:w="0" w:type="dxa"/>
        </w:tblCellMar>
        <w:tblLook w:val="0000"/>
      </w:tblPr>
      <w:tblGrid>
        <w:gridCol w:w="5272"/>
        <w:gridCol w:w="227"/>
        <w:gridCol w:w="880"/>
        <w:gridCol w:w="4392"/>
      </w:tblGrid>
      <w:tr w:rsidR="00307014" w:rsidRPr="00837084" w:rsidTr="00287491">
        <w:trPr>
          <w:cantSplit/>
          <w:trHeight w:val="368"/>
        </w:trPr>
        <w:tc>
          <w:tcPr>
            <w:tcW w:w="5272" w:type="dxa"/>
            <w:tcBorders>
              <w:top w:val="single" w:sz="6" w:space="0" w:color="FF6600"/>
              <w:bottom w:val="single" w:sz="6" w:space="0" w:color="FF6600"/>
            </w:tcBorders>
            <w:shd w:val="clear" w:color="auto" w:fill="auto"/>
            <w:vAlign w:val="center"/>
          </w:tcPr>
          <w:p w:rsidR="00307014" w:rsidRDefault="00307014" w:rsidP="00307014">
            <w:pPr>
              <w:pStyle w:val="SubTitleLargeTable"/>
              <w:pBdr>
                <w:top w:val="none" w:sz="0" w:space="0" w:color="auto"/>
              </w:pBdr>
            </w:pPr>
            <w:r w:rsidRPr="001609A2">
              <w:rPr>
                <w:rFonts w:eastAsia="楷体_GB2312"/>
                <w:color w:val="FF6600"/>
              </w:rPr>
              <w:lastRenderedPageBreak/>
              <w:t>图表</w:t>
            </w:r>
            <w:r>
              <w:rPr>
                <w:rFonts w:eastAsia="楷体_GB2312" w:hint="eastAsia"/>
                <w:color w:val="FF6600"/>
              </w:rPr>
              <w:t>10</w:t>
            </w:r>
            <w:r w:rsidRPr="001609A2">
              <w:rPr>
                <w:rFonts w:eastAsia="楷体_GB2312" w:hint="eastAsia"/>
                <w:color w:val="FF6600"/>
              </w:rPr>
              <w:t>：</w:t>
            </w:r>
            <w:r>
              <w:rPr>
                <w:rFonts w:eastAsia="楷体_GB2312" w:hint="eastAsia"/>
                <w:color w:val="FF6600"/>
              </w:rPr>
              <w:t>基金投资管理能力对业绩贡献变化</w:t>
            </w:r>
          </w:p>
        </w:tc>
        <w:tc>
          <w:tcPr>
            <w:tcW w:w="227" w:type="dxa"/>
            <w:vAlign w:val="center"/>
          </w:tcPr>
          <w:p w:rsidR="00307014" w:rsidRPr="00837084" w:rsidRDefault="00307014" w:rsidP="00EB0F8A">
            <w:pPr>
              <w:jc w:val="center"/>
            </w:pPr>
          </w:p>
        </w:tc>
        <w:tc>
          <w:tcPr>
            <w:tcW w:w="5272" w:type="dxa"/>
            <w:gridSpan w:val="2"/>
            <w:tcBorders>
              <w:top w:val="single" w:sz="6" w:space="0" w:color="FF6600"/>
              <w:bottom w:val="single" w:sz="6" w:space="0" w:color="FF6600"/>
            </w:tcBorders>
            <w:shd w:val="clear" w:color="auto" w:fill="auto"/>
            <w:vAlign w:val="center"/>
          </w:tcPr>
          <w:p w:rsidR="00307014" w:rsidRPr="00F12D44" w:rsidRDefault="00307014" w:rsidP="00307014">
            <w:pPr>
              <w:pStyle w:val="SubTitleLargeTable"/>
              <w:pBdr>
                <w:top w:val="none" w:sz="0" w:space="0" w:color="auto"/>
              </w:pBdr>
            </w:pPr>
            <w:r w:rsidRPr="001609A2">
              <w:rPr>
                <w:rFonts w:eastAsia="楷体_GB2312"/>
                <w:color w:val="FF6600"/>
              </w:rPr>
              <w:t>图表</w:t>
            </w:r>
            <w:r>
              <w:rPr>
                <w:rFonts w:eastAsia="楷体_GB2312" w:hint="eastAsia"/>
                <w:color w:val="FF6600"/>
              </w:rPr>
              <w:t>11</w:t>
            </w:r>
            <w:r w:rsidRPr="001609A2">
              <w:rPr>
                <w:rFonts w:eastAsia="楷体_GB2312" w:hint="eastAsia"/>
                <w:color w:val="FF6600"/>
              </w:rPr>
              <w:t>：</w:t>
            </w:r>
            <w:r>
              <w:rPr>
                <w:rFonts w:eastAsia="楷体_GB2312" w:hint="eastAsia"/>
                <w:color w:val="FF6600"/>
              </w:rPr>
              <w:t>主动择时操作效果突出基金经理及管理产品</w:t>
            </w:r>
          </w:p>
        </w:tc>
      </w:tr>
      <w:tr w:rsidR="00287491" w:rsidRPr="00837084" w:rsidTr="002F6876">
        <w:trPr>
          <w:cantSplit/>
          <w:trHeight w:val="340"/>
        </w:trPr>
        <w:tc>
          <w:tcPr>
            <w:tcW w:w="5272" w:type="dxa"/>
            <w:vMerge w:val="restart"/>
            <w:tcBorders>
              <w:top w:val="single" w:sz="6" w:space="0" w:color="FF6600"/>
            </w:tcBorders>
            <w:shd w:val="clear" w:color="auto" w:fill="auto"/>
            <w:vAlign w:val="center"/>
          </w:tcPr>
          <w:p w:rsidR="00287491" w:rsidRDefault="00287491" w:rsidP="00EB0F8A">
            <w:pPr>
              <w:jc w:val="center"/>
            </w:pPr>
            <w:r>
              <w:rPr>
                <w:noProof/>
              </w:rPr>
              <w:drawing>
                <wp:inline distT="0" distB="0" distL="0" distR="0">
                  <wp:extent cx="3347720" cy="1952625"/>
                  <wp:effectExtent l="0" t="0" r="0" b="0"/>
                  <wp:docPr id="14" name="图示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c>
          <w:tcPr>
            <w:tcW w:w="227" w:type="dxa"/>
            <w:vMerge w:val="restart"/>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b/>
                <w:bCs/>
                <w:color w:val="000000"/>
                <w:sz w:val="20"/>
                <w:szCs w:val="20"/>
              </w:rPr>
            </w:pPr>
            <w:r>
              <w:rPr>
                <w:rFonts w:hint="eastAsia"/>
                <w:b/>
                <w:bCs/>
                <w:color w:val="000000"/>
                <w:sz w:val="20"/>
                <w:szCs w:val="20"/>
              </w:rPr>
              <w:t>基金经理</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b/>
                <w:bCs/>
                <w:color w:val="000000"/>
                <w:sz w:val="20"/>
                <w:szCs w:val="20"/>
              </w:rPr>
            </w:pPr>
            <w:r>
              <w:rPr>
                <w:rFonts w:hint="eastAsia"/>
                <w:b/>
                <w:bCs/>
                <w:color w:val="000000"/>
                <w:sz w:val="20"/>
                <w:szCs w:val="20"/>
              </w:rPr>
              <w:t>管理产品</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陈军</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中银中国混合、中银收益混合、中银美丽中国股票</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陈勤</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嘉实服务增值行业混合、嘉实价值优势股票</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陈少平</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泰达宏利中小盘股票</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何云峰</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易方达积极成长混合</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李洪雨</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农银策略价值股票、农银汇理大盘蓝筹股票</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齐东超</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汇添富成长焦点股票、汇添富民营活力股票</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钱睿南</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银河稳健混合</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邵健</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嘉实增长混合、嘉实优质企业股票</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张晓东</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国富弹性市值股票、国富深化价值股票</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张卓</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鹏华普天收益混合</w:t>
            </w:r>
          </w:p>
        </w:tc>
      </w:tr>
      <w:tr w:rsidR="00287491" w:rsidRPr="00837084" w:rsidTr="002F6876">
        <w:trPr>
          <w:cantSplit/>
          <w:trHeight w:val="340"/>
        </w:trPr>
        <w:tc>
          <w:tcPr>
            <w:tcW w:w="5272" w:type="dxa"/>
            <w:vMerge/>
            <w:shd w:val="clear" w:color="auto" w:fill="auto"/>
            <w:vAlign w:val="center"/>
          </w:tcPr>
          <w:p w:rsidR="00287491" w:rsidRDefault="00287491" w:rsidP="00EB0F8A">
            <w:pPr>
              <w:jc w:val="center"/>
              <w:rPr>
                <w:noProof/>
              </w:rPr>
            </w:pPr>
          </w:p>
        </w:tc>
        <w:tc>
          <w:tcPr>
            <w:tcW w:w="227" w:type="dxa"/>
            <w:vMerge/>
            <w:vAlign w:val="center"/>
          </w:tcPr>
          <w:p w:rsidR="00287491" w:rsidRPr="00837084" w:rsidRDefault="00287491" w:rsidP="00EB0F8A">
            <w:pPr>
              <w:jc w:val="center"/>
            </w:pPr>
          </w:p>
        </w:tc>
        <w:tc>
          <w:tcPr>
            <w:tcW w:w="880" w:type="dxa"/>
            <w:tcBorders>
              <w:top w:val="single" w:sz="6" w:space="0" w:color="FF6600"/>
              <w:bottom w:val="single" w:sz="6" w:space="0" w:color="FF6600"/>
              <w:right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周蔚文</w:t>
            </w:r>
          </w:p>
        </w:tc>
        <w:tc>
          <w:tcPr>
            <w:tcW w:w="4392" w:type="dxa"/>
            <w:tcBorders>
              <w:top w:val="single" w:sz="6" w:space="0" w:color="FF6600"/>
              <w:left w:val="single" w:sz="6" w:space="0" w:color="FF6600"/>
              <w:bottom w:val="single" w:sz="6" w:space="0" w:color="FF6600"/>
            </w:tcBorders>
            <w:shd w:val="clear" w:color="auto" w:fill="auto"/>
            <w:vAlign w:val="center"/>
          </w:tcPr>
          <w:p w:rsidR="00287491" w:rsidRDefault="00287491" w:rsidP="00287491">
            <w:pPr>
              <w:snapToGrid w:val="0"/>
              <w:jc w:val="center"/>
              <w:rPr>
                <w:rFonts w:ascii="宋体" w:eastAsia="宋体" w:hAnsi="宋体" w:cs="宋体"/>
                <w:color w:val="000000"/>
                <w:sz w:val="20"/>
                <w:szCs w:val="20"/>
              </w:rPr>
            </w:pPr>
            <w:r>
              <w:rPr>
                <w:rFonts w:hint="eastAsia"/>
                <w:color w:val="000000"/>
                <w:sz w:val="20"/>
                <w:szCs w:val="20"/>
              </w:rPr>
              <w:t>中欧新趋势股票</w:t>
            </w:r>
            <w:r>
              <w:rPr>
                <w:rFonts w:hint="eastAsia"/>
                <w:color w:val="000000"/>
                <w:sz w:val="20"/>
                <w:szCs w:val="20"/>
              </w:rPr>
              <w:t>(LOF)</w:t>
            </w:r>
            <w:r>
              <w:rPr>
                <w:rFonts w:hint="eastAsia"/>
                <w:color w:val="000000"/>
                <w:sz w:val="20"/>
                <w:szCs w:val="20"/>
              </w:rPr>
              <w:t>、中欧新蓝筹混合</w:t>
            </w:r>
          </w:p>
        </w:tc>
      </w:tr>
      <w:tr w:rsidR="00287491" w:rsidRPr="00837084" w:rsidTr="002F6876">
        <w:trPr>
          <w:cantSplit/>
          <w:trHeight w:val="340"/>
        </w:trPr>
        <w:tc>
          <w:tcPr>
            <w:tcW w:w="5272" w:type="dxa"/>
            <w:tcBorders>
              <w:bottom w:val="single" w:sz="6" w:space="0" w:color="FF6600"/>
            </w:tcBorders>
            <w:shd w:val="clear" w:color="auto" w:fill="auto"/>
            <w:vAlign w:val="center"/>
          </w:tcPr>
          <w:p w:rsidR="00287491" w:rsidRDefault="00287491" w:rsidP="00EB0F8A">
            <w:pPr>
              <w:jc w:val="center"/>
              <w:rPr>
                <w:noProof/>
              </w:rPr>
            </w:pPr>
          </w:p>
        </w:tc>
        <w:tc>
          <w:tcPr>
            <w:tcW w:w="227" w:type="dxa"/>
            <w:vAlign w:val="center"/>
          </w:tcPr>
          <w:p w:rsidR="00287491" w:rsidRPr="00837084" w:rsidRDefault="00287491" w:rsidP="00EB0F8A">
            <w:pPr>
              <w:jc w:val="center"/>
            </w:pPr>
          </w:p>
        </w:tc>
        <w:tc>
          <w:tcPr>
            <w:tcW w:w="5272" w:type="dxa"/>
            <w:gridSpan w:val="2"/>
            <w:tcBorders>
              <w:top w:val="single" w:sz="6" w:space="0" w:color="FF6600"/>
              <w:bottom w:val="single" w:sz="6" w:space="0" w:color="FF6600"/>
            </w:tcBorders>
            <w:shd w:val="clear" w:color="auto" w:fill="auto"/>
            <w:vAlign w:val="center"/>
          </w:tcPr>
          <w:p w:rsidR="00287491" w:rsidRDefault="00287491" w:rsidP="00287491">
            <w:pPr>
              <w:snapToGrid w:val="0"/>
              <w:jc w:val="left"/>
              <w:rPr>
                <w:color w:val="000000"/>
                <w:sz w:val="20"/>
                <w:szCs w:val="20"/>
              </w:rPr>
            </w:pPr>
            <w:r>
              <w:rPr>
                <w:rFonts w:hint="eastAsia"/>
                <w:color w:val="000000"/>
                <w:sz w:val="20"/>
                <w:szCs w:val="20"/>
              </w:rPr>
              <w:t>注：按字母顺序排序，排名不分先后。</w:t>
            </w:r>
          </w:p>
        </w:tc>
      </w:tr>
    </w:tbl>
    <w:p w:rsidR="00307014" w:rsidRPr="003F6CBD" w:rsidRDefault="00307014" w:rsidP="00307014">
      <w:pPr>
        <w:pStyle w:val="FootnoteNoline"/>
        <w:ind w:left="0"/>
        <w:rPr>
          <w:color w:val="FF6600"/>
        </w:rPr>
      </w:pPr>
      <w:r w:rsidRPr="001609A2">
        <w:rPr>
          <w:rFonts w:eastAsia="楷体_GB2312" w:hint="eastAsia"/>
          <w:color w:val="FF6600"/>
          <w:lang w:val="en-US"/>
        </w:rPr>
        <w:t>来源：凯石财富工场</w:t>
      </w:r>
      <w:r w:rsidRPr="001609A2">
        <w:rPr>
          <w:rFonts w:eastAsia="楷体_GB2312" w:hint="eastAsia"/>
          <w:color w:val="FF6600"/>
          <w:lang w:val="en-US"/>
        </w:rPr>
        <w:t xml:space="preserve"> wind </w:t>
      </w:r>
    </w:p>
    <w:p w:rsidR="00250800" w:rsidRPr="00E31708" w:rsidRDefault="00116263" w:rsidP="009B1BBD">
      <w:pPr>
        <w:pStyle w:val="ab"/>
        <w:numPr>
          <w:ilvl w:val="4"/>
          <w:numId w:val="1"/>
        </w:numPr>
        <w:spacing w:after="163"/>
        <w:rPr>
          <w:rFonts w:eastAsia="楷体_GB2312"/>
          <w:color w:val="auto"/>
        </w:rPr>
      </w:pPr>
      <w:r w:rsidRPr="00E31708">
        <w:rPr>
          <w:rFonts w:eastAsia="楷体_GB2312" w:hint="eastAsia"/>
          <w:color w:val="auto"/>
        </w:rPr>
        <w:t>至于</w:t>
      </w:r>
      <w:r w:rsidR="00315A5E">
        <w:rPr>
          <w:rFonts w:eastAsia="楷体_GB2312" w:hint="eastAsia"/>
          <w:color w:val="auto"/>
        </w:rPr>
        <w:t>基金经理的</w:t>
      </w:r>
      <w:r w:rsidRPr="00E31708">
        <w:rPr>
          <w:rFonts w:eastAsia="楷体_GB2312" w:hint="eastAsia"/>
          <w:color w:val="auto"/>
        </w:rPr>
        <w:t>选股能力，并非不重要，而是把握难度大幅上升，因此</w:t>
      </w:r>
      <w:r w:rsidR="00315A5E">
        <w:rPr>
          <w:rFonts w:eastAsia="楷体_GB2312" w:hint="eastAsia"/>
          <w:color w:val="auto"/>
        </w:rPr>
        <w:t>在投资选择时</w:t>
      </w:r>
      <w:r w:rsidRPr="00E31708">
        <w:rPr>
          <w:rFonts w:eastAsia="楷体_GB2312" w:hint="eastAsia"/>
          <w:color w:val="auto"/>
        </w:rPr>
        <w:t>不妨聚焦到少数选股能力经过长期检验的基金经理。通过量化方式对基金经理过往长期持续的选股效果（剔除基金产品设计的因素）进行比较显示，</w:t>
      </w:r>
      <w:r w:rsidR="009B1BBD" w:rsidRPr="00E31708">
        <w:rPr>
          <w:rFonts w:eastAsia="楷体_GB2312" w:hint="eastAsia"/>
          <w:color w:val="auto"/>
        </w:rPr>
        <w:t>曹剑飞（农银汇理）、陈扬帆（兴业全球）、冯波（）、傅鹏博（兴业全球）、顾耀强（汇添富）、刘明月（广发）、王鹏辉（景顺长城）、严鸿宴（华夏）、张玮（国泰）、朱纪刚（广发）等</w:t>
      </w:r>
      <w:r w:rsidR="00E31708" w:rsidRPr="00E31708">
        <w:rPr>
          <w:rFonts w:eastAsia="楷体_GB2312" w:hint="eastAsia"/>
          <w:color w:val="auto"/>
        </w:rPr>
        <w:t>表现突出</w:t>
      </w:r>
      <w:r w:rsidR="00315A5E">
        <w:rPr>
          <w:rFonts w:eastAsia="楷体_GB2312" w:hint="eastAsia"/>
          <w:color w:val="auto"/>
        </w:rPr>
        <w:t>（按字母顺序排序，排名不分先后）</w:t>
      </w:r>
      <w:r w:rsidR="00E31708" w:rsidRPr="00E31708">
        <w:rPr>
          <w:rFonts w:eastAsia="楷体_GB2312" w:hint="eastAsia"/>
          <w:color w:val="auto"/>
        </w:rPr>
        <w:t>。</w:t>
      </w:r>
    </w:p>
    <w:p w:rsidR="00662A8E" w:rsidRPr="00662A8E" w:rsidRDefault="00662A8E" w:rsidP="002D27D9">
      <w:pPr>
        <w:pStyle w:val="ab"/>
        <w:numPr>
          <w:ilvl w:val="4"/>
          <w:numId w:val="1"/>
        </w:numPr>
        <w:spacing w:after="163"/>
        <w:rPr>
          <w:rFonts w:eastAsia="楷体_GB2312"/>
          <w:color w:val="auto"/>
        </w:rPr>
      </w:pPr>
      <w:r>
        <w:rPr>
          <w:rFonts w:eastAsia="楷体_GB2312" w:hint="eastAsia"/>
          <w:color w:val="auto"/>
        </w:rPr>
        <w:t>另外，</w:t>
      </w:r>
      <w:r w:rsidRPr="00662A8E">
        <w:rPr>
          <w:rFonts w:eastAsia="楷体_GB2312" w:hint="eastAsia"/>
          <w:color w:val="auto"/>
        </w:rPr>
        <w:t>历史数据显示，对于同样的管理人，在热点切换频繁环境中，资产管理规模相对较小的中小型基金具有“灵活”优势。因此，在关注管理人投资管理能力的同时，优选其所管理的规模中小基金，可以有助管理人更好的发挥投资管理能力，起到锦上添花的作用。</w:t>
      </w:r>
    </w:p>
    <w:p w:rsidR="004C2631" w:rsidRPr="00F40F37" w:rsidRDefault="002B3A85" w:rsidP="006B085A">
      <w:pPr>
        <w:widowControl/>
        <w:spacing w:after="120" w:line="240" w:lineRule="exact"/>
        <w:ind w:left="3430"/>
        <w:rPr>
          <w:rFonts w:ascii="Arial" w:eastAsia="楷体_GB2312" w:hAnsi="Arial" w:cs="Times New Roman"/>
          <w:b/>
          <w:bCs/>
          <w:color w:val="0070C0"/>
          <w:kern w:val="0"/>
          <w:szCs w:val="21"/>
          <w:lang w:val="en-GB"/>
        </w:rPr>
      </w:pPr>
      <w:r>
        <w:rPr>
          <w:rFonts w:ascii="Arial" w:eastAsia="楷体_GB2312" w:hAnsi="Arial" w:cs="Times New Roman" w:hint="eastAsia"/>
          <w:b/>
          <w:bCs/>
          <w:color w:val="0070C0"/>
          <w:kern w:val="0"/>
          <w:szCs w:val="21"/>
          <w:lang w:val="en-GB"/>
        </w:rPr>
        <w:t>主动把握基金投资风格</w:t>
      </w:r>
      <w:r w:rsidR="00B43D7E" w:rsidRPr="00F40F37">
        <w:rPr>
          <w:rFonts w:ascii="Arial" w:eastAsia="楷体_GB2312" w:hAnsi="Arial" w:cs="Times New Roman" w:hint="eastAsia"/>
          <w:b/>
          <w:bCs/>
          <w:color w:val="0070C0"/>
          <w:kern w:val="0"/>
          <w:szCs w:val="21"/>
          <w:lang w:val="en-GB"/>
        </w:rPr>
        <w:t>，</w:t>
      </w:r>
      <w:r>
        <w:rPr>
          <w:rFonts w:ascii="Arial" w:eastAsia="楷体_GB2312" w:hAnsi="Arial" w:cs="Times New Roman" w:hint="eastAsia"/>
          <w:b/>
          <w:bCs/>
          <w:color w:val="0070C0"/>
          <w:kern w:val="0"/>
          <w:szCs w:val="21"/>
          <w:lang w:val="en-GB"/>
        </w:rPr>
        <w:t>兼顾大众消费改革主题</w:t>
      </w:r>
    </w:p>
    <w:p w:rsidR="00C25149" w:rsidRDefault="0036053B" w:rsidP="004C2631">
      <w:pPr>
        <w:pStyle w:val="ab"/>
        <w:numPr>
          <w:ilvl w:val="4"/>
          <w:numId w:val="1"/>
        </w:numPr>
        <w:spacing w:after="163"/>
        <w:rPr>
          <w:rFonts w:eastAsia="楷体_GB2312"/>
          <w:color w:val="auto"/>
        </w:rPr>
      </w:pPr>
      <w:r>
        <w:rPr>
          <w:rFonts w:eastAsia="楷体_GB2312" w:hint="eastAsia"/>
          <w:color w:val="auto"/>
        </w:rPr>
        <w:t>基于基金产品特征进行投资选择，建议顺应主题投资年的特点，在以主要投资大众消费品领域产品为相对持续的标的同时，依据</w:t>
      </w:r>
      <w:r w:rsidRPr="003B4D70">
        <w:rPr>
          <w:rFonts w:eastAsia="楷体_GB2312" w:hint="eastAsia"/>
          <w:color w:val="auto"/>
        </w:rPr>
        <w:t>基金</w:t>
      </w:r>
      <w:r>
        <w:rPr>
          <w:rFonts w:eastAsia="楷体_GB2312" w:hint="eastAsia"/>
          <w:color w:val="auto"/>
        </w:rPr>
        <w:t>产品设计及持仓特征主动把握主题轮动</w:t>
      </w:r>
      <w:r w:rsidR="00F94C9B">
        <w:rPr>
          <w:rFonts w:eastAsia="楷体_GB2312" w:hint="eastAsia"/>
          <w:color w:val="auto"/>
        </w:rPr>
        <w:t>。</w:t>
      </w:r>
      <w:r w:rsidR="00682E63">
        <w:rPr>
          <w:rFonts w:eastAsia="楷体_GB2312" w:hint="eastAsia"/>
          <w:color w:val="auto"/>
        </w:rPr>
        <w:t>与选人</w:t>
      </w:r>
      <w:r w:rsidR="00F94C9B">
        <w:rPr>
          <w:rFonts w:eastAsia="楷体_GB2312" w:hint="eastAsia"/>
          <w:color w:val="auto"/>
        </w:rPr>
        <w:t>思路一致的是</w:t>
      </w:r>
      <w:r w:rsidR="00682E63">
        <w:rPr>
          <w:rFonts w:eastAsia="楷体_GB2312" w:hint="eastAsia"/>
          <w:color w:val="auto"/>
        </w:rPr>
        <w:t>，</w:t>
      </w:r>
      <w:r w:rsidR="00F94C9B">
        <w:rPr>
          <w:rFonts w:eastAsia="楷体_GB2312" w:hint="eastAsia"/>
          <w:color w:val="auto"/>
        </w:rPr>
        <w:t>主动操作同样需要</w:t>
      </w:r>
      <w:r w:rsidR="00682E63">
        <w:rPr>
          <w:rFonts w:eastAsia="楷体_GB2312" w:hint="eastAsia"/>
          <w:color w:val="auto"/>
        </w:rPr>
        <w:t>灵活</w:t>
      </w:r>
      <w:r w:rsidR="00F94C9B">
        <w:rPr>
          <w:rFonts w:eastAsia="楷体_GB2312" w:hint="eastAsia"/>
          <w:color w:val="auto"/>
        </w:rPr>
        <w:t>性</w:t>
      </w:r>
      <w:r>
        <w:rPr>
          <w:rFonts w:eastAsia="楷体_GB2312" w:hint="eastAsia"/>
          <w:color w:val="auto"/>
        </w:rPr>
        <w:t>。</w:t>
      </w:r>
    </w:p>
    <w:p w:rsidR="00E8274F" w:rsidRPr="00584E6B" w:rsidRDefault="00C31998" w:rsidP="00962D41">
      <w:pPr>
        <w:pStyle w:val="ab"/>
        <w:numPr>
          <w:ilvl w:val="5"/>
          <w:numId w:val="2"/>
        </w:numPr>
        <w:spacing w:after="163"/>
        <w:ind w:left="4140" w:hanging="369"/>
        <w:rPr>
          <w:rFonts w:eastAsia="楷体_GB2312"/>
          <w:color w:val="auto"/>
        </w:rPr>
      </w:pPr>
      <w:r w:rsidRPr="00584E6B">
        <w:rPr>
          <w:rFonts w:eastAsia="楷体_GB2312" w:hint="eastAsia"/>
          <w:color w:val="auto"/>
        </w:rPr>
        <w:t>从</w:t>
      </w:r>
      <w:r w:rsidR="00A30F18" w:rsidRPr="00584E6B">
        <w:rPr>
          <w:rFonts w:eastAsia="楷体_GB2312" w:hint="eastAsia"/>
          <w:color w:val="auto"/>
        </w:rPr>
        <w:t>盈利</w:t>
      </w:r>
      <w:r w:rsidRPr="00584E6B">
        <w:rPr>
          <w:rFonts w:eastAsia="楷体_GB2312" w:hint="eastAsia"/>
          <w:color w:val="auto"/>
        </w:rPr>
        <w:t>增长角度，</w:t>
      </w:r>
      <w:r w:rsidR="00E8274F" w:rsidRPr="00584E6B">
        <w:rPr>
          <w:rFonts w:eastAsia="楷体_GB2312" w:hint="eastAsia"/>
          <w:color w:val="auto"/>
        </w:rPr>
        <w:t>与</w:t>
      </w:r>
      <w:r w:rsidR="00E8274F" w:rsidRPr="00584E6B">
        <w:rPr>
          <w:rFonts w:eastAsia="楷体_GB2312"/>
          <w:color w:val="auto"/>
        </w:rPr>
        <w:t>2013</w:t>
      </w:r>
      <w:r w:rsidR="00E8274F" w:rsidRPr="00584E6B">
        <w:rPr>
          <w:rFonts w:eastAsia="楷体_GB2312" w:hint="eastAsia"/>
          <w:color w:val="auto"/>
        </w:rPr>
        <w:t>年以电力、钢铁、石化、地产、可选消费等行业拉动</w:t>
      </w:r>
      <w:r w:rsidR="00222934" w:rsidRPr="00584E6B">
        <w:rPr>
          <w:rFonts w:eastAsia="楷体_GB2312" w:hint="eastAsia"/>
          <w:color w:val="auto"/>
        </w:rPr>
        <w:t>上市公司</w:t>
      </w:r>
      <w:r w:rsidR="00E8274F" w:rsidRPr="00584E6B">
        <w:rPr>
          <w:rFonts w:eastAsia="楷体_GB2312" w:hint="eastAsia"/>
          <w:color w:val="auto"/>
        </w:rPr>
        <w:t>整体</w:t>
      </w:r>
      <w:r w:rsidR="00222934" w:rsidRPr="00584E6B">
        <w:rPr>
          <w:rFonts w:eastAsia="楷体_GB2312" w:hint="eastAsia"/>
          <w:color w:val="auto"/>
        </w:rPr>
        <w:t>的</w:t>
      </w:r>
      <w:r w:rsidR="00E8274F" w:rsidRPr="00584E6B">
        <w:rPr>
          <w:rFonts w:eastAsia="楷体_GB2312" w:hint="eastAsia"/>
          <w:color w:val="auto"/>
        </w:rPr>
        <w:t>盈利增长不同，</w:t>
      </w:r>
      <w:r w:rsidR="00E8274F" w:rsidRPr="00584E6B">
        <w:rPr>
          <w:rFonts w:eastAsia="楷体_GB2312"/>
          <w:color w:val="auto"/>
        </w:rPr>
        <w:t>2014</w:t>
      </w:r>
      <w:r w:rsidR="00E8274F" w:rsidRPr="00584E6B">
        <w:rPr>
          <w:rFonts w:eastAsia="楷体_GB2312" w:hint="eastAsia"/>
          <w:color w:val="auto"/>
        </w:rPr>
        <w:t>年大众消费品</w:t>
      </w:r>
      <w:r w:rsidR="001C0EEA" w:rsidRPr="00584E6B">
        <w:rPr>
          <w:rFonts w:eastAsia="楷体_GB2312" w:hint="eastAsia"/>
          <w:color w:val="auto"/>
        </w:rPr>
        <w:t>（如农业、医药、食品饮料等）</w:t>
      </w:r>
      <w:r w:rsidR="00E8274F" w:rsidRPr="00584E6B">
        <w:rPr>
          <w:rFonts w:eastAsia="楷体_GB2312" w:hint="eastAsia"/>
          <w:color w:val="auto"/>
        </w:rPr>
        <w:t>以及部分制造业</w:t>
      </w:r>
      <w:r w:rsidR="001C0EEA" w:rsidRPr="00584E6B">
        <w:rPr>
          <w:rFonts w:eastAsia="楷体_GB2312" w:hint="eastAsia"/>
          <w:color w:val="auto"/>
        </w:rPr>
        <w:t>（如家电等）</w:t>
      </w:r>
      <w:r w:rsidR="00E8274F" w:rsidRPr="00584E6B">
        <w:rPr>
          <w:rFonts w:eastAsia="楷体_GB2312" w:hint="eastAsia"/>
          <w:color w:val="auto"/>
        </w:rPr>
        <w:t>有望恢复增长</w:t>
      </w:r>
      <w:r w:rsidR="001C0EEA" w:rsidRPr="00584E6B">
        <w:rPr>
          <w:rFonts w:eastAsia="楷体_GB2312" w:hint="eastAsia"/>
          <w:color w:val="auto"/>
        </w:rPr>
        <w:t>。而且，在景气度</w:t>
      </w:r>
      <w:r w:rsidR="002C468C" w:rsidRPr="00584E6B">
        <w:rPr>
          <w:rFonts w:eastAsia="楷体_GB2312" w:hint="eastAsia"/>
          <w:color w:val="auto"/>
        </w:rPr>
        <w:t>回升</w:t>
      </w:r>
      <w:r w:rsidR="001C0EEA" w:rsidRPr="00584E6B">
        <w:rPr>
          <w:rFonts w:eastAsia="楷体_GB2312" w:hint="eastAsia"/>
          <w:color w:val="auto"/>
        </w:rPr>
        <w:t>的同时，</w:t>
      </w:r>
      <w:r w:rsidR="00A30F18" w:rsidRPr="00584E6B">
        <w:rPr>
          <w:rFonts w:eastAsia="楷体_GB2312" w:hint="eastAsia"/>
          <w:color w:val="auto"/>
        </w:rPr>
        <w:t>上述</w:t>
      </w:r>
      <w:r w:rsidR="00222934" w:rsidRPr="00584E6B">
        <w:rPr>
          <w:rFonts w:eastAsia="楷体_GB2312" w:hint="eastAsia"/>
          <w:color w:val="auto"/>
        </w:rPr>
        <w:t>行业的</w:t>
      </w:r>
      <w:r w:rsidR="002C468C" w:rsidRPr="00584E6B">
        <w:rPr>
          <w:rFonts w:eastAsia="楷体_GB2312" w:hint="eastAsia"/>
          <w:color w:val="auto"/>
        </w:rPr>
        <w:t>估值处于相对合理水平。</w:t>
      </w:r>
      <w:r w:rsidR="00503799" w:rsidRPr="00584E6B">
        <w:rPr>
          <w:rFonts w:eastAsia="楷体_GB2312" w:hint="eastAsia"/>
          <w:color w:val="auto"/>
        </w:rPr>
        <w:t>因此，从</w:t>
      </w:r>
      <w:r w:rsidR="00A30F18" w:rsidRPr="00584E6B">
        <w:rPr>
          <w:rFonts w:eastAsia="楷体_GB2312" w:hint="eastAsia"/>
          <w:color w:val="auto"/>
        </w:rPr>
        <w:t>持续配置甚至略带防御色彩角度</w:t>
      </w:r>
      <w:r w:rsidR="00503799" w:rsidRPr="00584E6B">
        <w:rPr>
          <w:rFonts w:eastAsia="楷体_GB2312" w:hint="eastAsia"/>
          <w:color w:val="auto"/>
        </w:rPr>
        <w:t>考虑，重点投资上述领域的基金产品</w:t>
      </w:r>
      <w:r w:rsidR="00DE4857" w:rsidRPr="00584E6B">
        <w:rPr>
          <w:rFonts w:eastAsia="楷体_GB2312" w:hint="eastAsia"/>
          <w:color w:val="auto"/>
        </w:rPr>
        <w:t>可持续关注，具体</w:t>
      </w:r>
      <w:r w:rsidR="001C0EEA" w:rsidRPr="00584E6B">
        <w:rPr>
          <w:rFonts w:eastAsia="楷体_GB2312" w:hint="eastAsia"/>
          <w:color w:val="auto"/>
        </w:rPr>
        <w:t>如</w:t>
      </w:r>
      <w:r w:rsidR="00D474AF" w:rsidRPr="00584E6B">
        <w:rPr>
          <w:rFonts w:eastAsia="楷体_GB2312" w:hint="eastAsia"/>
          <w:color w:val="auto"/>
        </w:rPr>
        <w:t>汇添富医药保健、易方达科汇、中银中国精选、嘉实</w:t>
      </w:r>
      <w:r w:rsidR="00BE45B4" w:rsidRPr="00584E6B">
        <w:rPr>
          <w:rFonts w:eastAsia="楷体_GB2312" w:hint="eastAsia"/>
          <w:color w:val="auto"/>
        </w:rPr>
        <w:t>主题精选</w:t>
      </w:r>
      <w:r w:rsidR="00D474AF" w:rsidRPr="00584E6B">
        <w:rPr>
          <w:rFonts w:eastAsia="楷体_GB2312" w:hint="eastAsia"/>
          <w:color w:val="auto"/>
        </w:rPr>
        <w:t>、兴全社会责任</w:t>
      </w:r>
      <w:r w:rsidR="00BE45B4" w:rsidRPr="00584E6B">
        <w:rPr>
          <w:rFonts w:eastAsia="楷体_GB2312" w:hint="eastAsia"/>
          <w:color w:val="auto"/>
        </w:rPr>
        <w:t>、嘉实增长、国富深化价值、广发策略优选</w:t>
      </w:r>
      <w:r w:rsidR="00B52D04" w:rsidRPr="00584E6B">
        <w:rPr>
          <w:rFonts w:eastAsia="楷体_GB2312" w:hint="eastAsia"/>
          <w:color w:val="auto"/>
        </w:rPr>
        <w:t>、大摩消费领航</w:t>
      </w:r>
      <w:r w:rsidR="00636B6E">
        <w:rPr>
          <w:rFonts w:eastAsia="楷体_GB2312" w:hint="eastAsia"/>
          <w:color w:val="auto"/>
        </w:rPr>
        <w:t>、富国天合稳健优选</w:t>
      </w:r>
      <w:r w:rsidR="00584E6B" w:rsidRPr="00584E6B">
        <w:rPr>
          <w:rFonts w:eastAsia="楷体_GB2312" w:hint="eastAsia"/>
          <w:color w:val="auto"/>
        </w:rPr>
        <w:t>等等。</w:t>
      </w:r>
    </w:p>
    <w:p w:rsidR="004014F0" w:rsidRPr="00055DD2" w:rsidRDefault="004D3C37" w:rsidP="00C25149">
      <w:pPr>
        <w:pStyle w:val="ab"/>
        <w:numPr>
          <w:ilvl w:val="5"/>
          <w:numId w:val="2"/>
        </w:numPr>
        <w:spacing w:after="163"/>
        <w:ind w:left="4140" w:hanging="369"/>
        <w:rPr>
          <w:rFonts w:eastAsia="楷体_GB2312"/>
          <w:color w:val="auto"/>
        </w:rPr>
      </w:pPr>
      <w:r w:rsidRPr="00055DD2">
        <w:rPr>
          <w:rFonts w:eastAsia="楷体_GB2312" w:hint="eastAsia"/>
          <w:color w:val="auto"/>
        </w:rPr>
        <w:t>从改革</w:t>
      </w:r>
      <w:r w:rsidR="0017025F" w:rsidRPr="00055DD2">
        <w:rPr>
          <w:rFonts w:eastAsia="楷体_GB2312" w:hint="eastAsia"/>
          <w:color w:val="auto"/>
        </w:rPr>
        <w:t>主题</w:t>
      </w:r>
      <w:r w:rsidRPr="00055DD2">
        <w:rPr>
          <w:rFonts w:eastAsia="楷体_GB2312" w:hint="eastAsia"/>
          <w:color w:val="auto"/>
        </w:rPr>
        <w:t>角度出发，</w:t>
      </w:r>
      <w:r w:rsidR="001556D7" w:rsidRPr="00055DD2">
        <w:rPr>
          <w:rFonts w:eastAsia="楷体_GB2312" w:hint="eastAsia"/>
          <w:color w:val="auto"/>
        </w:rPr>
        <w:t>我们结合</w:t>
      </w:r>
      <w:r w:rsidR="00821636" w:rsidRPr="00055DD2">
        <w:rPr>
          <w:rFonts w:eastAsia="楷体_GB2312" w:hint="eastAsia"/>
          <w:color w:val="auto"/>
        </w:rPr>
        <w:t>三</w:t>
      </w:r>
      <w:r w:rsidR="00C77346" w:rsidRPr="00055DD2">
        <w:rPr>
          <w:rFonts w:eastAsia="楷体_GB2312" w:hint="eastAsia"/>
          <w:color w:val="auto"/>
        </w:rPr>
        <w:t>季</w:t>
      </w:r>
      <w:r w:rsidR="00821636" w:rsidRPr="00055DD2">
        <w:rPr>
          <w:rFonts w:eastAsia="楷体_GB2312" w:hint="eastAsia"/>
          <w:color w:val="auto"/>
        </w:rPr>
        <w:t>报披露的</w:t>
      </w:r>
      <w:r w:rsidR="00C77346" w:rsidRPr="00055DD2">
        <w:rPr>
          <w:rFonts w:eastAsia="楷体_GB2312" w:hint="eastAsia"/>
          <w:color w:val="auto"/>
        </w:rPr>
        <w:t>基金持仓情况，</w:t>
      </w:r>
      <w:r w:rsidR="001556D7" w:rsidRPr="00055DD2">
        <w:rPr>
          <w:rFonts w:eastAsia="楷体_GB2312" w:hint="eastAsia"/>
          <w:color w:val="auto"/>
        </w:rPr>
        <w:t>筛选出在国家安全、土地改革、生态文明、金融改革、人口政策、文化体制等六大领域进行侧重配置投资的基金产品</w:t>
      </w:r>
      <w:r w:rsidR="00C77346" w:rsidRPr="00055DD2">
        <w:rPr>
          <w:rFonts w:eastAsia="楷体_GB2312" w:hint="eastAsia"/>
          <w:color w:val="auto"/>
        </w:rPr>
        <w:t>，供</w:t>
      </w:r>
      <w:r w:rsidR="001556D7" w:rsidRPr="00055DD2">
        <w:rPr>
          <w:rFonts w:eastAsia="楷体_GB2312" w:hint="eastAsia"/>
          <w:color w:val="auto"/>
        </w:rPr>
        <w:t>短期投资</w:t>
      </w:r>
      <w:r w:rsidR="00055DD2" w:rsidRPr="00055DD2">
        <w:rPr>
          <w:rFonts w:eastAsia="楷体_GB2312" w:hint="eastAsia"/>
          <w:color w:val="auto"/>
        </w:rPr>
        <w:t>及进行主题轮换</w:t>
      </w:r>
      <w:r w:rsidR="001556D7" w:rsidRPr="00055DD2">
        <w:rPr>
          <w:rFonts w:eastAsia="楷体_GB2312" w:hint="eastAsia"/>
          <w:color w:val="auto"/>
        </w:rPr>
        <w:t>参考。</w:t>
      </w:r>
      <w:r w:rsidR="00821636" w:rsidRPr="00055DD2">
        <w:rPr>
          <w:rFonts w:eastAsia="楷体_GB2312" w:hint="eastAsia"/>
          <w:color w:val="auto"/>
        </w:rPr>
        <w:t>需要强调的是，该统计是根据基金三季度的持仓情况得出，具有时滞性，需根据</w:t>
      </w:r>
      <w:r w:rsidR="00055DD2" w:rsidRPr="00055DD2">
        <w:rPr>
          <w:rFonts w:eastAsia="楷体_GB2312" w:hint="eastAsia"/>
          <w:color w:val="auto"/>
        </w:rPr>
        <w:t>行业信息披露进行及时动态调整</w:t>
      </w:r>
      <w:r w:rsidR="00821636" w:rsidRPr="00055DD2">
        <w:rPr>
          <w:rFonts w:eastAsia="楷体_GB2312" w:hint="eastAsia"/>
          <w:color w:val="auto"/>
        </w:rPr>
        <w:t>。</w:t>
      </w:r>
    </w:p>
    <w:tbl>
      <w:tblPr>
        <w:tblW w:w="7440"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4A0"/>
      </w:tblPr>
      <w:tblGrid>
        <w:gridCol w:w="1418"/>
        <w:gridCol w:w="6022"/>
      </w:tblGrid>
      <w:tr w:rsidR="006E29B1" w:rsidTr="00896DFA">
        <w:trPr>
          <w:cantSplit/>
          <w:trHeight w:val="65"/>
          <w:tblHeader/>
        </w:trPr>
        <w:tc>
          <w:tcPr>
            <w:tcW w:w="7440" w:type="dxa"/>
            <w:gridSpan w:val="2"/>
            <w:tcBorders>
              <w:top w:val="single" w:sz="6" w:space="0" w:color="FF6600"/>
              <w:left w:val="nil"/>
              <w:bottom w:val="single" w:sz="6" w:space="0" w:color="FF6600"/>
              <w:right w:val="nil"/>
            </w:tcBorders>
            <w:vAlign w:val="center"/>
            <w:hideMark/>
          </w:tcPr>
          <w:p w:rsidR="006E29B1" w:rsidRPr="00CA744D" w:rsidRDefault="006E29B1" w:rsidP="004F39DA">
            <w:pPr>
              <w:pStyle w:val="SubTitleLargeTable"/>
              <w:pBdr>
                <w:top w:val="none" w:sz="0" w:space="0" w:color="auto"/>
              </w:pBdr>
              <w:rPr>
                <w:rFonts w:ascii="宋体" w:eastAsiaTheme="minorEastAsia" w:hAnsi="宋体"/>
                <w:b w:val="0"/>
                <w:color w:val="FF6600"/>
                <w:kern w:val="2"/>
              </w:rPr>
            </w:pPr>
            <w:r>
              <w:rPr>
                <w:rFonts w:eastAsia="楷体_GB2312" w:hint="eastAsia"/>
                <w:color w:val="FF6600"/>
                <w:kern w:val="2"/>
              </w:rPr>
              <w:lastRenderedPageBreak/>
              <w:t>图表</w:t>
            </w:r>
            <w:r>
              <w:rPr>
                <w:rFonts w:eastAsiaTheme="minorEastAsia" w:hint="eastAsia"/>
                <w:color w:val="FF6600"/>
                <w:kern w:val="2"/>
              </w:rPr>
              <w:t>1</w:t>
            </w:r>
            <w:r w:rsidR="004F39DA">
              <w:rPr>
                <w:rFonts w:eastAsiaTheme="minorEastAsia" w:hint="eastAsia"/>
                <w:color w:val="FF6600"/>
                <w:kern w:val="2"/>
              </w:rPr>
              <w:t>2</w:t>
            </w:r>
            <w:r>
              <w:rPr>
                <w:rFonts w:eastAsia="楷体_GB2312" w:hint="eastAsia"/>
                <w:color w:val="FF6600"/>
                <w:kern w:val="2"/>
              </w:rPr>
              <w:t>：</w:t>
            </w:r>
            <w:r>
              <w:rPr>
                <w:rFonts w:eastAsia="楷体_GB2312" w:hint="eastAsia"/>
                <w:color w:val="FF6600"/>
              </w:rPr>
              <w:t>各主要改革相关主题及关联基金（数据来源：基金三季报）</w:t>
            </w:r>
          </w:p>
        </w:tc>
      </w:tr>
      <w:tr w:rsidR="006E29B1" w:rsidTr="00896DFA">
        <w:trPr>
          <w:cantSplit/>
          <w:trHeight w:val="453"/>
          <w:tblHeader/>
        </w:trPr>
        <w:tc>
          <w:tcPr>
            <w:tcW w:w="1418" w:type="dxa"/>
            <w:tcBorders>
              <w:top w:val="single" w:sz="6" w:space="0" w:color="FF6600"/>
              <w:left w:val="nil"/>
              <w:bottom w:val="single" w:sz="6" w:space="0" w:color="FF6600"/>
              <w:right w:val="nil"/>
            </w:tcBorders>
            <w:vAlign w:val="center"/>
          </w:tcPr>
          <w:p w:rsidR="006E29B1" w:rsidRPr="00C30285" w:rsidRDefault="006E29B1" w:rsidP="0077291B">
            <w:pPr>
              <w:snapToGrid w:val="0"/>
              <w:jc w:val="center"/>
              <w:rPr>
                <w:b/>
                <w:sz w:val="18"/>
                <w:szCs w:val="18"/>
              </w:rPr>
            </w:pPr>
            <w:r w:rsidRPr="00C30285">
              <w:rPr>
                <w:b/>
                <w:sz w:val="18"/>
                <w:szCs w:val="18"/>
              </w:rPr>
              <w:t>改革主题</w:t>
            </w:r>
          </w:p>
        </w:tc>
        <w:tc>
          <w:tcPr>
            <w:tcW w:w="6022" w:type="dxa"/>
            <w:tcBorders>
              <w:top w:val="single" w:sz="6" w:space="0" w:color="FF6600"/>
              <w:left w:val="nil"/>
              <w:bottom w:val="single" w:sz="6" w:space="0" w:color="FF6600"/>
              <w:right w:val="nil"/>
            </w:tcBorders>
            <w:vAlign w:val="center"/>
          </w:tcPr>
          <w:p w:rsidR="006E29B1" w:rsidRPr="00C30285" w:rsidRDefault="006E29B1" w:rsidP="0077291B">
            <w:pPr>
              <w:snapToGrid w:val="0"/>
              <w:jc w:val="center"/>
              <w:rPr>
                <w:b/>
                <w:sz w:val="18"/>
                <w:szCs w:val="18"/>
              </w:rPr>
            </w:pPr>
            <w:r w:rsidRPr="00C30285">
              <w:rPr>
                <w:b/>
                <w:sz w:val="18"/>
                <w:szCs w:val="18"/>
              </w:rPr>
              <w:t>相关基金产品</w:t>
            </w:r>
          </w:p>
        </w:tc>
      </w:tr>
      <w:tr w:rsidR="006E29B1" w:rsidTr="006E29B1">
        <w:trPr>
          <w:cantSplit/>
          <w:trHeight w:val="452"/>
        </w:trPr>
        <w:tc>
          <w:tcPr>
            <w:tcW w:w="1418" w:type="dxa"/>
            <w:tcBorders>
              <w:top w:val="single" w:sz="6" w:space="0" w:color="FF6600"/>
              <w:left w:val="nil"/>
              <w:bottom w:val="single" w:sz="6" w:space="0" w:color="FF6600"/>
              <w:right w:val="nil"/>
            </w:tcBorders>
            <w:vAlign w:val="center"/>
          </w:tcPr>
          <w:p w:rsidR="006E29B1" w:rsidRPr="006E29B1" w:rsidRDefault="006E29B1" w:rsidP="0077291B">
            <w:pPr>
              <w:snapToGrid w:val="0"/>
              <w:jc w:val="center"/>
              <w:rPr>
                <w:b/>
                <w:sz w:val="18"/>
                <w:szCs w:val="18"/>
              </w:rPr>
            </w:pPr>
            <w:r w:rsidRPr="006E29B1">
              <w:rPr>
                <w:rFonts w:hint="eastAsia"/>
                <w:b/>
                <w:sz w:val="18"/>
                <w:szCs w:val="18"/>
              </w:rPr>
              <w:t>国家安全</w:t>
            </w:r>
          </w:p>
        </w:tc>
        <w:tc>
          <w:tcPr>
            <w:tcW w:w="6022" w:type="dxa"/>
            <w:tcBorders>
              <w:top w:val="single" w:sz="6" w:space="0" w:color="FF6600"/>
              <w:left w:val="nil"/>
              <w:bottom w:val="single" w:sz="6" w:space="0" w:color="FF6600"/>
              <w:right w:val="nil"/>
            </w:tcBorders>
            <w:vAlign w:val="center"/>
          </w:tcPr>
          <w:p w:rsidR="006E29B1" w:rsidRPr="00C30285" w:rsidRDefault="006E29B1" w:rsidP="0077291B">
            <w:pPr>
              <w:snapToGrid w:val="0"/>
              <w:jc w:val="center"/>
              <w:rPr>
                <w:sz w:val="18"/>
                <w:szCs w:val="18"/>
              </w:rPr>
            </w:pPr>
            <w:r w:rsidRPr="00C30285">
              <w:rPr>
                <w:rFonts w:hint="eastAsia"/>
                <w:sz w:val="18"/>
                <w:szCs w:val="18"/>
              </w:rPr>
              <w:t>华宝成长、国泰金牛、上投内需、景顺蓝筹、泰达宏利、广发核心、银河创新、信诚机遇、交银制造、金鹰领先</w:t>
            </w:r>
          </w:p>
        </w:tc>
      </w:tr>
      <w:tr w:rsidR="006E29B1" w:rsidTr="006E29B1">
        <w:trPr>
          <w:cantSplit/>
          <w:trHeight w:val="452"/>
        </w:trPr>
        <w:tc>
          <w:tcPr>
            <w:tcW w:w="1418" w:type="dxa"/>
            <w:tcBorders>
              <w:top w:val="single" w:sz="6" w:space="0" w:color="FF6600"/>
              <w:left w:val="nil"/>
              <w:bottom w:val="single" w:sz="6" w:space="0" w:color="FF6600"/>
              <w:right w:val="nil"/>
            </w:tcBorders>
            <w:vAlign w:val="center"/>
          </w:tcPr>
          <w:p w:rsidR="006E29B1" w:rsidRPr="006E29B1" w:rsidRDefault="006E29B1" w:rsidP="0077291B">
            <w:pPr>
              <w:snapToGrid w:val="0"/>
              <w:jc w:val="center"/>
              <w:rPr>
                <w:b/>
                <w:sz w:val="18"/>
                <w:szCs w:val="18"/>
              </w:rPr>
            </w:pPr>
            <w:r w:rsidRPr="006E29B1">
              <w:rPr>
                <w:b/>
                <w:sz w:val="18"/>
                <w:szCs w:val="18"/>
              </w:rPr>
              <w:t>土地改革</w:t>
            </w:r>
          </w:p>
        </w:tc>
        <w:tc>
          <w:tcPr>
            <w:tcW w:w="6022" w:type="dxa"/>
            <w:tcBorders>
              <w:top w:val="single" w:sz="6" w:space="0" w:color="FF6600"/>
              <w:left w:val="nil"/>
              <w:bottom w:val="single" w:sz="6" w:space="0" w:color="FF6600"/>
              <w:right w:val="nil"/>
            </w:tcBorders>
            <w:vAlign w:val="center"/>
          </w:tcPr>
          <w:p w:rsidR="006E29B1" w:rsidRPr="00C30285" w:rsidRDefault="006E29B1" w:rsidP="0077291B">
            <w:pPr>
              <w:snapToGrid w:val="0"/>
              <w:jc w:val="center"/>
              <w:rPr>
                <w:sz w:val="18"/>
                <w:szCs w:val="18"/>
              </w:rPr>
            </w:pPr>
            <w:r w:rsidRPr="00C30285">
              <w:rPr>
                <w:rFonts w:hint="eastAsia"/>
                <w:sz w:val="18"/>
                <w:szCs w:val="18"/>
              </w:rPr>
              <w:t>中欧盛世、新华消费、华商领先、宝盈资源、银河蓝筹、海富通国策</w:t>
            </w:r>
          </w:p>
        </w:tc>
      </w:tr>
      <w:tr w:rsidR="006E29B1" w:rsidTr="006E29B1">
        <w:trPr>
          <w:cantSplit/>
          <w:trHeight w:val="452"/>
        </w:trPr>
        <w:tc>
          <w:tcPr>
            <w:tcW w:w="1418" w:type="dxa"/>
            <w:tcBorders>
              <w:top w:val="single" w:sz="6" w:space="0" w:color="FF6600"/>
              <w:left w:val="nil"/>
              <w:bottom w:val="single" w:sz="6" w:space="0" w:color="FF6600"/>
              <w:right w:val="nil"/>
            </w:tcBorders>
            <w:vAlign w:val="center"/>
          </w:tcPr>
          <w:p w:rsidR="006E29B1" w:rsidRPr="006E29B1" w:rsidRDefault="006E29B1" w:rsidP="0077291B">
            <w:pPr>
              <w:snapToGrid w:val="0"/>
              <w:jc w:val="center"/>
              <w:rPr>
                <w:b/>
                <w:sz w:val="18"/>
                <w:szCs w:val="18"/>
              </w:rPr>
            </w:pPr>
            <w:r w:rsidRPr="006E29B1">
              <w:rPr>
                <w:b/>
                <w:sz w:val="18"/>
                <w:szCs w:val="18"/>
              </w:rPr>
              <w:t>生态文明</w:t>
            </w:r>
          </w:p>
        </w:tc>
        <w:tc>
          <w:tcPr>
            <w:tcW w:w="6022" w:type="dxa"/>
            <w:tcBorders>
              <w:top w:val="single" w:sz="6" w:space="0" w:color="FF6600"/>
              <w:left w:val="nil"/>
              <w:bottom w:val="single" w:sz="6" w:space="0" w:color="FF6600"/>
              <w:right w:val="nil"/>
            </w:tcBorders>
            <w:vAlign w:val="center"/>
          </w:tcPr>
          <w:p w:rsidR="006E29B1" w:rsidRPr="00C30285" w:rsidRDefault="006E29B1" w:rsidP="0077291B">
            <w:pPr>
              <w:snapToGrid w:val="0"/>
              <w:jc w:val="center"/>
              <w:rPr>
                <w:sz w:val="18"/>
                <w:szCs w:val="18"/>
              </w:rPr>
            </w:pPr>
            <w:r w:rsidRPr="00C30285">
              <w:rPr>
                <w:rFonts w:hint="eastAsia"/>
                <w:sz w:val="18"/>
                <w:szCs w:val="18"/>
              </w:rPr>
              <w:t>中欧盛世、新华消费、华商领先、宝盈资源、银河蓝筹、海富通国策</w:t>
            </w:r>
          </w:p>
        </w:tc>
      </w:tr>
      <w:tr w:rsidR="006E29B1" w:rsidTr="006E29B1">
        <w:trPr>
          <w:cantSplit/>
          <w:trHeight w:val="452"/>
        </w:trPr>
        <w:tc>
          <w:tcPr>
            <w:tcW w:w="1418" w:type="dxa"/>
            <w:tcBorders>
              <w:top w:val="single" w:sz="6" w:space="0" w:color="FF6600"/>
              <w:left w:val="nil"/>
              <w:bottom w:val="single" w:sz="6" w:space="0" w:color="FF6600"/>
              <w:right w:val="nil"/>
            </w:tcBorders>
            <w:vAlign w:val="center"/>
          </w:tcPr>
          <w:p w:rsidR="006E29B1" w:rsidRPr="006E29B1" w:rsidRDefault="006E29B1" w:rsidP="0077291B">
            <w:pPr>
              <w:snapToGrid w:val="0"/>
              <w:jc w:val="center"/>
              <w:rPr>
                <w:b/>
                <w:sz w:val="18"/>
                <w:szCs w:val="18"/>
              </w:rPr>
            </w:pPr>
            <w:r w:rsidRPr="006E29B1">
              <w:rPr>
                <w:b/>
                <w:sz w:val="18"/>
                <w:szCs w:val="18"/>
              </w:rPr>
              <w:t>金融改革</w:t>
            </w:r>
          </w:p>
        </w:tc>
        <w:tc>
          <w:tcPr>
            <w:tcW w:w="6022" w:type="dxa"/>
            <w:tcBorders>
              <w:top w:val="single" w:sz="6" w:space="0" w:color="FF6600"/>
              <w:left w:val="nil"/>
              <w:bottom w:val="single" w:sz="6" w:space="0" w:color="FF6600"/>
              <w:right w:val="nil"/>
            </w:tcBorders>
            <w:vAlign w:val="center"/>
          </w:tcPr>
          <w:p w:rsidR="006E29B1" w:rsidRPr="00C30285" w:rsidRDefault="006E29B1" w:rsidP="0077291B">
            <w:pPr>
              <w:snapToGrid w:val="0"/>
              <w:jc w:val="center"/>
              <w:rPr>
                <w:sz w:val="18"/>
                <w:szCs w:val="18"/>
              </w:rPr>
            </w:pPr>
            <w:r w:rsidRPr="00C30285">
              <w:rPr>
                <w:rFonts w:hint="eastAsia"/>
                <w:sz w:val="18"/>
                <w:szCs w:val="18"/>
              </w:rPr>
              <w:t>华商领先、景顺蓝筹、万家精选、银河创新、国泰策略、大摩成长</w:t>
            </w:r>
          </w:p>
        </w:tc>
      </w:tr>
      <w:tr w:rsidR="006E29B1" w:rsidTr="006E29B1">
        <w:trPr>
          <w:cantSplit/>
          <w:trHeight w:val="452"/>
        </w:trPr>
        <w:tc>
          <w:tcPr>
            <w:tcW w:w="1418" w:type="dxa"/>
            <w:tcBorders>
              <w:top w:val="single" w:sz="6" w:space="0" w:color="FF6600"/>
              <w:left w:val="nil"/>
              <w:bottom w:val="single" w:sz="6" w:space="0" w:color="FF6600"/>
              <w:right w:val="nil"/>
            </w:tcBorders>
            <w:vAlign w:val="center"/>
          </w:tcPr>
          <w:p w:rsidR="006E29B1" w:rsidRPr="006E29B1" w:rsidRDefault="006E29B1" w:rsidP="0077291B">
            <w:pPr>
              <w:snapToGrid w:val="0"/>
              <w:jc w:val="center"/>
              <w:rPr>
                <w:b/>
                <w:sz w:val="18"/>
                <w:szCs w:val="18"/>
              </w:rPr>
            </w:pPr>
            <w:r w:rsidRPr="006E29B1">
              <w:rPr>
                <w:b/>
                <w:sz w:val="18"/>
                <w:szCs w:val="18"/>
              </w:rPr>
              <w:t>人口政策</w:t>
            </w:r>
          </w:p>
        </w:tc>
        <w:tc>
          <w:tcPr>
            <w:tcW w:w="6022" w:type="dxa"/>
            <w:tcBorders>
              <w:top w:val="single" w:sz="6" w:space="0" w:color="FF6600"/>
              <w:left w:val="nil"/>
              <w:bottom w:val="single" w:sz="6" w:space="0" w:color="FF6600"/>
              <w:right w:val="nil"/>
            </w:tcBorders>
            <w:vAlign w:val="center"/>
          </w:tcPr>
          <w:p w:rsidR="006E29B1" w:rsidRPr="00C30285" w:rsidRDefault="006E29B1" w:rsidP="0077291B">
            <w:pPr>
              <w:snapToGrid w:val="0"/>
              <w:jc w:val="center"/>
              <w:rPr>
                <w:sz w:val="18"/>
                <w:szCs w:val="18"/>
              </w:rPr>
            </w:pPr>
            <w:r w:rsidRPr="00C30285">
              <w:rPr>
                <w:rFonts w:hint="eastAsia"/>
                <w:sz w:val="18"/>
                <w:szCs w:val="18"/>
              </w:rPr>
              <w:t>国泰金鼎、工银成长、华夏复兴、中海蓝筹、上投双息、银华优质、融通医疗、天治创新、汇丰科技</w:t>
            </w:r>
          </w:p>
        </w:tc>
      </w:tr>
      <w:tr w:rsidR="006E29B1" w:rsidTr="006E29B1">
        <w:trPr>
          <w:cantSplit/>
          <w:trHeight w:val="452"/>
        </w:trPr>
        <w:tc>
          <w:tcPr>
            <w:tcW w:w="1418" w:type="dxa"/>
            <w:tcBorders>
              <w:top w:val="single" w:sz="6" w:space="0" w:color="FF6600"/>
              <w:left w:val="nil"/>
              <w:bottom w:val="single" w:sz="6" w:space="0" w:color="FF6600"/>
              <w:right w:val="nil"/>
            </w:tcBorders>
            <w:vAlign w:val="center"/>
          </w:tcPr>
          <w:p w:rsidR="006E29B1" w:rsidRPr="006E29B1" w:rsidRDefault="006E29B1" w:rsidP="0077291B">
            <w:pPr>
              <w:snapToGrid w:val="0"/>
              <w:jc w:val="center"/>
              <w:rPr>
                <w:b/>
                <w:sz w:val="18"/>
                <w:szCs w:val="18"/>
              </w:rPr>
            </w:pPr>
            <w:r w:rsidRPr="006E29B1">
              <w:rPr>
                <w:b/>
                <w:sz w:val="18"/>
                <w:szCs w:val="18"/>
              </w:rPr>
              <w:t>文化体制</w:t>
            </w:r>
          </w:p>
        </w:tc>
        <w:tc>
          <w:tcPr>
            <w:tcW w:w="6022" w:type="dxa"/>
            <w:tcBorders>
              <w:top w:val="single" w:sz="6" w:space="0" w:color="FF6600"/>
              <w:left w:val="nil"/>
              <w:bottom w:val="single" w:sz="6" w:space="0" w:color="FF6600"/>
              <w:right w:val="nil"/>
            </w:tcBorders>
            <w:vAlign w:val="center"/>
          </w:tcPr>
          <w:p w:rsidR="006E29B1" w:rsidRPr="00C30285" w:rsidRDefault="006E29B1" w:rsidP="0077291B">
            <w:pPr>
              <w:snapToGrid w:val="0"/>
              <w:jc w:val="center"/>
              <w:rPr>
                <w:sz w:val="18"/>
                <w:szCs w:val="18"/>
              </w:rPr>
            </w:pPr>
            <w:r w:rsidRPr="00C30285">
              <w:rPr>
                <w:rFonts w:hint="eastAsia"/>
                <w:sz w:val="18"/>
                <w:szCs w:val="18"/>
              </w:rPr>
              <w:t>兴全轻资、农银消费、华富竞争力、华夏经典、银河创新、金鹰领先、国联安优选、华商价值</w:t>
            </w:r>
          </w:p>
        </w:tc>
      </w:tr>
    </w:tbl>
    <w:p w:rsidR="006E29B1" w:rsidRDefault="006E29B1" w:rsidP="006E29B1">
      <w:pPr>
        <w:pStyle w:val="FootnoteNoline"/>
        <w:rPr>
          <w:rFonts w:eastAsia="楷体_GB2312"/>
          <w:color w:val="FF6600"/>
        </w:rPr>
      </w:pPr>
      <w:r>
        <w:rPr>
          <w:rFonts w:eastAsia="楷体_GB2312" w:hint="eastAsia"/>
          <w:color w:val="FF6600"/>
        </w:rPr>
        <w:t>来源：凯石财富工场</w:t>
      </w:r>
      <w:r>
        <w:rPr>
          <w:rFonts w:eastAsia="楷体_GB2312" w:hint="eastAsia"/>
          <w:color w:val="FF6600"/>
        </w:rPr>
        <w:t xml:space="preserve"> </w:t>
      </w:r>
      <w:r w:rsidR="0017025F">
        <w:rPr>
          <w:rFonts w:eastAsia="楷体_GB2312" w:hint="eastAsia"/>
          <w:color w:val="FF6600"/>
        </w:rPr>
        <w:t>国金证券研究所</w:t>
      </w:r>
    </w:p>
    <w:p w:rsidR="00F94C9B" w:rsidRPr="00F40F37" w:rsidRDefault="00C1208F" w:rsidP="00F94C9B">
      <w:pPr>
        <w:widowControl/>
        <w:spacing w:after="120" w:line="240" w:lineRule="exact"/>
        <w:ind w:left="3430"/>
        <w:rPr>
          <w:rFonts w:ascii="Arial" w:eastAsia="楷体_GB2312" w:hAnsi="Arial" w:cs="Times New Roman"/>
          <w:b/>
          <w:bCs/>
          <w:color w:val="0070C0"/>
          <w:kern w:val="0"/>
          <w:szCs w:val="21"/>
          <w:lang w:val="en-GB"/>
        </w:rPr>
      </w:pPr>
      <w:r>
        <w:rPr>
          <w:rFonts w:ascii="Arial" w:eastAsia="楷体_GB2312" w:hAnsi="Arial" w:cs="Times New Roman" w:hint="eastAsia"/>
          <w:b/>
          <w:bCs/>
          <w:color w:val="0070C0"/>
          <w:kern w:val="0"/>
          <w:szCs w:val="21"/>
          <w:lang w:val="en-GB"/>
        </w:rPr>
        <w:t>IPO</w:t>
      </w:r>
      <w:r w:rsidR="001C3E81">
        <w:rPr>
          <w:rFonts w:ascii="Arial" w:eastAsia="楷体_GB2312" w:hAnsi="Arial" w:cs="Times New Roman" w:hint="eastAsia"/>
          <w:b/>
          <w:bCs/>
          <w:color w:val="0070C0"/>
          <w:kern w:val="0"/>
          <w:szCs w:val="21"/>
          <w:lang w:val="en-GB"/>
        </w:rPr>
        <w:t>注入新意</w:t>
      </w:r>
      <w:r>
        <w:rPr>
          <w:rFonts w:ascii="Arial" w:eastAsia="楷体_GB2312" w:hAnsi="Arial" w:cs="Times New Roman" w:hint="eastAsia"/>
          <w:b/>
          <w:bCs/>
          <w:color w:val="0070C0"/>
          <w:kern w:val="0"/>
          <w:szCs w:val="21"/>
          <w:lang w:val="en-GB"/>
        </w:rPr>
        <w:t>，</w:t>
      </w:r>
      <w:r w:rsidR="001C3E81">
        <w:rPr>
          <w:rFonts w:ascii="Arial" w:eastAsia="楷体_GB2312" w:hAnsi="Arial" w:cs="Times New Roman" w:hint="eastAsia"/>
          <w:b/>
          <w:bCs/>
          <w:color w:val="0070C0"/>
          <w:kern w:val="0"/>
          <w:szCs w:val="21"/>
          <w:lang w:val="en-GB"/>
        </w:rPr>
        <w:t>产品策略或有惊喜</w:t>
      </w:r>
    </w:p>
    <w:p w:rsidR="00B06D07" w:rsidRPr="001F0934" w:rsidRDefault="00C1208F" w:rsidP="00F94C9B">
      <w:pPr>
        <w:pStyle w:val="ab"/>
        <w:numPr>
          <w:ilvl w:val="4"/>
          <w:numId w:val="1"/>
        </w:numPr>
        <w:spacing w:after="163"/>
        <w:rPr>
          <w:rFonts w:eastAsiaTheme="minorEastAsia"/>
        </w:rPr>
      </w:pPr>
      <w:r w:rsidRPr="001F0934">
        <w:rPr>
          <w:rFonts w:eastAsia="楷体_GB2312" w:hint="eastAsia"/>
          <w:color w:val="auto"/>
        </w:rPr>
        <w:t>IPO</w:t>
      </w:r>
      <w:r w:rsidRPr="001F0934">
        <w:rPr>
          <w:rFonts w:eastAsia="楷体_GB2312" w:hint="eastAsia"/>
          <w:color w:val="auto"/>
        </w:rPr>
        <w:t>在新规下</w:t>
      </w:r>
      <w:r w:rsidR="009C0F5E" w:rsidRPr="001F0934">
        <w:rPr>
          <w:rFonts w:eastAsia="楷体_GB2312" w:hint="eastAsia"/>
          <w:color w:val="auto"/>
        </w:rPr>
        <w:t>预计</w:t>
      </w:r>
      <w:r w:rsidR="009C0F5E" w:rsidRPr="001F0934">
        <w:rPr>
          <w:rFonts w:eastAsia="楷体_GB2312" w:hint="eastAsia"/>
          <w:color w:val="auto"/>
        </w:rPr>
        <w:t>2014</w:t>
      </w:r>
      <w:r w:rsidR="009C0F5E" w:rsidRPr="001F0934">
        <w:rPr>
          <w:rFonts w:eastAsia="楷体_GB2312" w:hint="eastAsia"/>
          <w:color w:val="auto"/>
        </w:rPr>
        <w:t>年一季度</w:t>
      </w:r>
      <w:r w:rsidRPr="001F0934">
        <w:rPr>
          <w:rFonts w:eastAsia="楷体_GB2312" w:hint="eastAsia"/>
          <w:color w:val="auto"/>
        </w:rPr>
        <w:t>开闸</w:t>
      </w:r>
      <w:r w:rsidR="001F0934" w:rsidRPr="001F0934">
        <w:rPr>
          <w:rFonts w:eastAsia="楷体_GB2312" w:hint="eastAsia"/>
          <w:color w:val="auto"/>
        </w:rPr>
        <w:t>。新投资标的</w:t>
      </w:r>
      <w:r w:rsidR="00351E87">
        <w:rPr>
          <w:rFonts w:eastAsia="楷体_GB2312" w:hint="eastAsia"/>
          <w:color w:val="auto"/>
        </w:rPr>
        <w:t>的上市将</w:t>
      </w:r>
      <w:r w:rsidR="001F0934" w:rsidRPr="001F0934">
        <w:rPr>
          <w:rFonts w:eastAsia="楷体_GB2312" w:hint="eastAsia"/>
          <w:color w:val="auto"/>
        </w:rPr>
        <w:t>为市场输入新的投资选择，大量新公司尤其是那些当前盈利不佳但商业模式创新公司的涌入，将对资产管理机构的辨别能力提出考验，</w:t>
      </w:r>
      <w:r w:rsidR="00351E87">
        <w:rPr>
          <w:rFonts w:eastAsia="楷体_GB2312" w:hint="eastAsia"/>
          <w:color w:val="auto"/>
        </w:rPr>
        <w:t>自然也</w:t>
      </w:r>
      <w:r w:rsidR="001F0934" w:rsidRPr="001F0934">
        <w:rPr>
          <w:rFonts w:eastAsia="楷体_GB2312" w:hint="eastAsia"/>
          <w:color w:val="auto"/>
        </w:rPr>
        <w:t>蕴含</w:t>
      </w:r>
      <w:r w:rsidR="00351E87">
        <w:rPr>
          <w:rFonts w:eastAsia="楷体_GB2312" w:hint="eastAsia"/>
          <w:color w:val="auto"/>
        </w:rPr>
        <w:t>着</w:t>
      </w:r>
      <w:r w:rsidR="001F0934" w:rsidRPr="001F0934">
        <w:rPr>
          <w:rFonts w:eastAsia="楷体_GB2312" w:hint="eastAsia"/>
          <w:color w:val="auto"/>
        </w:rPr>
        <w:t>丰富的投资机会。</w:t>
      </w:r>
      <w:r w:rsidR="00A64DF9">
        <w:rPr>
          <w:rFonts w:eastAsia="楷体_GB2312" w:hint="eastAsia"/>
          <w:color w:val="auto"/>
        </w:rPr>
        <w:t>而且，</w:t>
      </w:r>
      <w:r w:rsidR="001F0934" w:rsidRPr="001F0934">
        <w:rPr>
          <w:rFonts w:eastAsia="楷体_GB2312" w:hint="eastAsia"/>
          <w:color w:val="auto"/>
        </w:rPr>
        <w:t>新的上市规则、网上网下申购规则、上市首日交易规则，在提升基金参与新股投资的优势同时，也为基金等资产管理机构带来新的投资操作策略</w:t>
      </w:r>
      <w:r w:rsidR="00DE3F62" w:rsidRPr="001F0934">
        <w:rPr>
          <w:rFonts w:eastAsia="楷体_GB2312" w:hint="eastAsia"/>
          <w:color w:val="auto"/>
        </w:rPr>
        <w:t>，相应的资产管理机构也会针对性的开发出新产品。无论是新标的、新策略还是新产品，</w:t>
      </w:r>
      <w:r w:rsidR="009C410D" w:rsidRPr="001F0934">
        <w:rPr>
          <w:rFonts w:eastAsia="楷体_GB2312" w:hint="eastAsia"/>
          <w:color w:val="auto"/>
        </w:rPr>
        <w:t>不排除带给投资者些许惊喜的可能。</w:t>
      </w:r>
    </w:p>
    <w:p w:rsidR="00B10000" w:rsidRPr="00F94C9B" w:rsidRDefault="00B10000">
      <w:pPr>
        <w:widowControl/>
        <w:jc w:val="left"/>
        <w:rPr>
          <w:rFonts w:ascii="Arial" w:eastAsia="KaiTi_GB2312" w:hAnsi="Arial" w:cs="Times New Roman"/>
          <w:b/>
          <w:kern w:val="0"/>
          <w:szCs w:val="20"/>
          <w:lang w:val="en-GB"/>
        </w:rPr>
      </w:pPr>
      <w:r>
        <w:rPr>
          <w:rFonts w:ascii="Arial" w:eastAsia="KaiTi_GB2312" w:hAnsi="Arial"/>
          <w:b/>
          <w:kern w:val="0"/>
          <w:szCs w:val="20"/>
          <w:lang w:val="en-GB"/>
        </w:rPr>
        <w:br w:type="page"/>
      </w:r>
    </w:p>
    <w:p w:rsidR="00B10000" w:rsidRPr="001609A2" w:rsidRDefault="00B10000" w:rsidP="00B10000">
      <w:pPr>
        <w:pStyle w:val="aa"/>
        <w:spacing w:after="312"/>
        <w:rPr>
          <w:rFonts w:ascii="Arial" w:eastAsia="楷体_GB2312" w:hAnsi="Arial"/>
          <w:b/>
          <w:kern w:val="0"/>
          <w:sz w:val="21"/>
          <w:szCs w:val="20"/>
          <w:lang w:val="en-GB"/>
        </w:rPr>
      </w:pPr>
      <w:r w:rsidRPr="001609A2">
        <w:rPr>
          <w:rFonts w:ascii="Arial" w:eastAsia="楷体_GB2312" w:hAnsi="Arial" w:hint="eastAsia"/>
          <w:b/>
          <w:kern w:val="0"/>
          <w:sz w:val="21"/>
          <w:szCs w:val="20"/>
          <w:lang w:val="en-GB"/>
        </w:rPr>
        <w:lastRenderedPageBreak/>
        <w:t>特别声明：</w:t>
      </w:r>
    </w:p>
    <w:p w:rsidR="00B10000" w:rsidRPr="001609A2" w:rsidRDefault="00B10000" w:rsidP="00BE45B4">
      <w:pPr>
        <w:pStyle w:val="aa"/>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1609A2" w:rsidRDefault="00B10000" w:rsidP="00BE45B4">
      <w:pPr>
        <w:pStyle w:val="aa"/>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1609A2" w:rsidRDefault="00B10000" w:rsidP="00BE45B4">
      <w:pPr>
        <w:pStyle w:val="aa"/>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B10000" w:rsidRDefault="00B10000">
      <w:pPr>
        <w:rPr>
          <w:lang w:val="en-GB"/>
        </w:rPr>
      </w:pPr>
    </w:p>
    <w:sectPr w:rsidR="00B10000" w:rsidRPr="00B10000" w:rsidSect="00656031">
      <w:headerReference w:type="default" r:id="rId21"/>
      <w:footerReference w:type="default" r:id="rId22"/>
      <w:headerReference w:type="first" r:id="rId23"/>
      <w:footerReference w:type="first" r:id="rId24"/>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A0E" w:rsidRDefault="00951A0E" w:rsidP="00B10000">
      <w:r>
        <w:separator/>
      </w:r>
    </w:p>
  </w:endnote>
  <w:endnote w:type="continuationSeparator" w:id="1">
    <w:p w:rsidR="00951A0E" w:rsidRDefault="00951A0E"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KaiTi_GB2312">
    <w:altName w:val="MS Gothic"/>
    <w:panose1 w:val="02010609060101010101"/>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C67F84">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2C15CE">
              <w:rPr>
                <w:b/>
                <w:noProof/>
              </w:rPr>
              <w:t>8</w:t>
            </w:r>
            <w:r>
              <w:rPr>
                <w:b/>
                <w:sz w:val="24"/>
                <w:szCs w:val="24"/>
              </w:rPr>
              <w:fldChar w:fldCharType="end"/>
            </w:r>
            <w:r w:rsidR="00B10000">
              <w:rPr>
                <w:lang w:val="zh-CN"/>
              </w:rPr>
              <w:t xml:space="preserve"> / </w:t>
            </w:r>
            <w:r>
              <w:rPr>
                <w:b/>
                <w:sz w:val="24"/>
                <w:szCs w:val="24"/>
              </w:rPr>
              <w:fldChar w:fldCharType="begin"/>
            </w:r>
            <w:r w:rsidR="00B10000">
              <w:rPr>
                <w:b/>
              </w:rPr>
              <w:instrText>NUMPAGES</w:instrText>
            </w:r>
            <w:r>
              <w:rPr>
                <w:b/>
                <w:sz w:val="24"/>
                <w:szCs w:val="24"/>
              </w:rPr>
              <w:fldChar w:fldCharType="separate"/>
            </w:r>
            <w:r w:rsidR="002C15CE">
              <w:rPr>
                <w:b/>
                <w:noProof/>
              </w:rPr>
              <w:t>8</w:t>
            </w:r>
            <w:r>
              <w:rPr>
                <w:b/>
                <w:sz w:val="24"/>
                <w:szCs w:val="24"/>
              </w:rPr>
              <w:fldChar w:fldCharType="end"/>
            </w:r>
          </w:sdtContent>
        </w:sdt>
      </w:sdtContent>
    </w:sdt>
  </w:p>
  <w:p w:rsidR="00B10000" w:rsidRDefault="00B1000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B10000" w:rsidRDefault="00C67F84">
            <w:pPr>
              <w:pStyle w:val="a4"/>
              <w:jc w:val="center"/>
            </w:pPr>
            <w:r>
              <w:pict>
                <v:rect id="_x0000_i1029" style="width:571.2pt;height:2pt" o:hralign="center" o:hrstd="t" o:hrnoshade="t" o:hr="t" fillcolor="#e7a631" stroked="f"/>
              </w:pict>
            </w:r>
            <w:r w:rsidR="00B10000">
              <w:rPr>
                <w:lang w:val="zh-CN"/>
              </w:rPr>
              <w:t xml:space="preserve"> </w:t>
            </w:r>
            <w:r>
              <w:rPr>
                <w:b/>
                <w:sz w:val="24"/>
                <w:szCs w:val="24"/>
              </w:rPr>
              <w:fldChar w:fldCharType="begin"/>
            </w:r>
            <w:r w:rsidR="00B10000">
              <w:rPr>
                <w:b/>
              </w:rPr>
              <w:instrText>PAGE</w:instrText>
            </w:r>
            <w:r>
              <w:rPr>
                <w:b/>
                <w:sz w:val="24"/>
                <w:szCs w:val="24"/>
              </w:rPr>
              <w:fldChar w:fldCharType="separate"/>
            </w:r>
            <w:r w:rsidR="00652F07">
              <w:rPr>
                <w:b/>
                <w:noProof/>
              </w:rPr>
              <w:t>1</w:t>
            </w:r>
            <w:r>
              <w:rPr>
                <w:b/>
                <w:sz w:val="24"/>
                <w:szCs w:val="24"/>
              </w:rPr>
              <w:fldChar w:fldCharType="end"/>
            </w:r>
            <w:r w:rsidR="00B10000">
              <w:rPr>
                <w:lang w:val="zh-CN"/>
              </w:rPr>
              <w:t xml:space="preserve"> / </w:t>
            </w:r>
            <w:r>
              <w:rPr>
                <w:b/>
                <w:sz w:val="24"/>
                <w:szCs w:val="24"/>
              </w:rPr>
              <w:fldChar w:fldCharType="begin"/>
            </w:r>
            <w:r w:rsidR="00B10000">
              <w:rPr>
                <w:b/>
              </w:rPr>
              <w:instrText>NUMPAGES</w:instrText>
            </w:r>
            <w:r>
              <w:rPr>
                <w:b/>
                <w:sz w:val="24"/>
                <w:szCs w:val="24"/>
              </w:rPr>
              <w:fldChar w:fldCharType="separate"/>
            </w:r>
            <w:r w:rsidR="00652F07">
              <w:rPr>
                <w:b/>
                <w:noProof/>
              </w:rPr>
              <w:t>8</w:t>
            </w:r>
            <w:r>
              <w:rPr>
                <w:b/>
                <w:sz w:val="24"/>
                <w:szCs w:val="24"/>
              </w:rPr>
              <w:fldChar w:fldCharType="end"/>
            </w:r>
          </w:p>
        </w:sdtContent>
      </w:sdt>
    </w:sdtContent>
  </w:sdt>
  <w:p w:rsidR="00B10000" w:rsidRDefault="00B100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A0E" w:rsidRDefault="00951A0E" w:rsidP="00B10000">
      <w:r>
        <w:separator/>
      </w:r>
    </w:p>
  </w:footnote>
  <w:footnote w:type="continuationSeparator" w:id="1">
    <w:p w:rsidR="00951A0E" w:rsidRDefault="00951A0E"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C67F84"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B10000" w:rsidRDefault="00C67F84" w:rsidP="00B10000">
                  <w:pPr>
                    <w:pStyle w:val="12"/>
                  </w:pPr>
                  <w:r w:rsidRPr="00C67F8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75pt;height:32.2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B10000" w:rsidRPr="006E0F3C" w:rsidRDefault="00E4760A" w:rsidP="00B10000">
                  <w:pPr>
                    <w:pStyle w:val="2"/>
                  </w:pPr>
                  <w:r w:rsidRPr="00E4760A">
                    <w:rPr>
                      <w:rFonts w:hint="eastAsia"/>
                    </w:rPr>
                    <w:t>2014年公募基金投资策略</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000" w:rsidRDefault="00C67F84" w:rsidP="00BE45B4">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B10000" w:rsidRDefault="00BE45B4" w:rsidP="00B10000">
                  <w:pPr>
                    <w:pStyle w:val="a6"/>
                  </w:pPr>
                  <w:r w:rsidRPr="00C67F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B10000" w:rsidRPr="006E0F3C" w:rsidRDefault="00B10000" w:rsidP="008840A4">
                  <w:pPr>
                    <w:pStyle w:val="a5"/>
                    <w:spacing w:after="240"/>
                  </w:pPr>
                  <w:r w:rsidRPr="006E0F3C">
                    <w:rPr>
                      <w:rFonts w:hint="eastAsia"/>
                    </w:rPr>
                    <w:t>凯石工场研究报告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B10000" w:rsidRPr="006E0F3C" w:rsidRDefault="00B10000" w:rsidP="00B10000">
                  <w:pPr>
                    <w:pStyle w:val="a7"/>
                    <w:jc w:val="right"/>
                  </w:pPr>
                  <w:r w:rsidRPr="006E0F3C">
                    <w:rPr>
                      <w:rFonts w:hint="eastAsia"/>
                    </w:rPr>
                    <w:t>2013年1</w:t>
                  </w:r>
                  <w:r w:rsidR="00E4760A">
                    <w:rPr>
                      <w:rFonts w:hint="eastAsia"/>
                    </w:rPr>
                    <w:t>2</w:t>
                  </w:r>
                  <w:r w:rsidR="007D66BF">
                    <w:rPr>
                      <w:rFonts w:hint="eastAsia"/>
                    </w:rPr>
                    <w:t>月</w:t>
                  </w:r>
                  <w:r w:rsidR="00E4760A">
                    <w:rPr>
                      <w:rFonts w:hint="eastAsia"/>
                    </w:rPr>
                    <w:t>2</w:t>
                  </w:r>
                  <w:r w:rsidR="00BF1BED">
                    <w:rPr>
                      <w:rFonts w:hint="eastAsia"/>
                    </w:rPr>
                    <w:t>4</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B10000" w:rsidRDefault="00E4760A" w:rsidP="00B10000">
                  <w:pPr>
                    <w:pStyle w:val="a8"/>
                    <w:jc w:val="right"/>
                  </w:pPr>
                  <w:r w:rsidRPr="00E4760A">
                    <w:rPr>
                      <w:rFonts w:hint="eastAsia"/>
                    </w:rPr>
                    <w:t>2014年公募基金投资策略</w:t>
                  </w:r>
                </w:p>
                <w:p w:rsidR="00B10000" w:rsidRPr="00624366" w:rsidRDefault="00E52F16" w:rsidP="00B10000">
                  <w:pPr>
                    <w:pStyle w:val="a8"/>
                    <w:jc w:val="right"/>
                    <w:rPr>
                      <w:sz w:val="28"/>
                      <w:szCs w:val="28"/>
                    </w:rPr>
                  </w:pPr>
                  <w:r>
                    <w:rPr>
                      <w:rFonts w:hint="eastAsia"/>
                      <w:sz w:val="28"/>
                      <w:szCs w:val="28"/>
                    </w:rPr>
                    <w:t>主题年上演速度与激情</w:t>
                  </w:r>
                  <w:r w:rsidR="003B09B0" w:rsidRPr="003B09B0">
                    <w:rPr>
                      <w:rFonts w:hint="eastAsia"/>
                      <w:sz w:val="28"/>
                      <w:szCs w:val="28"/>
                    </w:rPr>
                    <w:t>，</w:t>
                  </w:r>
                  <w:r>
                    <w:rPr>
                      <w:rFonts w:hint="eastAsia"/>
                      <w:sz w:val="28"/>
                      <w:szCs w:val="28"/>
                    </w:rPr>
                    <w:t>择时能力迎来用武之地</w:t>
                  </w:r>
                </w:p>
              </w:txbxContent>
            </v:textbox>
          </v:shape>
          <v:shape id="_x0000_s1030" type="#_x0000_t202" style="position:absolute;left:3246;top:2578;width:7993;height:627" strokecolor="white">
            <v:textbox style="mso-next-textbox:#_x0000_s1030">
              <w:txbxContent>
                <w:p w:rsidR="00B10000" w:rsidRDefault="00B10000" w:rsidP="00B10000">
                  <w:pPr>
                    <w:pStyle w:val="a9"/>
                  </w:pPr>
                  <w:r w:rsidRPr="006E0F3C">
                    <w:rPr>
                      <w:rFonts w:hint="eastAsia"/>
                    </w:rPr>
                    <w:t xml:space="preserve">张剑辉 首席分析师 </w:t>
                  </w:r>
                </w:p>
                <w:p w:rsidR="00E52127" w:rsidRPr="006E0F3C" w:rsidRDefault="00E52127" w:rsidP="00E52127">
                  <w:pPr>
                    <w:pStyle w:val="a9"/>
                    <w:wordWrap w:val="0"/>
                  </w:pPr>
                  <w:r>
                    <w:rPr>
                      <w:rFonts w:hint="eastAsia"/>
                    </w:rPr>
                    <w:t>杨舒 高级分析师</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KaiTi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KaiTi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000"/>
    <w:rsid w:val="00000E19"/>
    <w:rsid w:val="000029A7"/>
    <w:rsid w:val="0000422A"/>
    <w:rsid w:val="00005573"/>
    <w:rsid w:val="00006664"/>
    <w:rsid w:val="00011AA4"/>
    <w:rsid w:val="0001391F"/>
    <w:rsid w:val="00016FEE"/>
    <w:rsid w:val="0002028D"/>
    <w:rsid w:val="00021011"/>
    <w:rsid w:val="00021B60"/>
    <w:rsid w:val="00023796"/>
    <w:rsid w:val="000253A1"/>
    <w:rsid w:val="00026157"/>
    <w:rsid w:val="00030DA9"/>
    <w:rsid w:val="0003185B"/>
    <w:rsid w:val="00032786"/>
    <w:rsid w:val="00034C20"/>
    <w:rsid w:val="00041A4A"/>
    <w:rsid w:val="00044D2F"/>
    <w:rsid w:val="00045287"/>
    <w:rsid w:val="00046736"/>
    <w:rsid w:val="0004681E"/>
    <w:rsid w:val="00046929"/>
    <w:rsid w:val="00047DBC"/>
    <w:rsid w:val="00050901"/>
    <w:rsid w:val="0005199E"/>
    <w:rsid w:val="00051D27"/>
    <w:rsid w:val="000523AB"/>
    <w:rsid w:val="00053D98"/>
    <w:rsid w:val="00053DA5"/>
    <w:rsid w:val="00055DD2"/>
    <w:rsid w:val="00060A8A"/>
    <w:rsid w:val="00063B9F"/>
    <w:rsid w:val="000645DD"/>
    <w:rsid w:val="00066569"/>
    <w:rsid w:val="00066BBB"/>
    <w:rsid w:val="00071EEE"/>
    <w:rsid w:val="0007557C"/>
    <w:rsid w:val="00075B19"/>
    <w:rsid w:val="0008067A"/>
    <w:rsid w:val="00081118"/>
    <w:rsid w:val="00081208"/>
    <w:rsid w:val="000851F8"/>
    <w:rsid w:val="000874C0"/>
    <w:rsid w:val="000874DE"/>
    <w:rsid w:val="00087A79"/>
    <w:rsid w:val="00091E7C"/>
    <w:rsid w:val="00093760"/>
    <w:rsid w:val="00097891"/>
    <w:rsid w:val="000A0045"/>
    <w:rsid w:val="000A0200"/>
    <w:rsid w:val="000A2E30"/>
    <w:rsid w:val="000A3AF7"/>
    <w:rsid w:val="000A3F69"/>
    <w:rsid w:val="000A6127"/>
    <w:rsid w:val="000A61C2"/>
    <w:rsid w:val="000A6C46"/>
    <w:rsid w:val="000A7D34"/>
    <w:rsid w:val="000B214F"/>
    <w:rsid w:val="000B4549"/>
    <w:rsid w:val="000B6599"/>
    <w:rsid w:val="000C1903"/>
    <w:rsid w:val="000C26B1"/>
    <w:rsid w:val="000C560C"/>
    <w:rsid w:val="000C5AA9"/>
    <w:rsid w:val="000D0A63"/>
    <w:rsid w:val="000D120E"/>
    <w:rsid w:val="000D172C"/>
    <w:rsid w:val="000D3A3A"/>
    <w:rsid w:val="000D6608"/>
    <w:rsid w:val="000E2EDF"/>
    <w:rsid w:val="000E3E62"/>
    <w:rsid w:val="000E455B"/>
    <w:rsid w:val="000E4CCA"/>
    <w:rsid w:val="000E6028"/>
    <w:rsid w:val="000E63CE"/>
    <w:rsid w:val="000F17A4"/>
    <w:rsid w:val="000F1B1F"/>
    <w:rsid w:val="000F1B5B"/>
    <w:rsid w:val="000F5835"/>
    <w:rsid w:val="000F61AF"/>
    <w:rsid w:val="000F6D23"/>
    <w:rsid w:val="000F6F39"/>
    <w:rsid w:val="001015AE"/>
    <w:rsid w:val="00101F24"/>
    <w:rsid w:val="00102244"/>
    <w:rsid w:val="0010550D"/>
    <w:rsid w:val="00105DAE"/>
    <w:rsid w:val="00110DA0"/>
    <w:rsid w:val="00111800"/>
    <w:rsid w:val="001129A7"/>
    <w:rsid w:val="00112F63"/>
    <w:rsid w:val="00113693"/>
    <w:rsid w:val="001161DB"/>
    <w:rsid w:val="00116263"/>
    <w:rsid w:val="00116CE6"/>
    <w:rsid w:val="00117538"/>
    <w:rsid w:val="00125DED"/>
    <w:rsid w:val="00131E5C"/>
    <w:rsid w:val="001360B9"/>
    <w:rsid w:val="001375D6"/>
    <w:rsid w:val="00137804"/>
    <w:rsid w:val="00137B68"/>
    <w:rsid w:val="0014101E"/>
    <w:rsid w:val="001410E9"/>
    <w:rsid w:val="001418E9"/>
    <w:rsid w:val="00145791"/>
    <w:rsid w:val="00145E53"/>
    <w:rsid w:val="0014676E"/>
    <w:rsid w:val="00152120"/>
    <w:rsid w:val="00152298"/>
    <w:rsid w:val="00152953"/>
    <w:rsid w:val="00154FA6"/>
    <w:rsid w:val="001556D7"/>
    <w:rsid w:val="001602A3"/>
    <w:rsid w:val="001609A2"/>
    <w:rsid w:val="001615D1"/>
    <w:rsid w:val="001640A4"/>
    <w:rsid w:val="00164D9C"/>
    <w:rsid w:val="00166645"/>
    <w:rsid w:val="00166E52"/>
    <w:rsid w:val="0017025F"/>
    <w:rsid w:val="00171E69"/>
    <w:rsid w:val="001728A4"/>
    <w:rsid w:val="00173FFD"/>
    <w:rsid w:val="00174EF9"/>
    <w:rsid w:val="00177319"/>
    <w:rsid w:val="00180BE1"/>
    <w:rsid w:val="00181F34"/>
    <w:rsid w:val="0018327F"/>
    <w:rsid w:val="0018379B"/>
    <w:rsid w:val="00185269"/>
    <w:rsid w:val="00185F9C"/>
    <w:rsid w:val="0019050E"/>
    <w:rsid w:val="00192CE7"/>
    <w:rsid w:val="00194C36"/>
    <w:rsid w:val="00195CE3"/>
    <w:rsid w:val="0019658E"/>
    <w:rsid w:val="00197D45"/>
    <w:rsid w:val="001A705C"/>
    <w:rsid w:val="001B1476"/>
    <w:rsid w:val="001B1F02"/>
    <w:rsid w:val="001B21B7"/>
    <w:rsid w:val="001B4410"/>
    <w:rsid w:val="001B7CE9"/>
    <w:rsid w:val="001C0EEA"/>
    <w:rsid w:val="001C1EF1"/>
    <w:rsid w:val="001C3E81"/>
    <w:rsid w:val="001C618D"/>
    <w:rsid w:val="001C651B"/>
    <w:rsid w:val="001C73E7"/>
    <w:rsid w:val="001D25E4"/>
    <w:rsid w:val="001D3C98"/>
    <w:rsid w:val="001D52F4"/>
    <w:rsid w:val="001D7EE7"/>
    <w:rsid w:val="001E2BAE"/>
    <w:rsid w:val="001F0934"/>
    <w:rsid w:val="001F3E30"/>
    <w:rsid w:val="001F5926"/>
    <w:rsid w:val="001F643C"/>
    <w:rsid w:val="00201AC3"/>
    <w:rsid w:val="00202C2B"/>
    <w:rsid w:val="002038E2"/>
    <w:rsid w:val="00206AC5"/>
    <w:rsid w:val="0020734D"/>
    <w:rsid w:val="00207443"/>
    <w:rsid w:val="002075F0"/>
    <w:rsid w:val="002143A9"/>
    <w:rsid w:val="00220DD2"/>
    <w:rsid w:val="002227B7"/>
    <w:rsid w:val="00222934"/>
    <w:rsid w:val="00226F3A"/>
    <w:rsid w:val="00231F40"/>
    <w:rsid w:val="0023421B"/>
    <w:rsid w:val="00234530"/>
    <w:rsid w:val="00235011"/>
    <w:rsid w:val="00237BD5"/>
    <w:rsid w:val="00241218"/>
    <w:rsid w:val="00241EEE"/>
    <w:rsid w:val="002435C9"/>
    <w:rsid w:val="002451A2"/>
    <w:rsid w:val="00245441"/>
    <w:rsid w:val="002477E1"/>
    <w:rsid w:val="0025077E"/>
    <w:rsid w:val="00250800"/>
    <w:rsid w:val="002540D4"/>
    <w:rsid w:val="00255A22"/>
    <w:rsid w:val="00256A3A"/>
    <w:rsid w:val="00256FBC"/>
    <w:rsid w:val="002602D2"/>
    <w:rsid w:val="00261350"/>
    <w:rsid w:val="00262E05"/>
    <w:rsid w:val="002630FB"/>
    <w:rsid w:val="00267F8F"/>
    <w:rsid w:val="00270827"/>
    <w:rsid w:val="00272C58"/>
    <w:rsid w:val="002753B7"/>
    <w:rsid w:val="00276646"/>
    <w:rsid w:val="00281FBC"/>
    <w:rsid w:val="00283879"/>
    <w:rsid w:val="002845EC"/>
    <w:rsid w:val="0028468E"/>
    <w:rsid w:val="00287491"/>
    <w:rsid w:val="00294162"/>
    <w:rsid w:val="00294B8F"/>
    <w:rsid w:val="0029687F"/>
    <w:rsid w:val="00297477"/>
    <w:rsid w:val="002A1243"/>
    <w:rsid w:val="002A5EE2"/>
    <w:rsid w:val="002A6798"/>
    <w:rsid w:val="002B2586"/>
    <w:rsid w:val="002B3A85"/>
    <w:rsid w:val="002C15CE"/>
    <w:rsid w:val="002C2849"/>
    <w:rsid w:val="002C468C"/>
    <w:rsid w:val="002D27D9"/>
    <w:rsid w:val="002D33F2"/>
    <w:rsid w:val="002D50E8"/>
    <w:rsid w:val="002D6EBA"/>
    <w:rsid w:val="002D7992"/>
    <w:rsid w:val="002E32FD"/>
    <w:rsid w:val="002E34C7"/>
    <w:rsid w:val="002E47B6"/>
    <w:rsid w:val="002E6732"/>
    <w:rsid w:val="002E794A"/>
    <w:rsid w:val="002F28EF"/>
    <w:rsid w:val="002F6091"/>
    <w:rsid w:val="002F6876"/>
    <w:rsid w:val="002F68C6"/>
    <w:rsid w:val="00300CF5"/>
    <w:rsid w:val="0030310E"/>
    <w:rsid w:val="003056A1"/>
    <w:rsid w:val="00305C2C"/>
    <w:rsid w:val="003065E5"/>
    <w:rsid w:val="00307014"/>
    <w:rsid w:val="00310630"/>
    <w:rsid w:val="00310654"/>
    <w:rsid w:val="003138D3"/>
    <w:rsid w:val="00313D2F"/>
    <w:rsid w:val="00315A5E"/>
    <w:rsid w:val="00316CFF"/>
    <w:rsid w:val="00317EA3"/>
    <w:rsid w:val="0032315A"/>
    <w:rsid w:val="00326665"/>
    <w:rsid w:val="003267CA"/>
    <w:rsid w:val="00327895"/>
    <w:rsid w:val="00330B3A"/>
    <w:rsid w:val="003325C8"/>
    <w:rsid w:val="00333101"/>
    <w:rsid w:val="00333E93"/>
    <w:rsid w:val="00333EF1"/>
    <w:rsid w:val="00334A7D"/>
    <w:rsid w:val="003369C2"/>
    <w:rsid w:val="00337589"/>
    <w:rsid w:val="00340CF1"/>
    <w:rsid w:val="003420EF"/>
    <w:rsid w:val="00343F99"/>
    <w:rsid w:val="00347A3B"/>
    <w:rsid w:val="00347BD8"/>
    <w:rsid w:val="00351E87"/>
    <w:rsid w:val="003533E7"/>
    <w:rsid w:val="0035363E"/>
    <w:rsid w:val="0035589E"/>
    <w:rsid w:val="003559FC"/>
    <w:rsid w:val="00356B4C"/>
    <w:rsid w:val="0036053B"/>
    <w:rsid w:val="00360E1F"/>
    <w:rsid w:val="003629A1"/>
    <w:rsid w:val="0037074A"/>
    <w:rsid w:val="00371213"/>
    <w:rsid w:val="003729AE"/>
    <w:rsid w:val="00375179"/>
    <w:rsid w:val="003775CB"/>
    <w:rsid w:val="00381444"/>
    <w:rsid w:val="00381992"/>
    <w:rsid w:val="0038238B"/>
    <w:rsid w:val="00385B41"/>
    <w:rsid w:val="00391A99"/>
    <w:rsid w:val="00391FD6"/>
    <w:rsid w:val="003951B9"/>
    <w:rsid w:val="00395CFA"/>
    <w:rsid w:val="00396C9C"/>
    <w:rsid w:val="00397BDC"/>
    <w:rsid w:val="003A481F"/>
    <w:rsid w:val="003A5DC1"/>
    <w:rsid w:val="003A6147"/>
    <w:rsid w:val="003A7593"/>
    <w:rsid w:val="003B09B0"/>
    <w:rsid w:val="003B3072"/>
    <w:rsid w:val="003B3C44"/>
    <w:rsid w:val="003B47DC"/>
    <w:rsid w:val="003B4D70"/>
    <w:rsid w:val="003B587D"/>
    <w:rsid w:val="003B7474"/>
    <w:rsid w:val="003B7CDC"/>
    <w:rsid w:val="003C26E3"/>
    <w:rsid w:val="003C5E25"/>
    <w:rsid w:val="003D05A4"/>
    <w:rsid w:val="003D5B64"/>
    <w:rsid w:val="003D5F17"/>
    <w:rsid w:val="003D6406"/>
    <w:rsid w:val="003D7298"/>
    <w:rsid w:val="003D7F3E"/>
    <w:rsid w:val="003E053D"/>
    <w:rsid w:val="003E1107"/>
    <w:rsid w:val="003E3722"/>
    <w:rsid w:val="003E48A5"/>
    <w:rsid w:val="003E496D"/>
    <w:rsid w:val="003E595A"/>
    <w:rsid w:val="003E7620"/>
    <w:rsid w:val="003F2C9A"/>
    <w:rsid w:val="003F46B3"/>
    <w:rsid w:val="003F6CBD"/>
    <w:rsid w:val="003F7539"/>
    <w:rsid w:val="00400479"/>
    <w:rsid w:val="004014F0"/>
    <w:rsid w:val="00402AD8"/>
    <w:rsid w:val="00406C20"/>
    <w:rsid w:val="00407BE7"/>
    <w:rsid w:val="00407E82"/>
    <w:rsid w:val="00407EBC"/>
    <w:rsid w:val="00411A44"/>
    <w:rsid w:val="004125AE"/>
    <w:rsid w:val="00412A47"/>
    <w:rsid w:val="004144B7"/>
    <w:rsid w:val="00415687"/>
    <w:rsid w:val="00416CBE"/>
    <w:rsid w:val="004172B5"/>
    <w:rsid w:val="00417D0B"/>
    <w:rsid w:val="004201E5"/>
    <w:rsid w:val="0042220C"/>
    <w:rsid w:val="00424612"/>
    <w:rsid w:val="00424971"/>
    <w:rsid w:val="004252BF"/>
    <w:rsid w:val="004302B6"/>
    <w:rsid w:val="00431666"/>
    <w:rsid w:val="00431689"/>
    <w:rsid w:val="00432EE0"/>
    <w:rsid w:val="004332FB"/>
    <w:rsid w:val="0043361C"/>
    <w:rsid w:val="0043422C"/>
    <w:rsid w:val="00434A50"/>
    <w:rsid w:val="00434E6B"/>
    <w:rsid w:val="00435555"/>
    <w:rsid w:val="00437621"/>
    <w:rsid w:val="0044427B"/>
    <w:rsid w:val="00444361"/>
    <w:rsid w:val="0044537B"/>
    <w:rsid w:val="00451119"/>
    <w:rsid w:val="004530E5"/>
    <w:rsid w:val="004535BF"/>
    <w:rsid w:val="00453EAC"/>
    <w:rsid w:val="00454822"/>
    <w:rsid w:val="00454CFF"/>
    <w:rsid w:val="00457391"/>
    <w:rsid w:val="0046129D"/>
    <w:rsid w:val="004631F4"/>
    <w:rsid w:val="00465B73"/>
    <w:rsid w:val="00466158"/>
    <w:rsid w:val="00471193"/>
    <w:rsid w:val="00474253"/>
    <w:rsid w:val="004766E1"/>
    <w:rsid w:val="00476B69"/>
    <w:rsid w:val="0048048B"/>
    <w:rsid w:val="00484937"/>
    <w:rsid w:val="00486443"/>
    <w:rsid w:val="00491016"/>
    <w:rsid w:val="00494BA2"/>
    <w:rsid w:val="00494F21"/>
    <w:rsid w:val="00496111"/>
    <w:rsid w:val="0049726E"/>
    <w:rsid w:val="004A1A11"/>
    <w:rsid w:val="004A2382"/>
    <w:rsid w:val="004A2ACB"/>
    <w:rsid w:val="004A61EA"/>
    <w:rsid w:val="004A72AB"/>
    <w:rsid w:val="004B0E7D"/>
    <w:rsid w:val="004B2BBA"/>
    <w:rsid w:val="004B3350"/>
    <w:rsid w:val="004B5A4C"/>
    <w:rsid w:val="004C2631"/>
    <w:rsid w:val="004C61A7"/>
    <w:rsid w:val="004D04FC"/>
    <w:rsid w:val="004D0ACC"/>
    <w:rsid w:val="004D2993"/>
    <w:rsid w:val="004D31F9"/>
    <w:rsid w:val="004D3C37"/>
    <w:rsid w:val="004D451E"/>
    <w:rsid w:val="004D5065"/>
    <w:rsid w:val="004D5446"/>
    <w:rsid w:val="004D67C2"/>
    <w:rsid w:val="004D6C64"/>
    <w:rsid w:val="004E1BA0"/>
    <w:rsid w:val="004E1FD0"/>
    <w:rsid w:val="004E298E"/>
    <w:rsid w:val="004E304E"/>
    <w:rsid w:val="004E3C52"/>
    <w:rsid w:val="004E5E4A"/>
    <w:rsid w:val="004E65EE"/>
    <w:rsid w:val="004E7A1E"/>
    <w:rsid w:val="004F060E"/>
    <w:rsid w:val="004F0833"/>
    <w:rsid w:val="004F343D"/>
    <w:rsid w:val="004F39DA"/>
    <w:rsid w:val="004F4202"/>
    <w:rsid w:val="004F5DA2"/>
    <w:rsid w:val="00503799"/>
    <w:rsid w:val="005057F1"/>
    <w:rsid w:val="00507DE8"/>
    <w:rsid w:val="005115E1"/>
    <w:rsid w:val="00511FB9"/>
    <w:rsid w:val="00512A9E"/>
    <w:rsid w:val="00514D5D"/>
    <w:rsid w:val="0052100E"/>
    <w:rsid w:val="005227C6"/>
    <w:rsid w:val="00525FCF"/>
    <w:rsid w:val="00526709"/>
    <w:rsid w:val="0053007C"/>
    <w:rsid w:val="00530101"/>
    <w:rsid w:val="0053086C"/>
    <w:rsid w:val="00531E6A"/>
    <w:rsid w:val="005332CB"/>
    <w:rsid w:val="005346AF"/>
    <w:rsid w:val="005369F2"/>
    <w:rsid w:val="00540BEF"/>
    <w:rsid w:val="00540ECB"/>
    <w:rsid w:val="00541D5F"/>
    <w:rsid w:val="00542C57"/>
    <w:rsid w:val="005441FC"/>
    <w:rsid w:val="00544AC6"/>
    <w:rsid w:val="00546779"/>
    <w:rsid w:val="00550A1D"/>
    <w:rsid w:val="005512DB"/>
    <w:rsid w:val="00551BF9"/>
    <w:rsid w:val="00553335"/>
    <w:rsid w:val="00555217"/>
    <w:rsid w:val="00557715"/>
    <w:rsid w:val="00561462"/>
    <w:rsid w:val="0056299F"/>
    <w:rsid w:val="00562AA0"/>
    <w:rsid w:val="005707CD"/>
    <w:rsid w:val="00572623"/>
    <w:rsid w:val="005736C8"/>
    <w:rsid w:val="005766A3"/>
    <w:rsid w:val="00576C22"/>
    <w:rsid w:val="005775C2"/>
    <w:rsid w:val="00577F2A"/>
    <w:rsid w:val="00582846"/>
    <w:rsid w:val="005846FF"/>
    <w:rsid w:val="0058496F"/>
    <w:rsid w:val="00584E6B"/>
    <w:rsid w:val="00586D8B"/>
    <w:rsid w:val="00586ECA"/>
    <w:rsid w:val="00590EA5"/>
    <w:rsid w:val="005915EE"/>
    <w:rsid w:val="00591993"/>
    <w:rsid w:val="005931A6"/>
    <w:rsid w:val="005966CF"/>
    <w:rsid w:val="005A06E3"/>
    <w:rsid w:val="005A1A0A"/>
    <w:rsid w:val="005A228A"/>
    <w:rsid w:val="005A516C"/>
    <w:rsid w:val="005A5F70"/>
    <w:rsid w:val="005A6A27"/>
    <w:rsid w:val="005A737A"/>
    <w:rsid w:val="005B5A41"/>
    <w:rsid w:val="005B5BDD"/>
    <w:rsid w:val="005B5EBF"/>
    <w:rsid w:val="005B7335"/>
    <w:rsid w:val="005C07A6"/>
    <w:rsid w:val="005C1C43"/>
    <w:rsid w:val="005C1C72"/>
    <w:rsid w:val="005C2196"/>
    <w:rsid w:val="005C3A2E"/>
    <w:rsid w:val="005C4668"/>
    <w:rsid w:val="005C4FC7"/>
    <w:rsid w:val="005D1521"/>
    <w:rsid w:val="005D1680"/>
    <w:rsid w:val="005D2044"/>
    <w:rsid w:val="005E1EEB"/>
    <w:rsid w:val="005E4D6F"/>
    <w:rsid w:val="005E7C5A"/>
    <w:rsid w:val="005F0668"/>
    <w:rsid w:val="005F0A57"/>
    <w:rsid w:val="005F152B"/>
    <w:rsid w:val="005F237F"/>
    <w:rsid w:val="005F2801"/>
    <w:rsid w:val="005F30F2"/>
    <w:rsid w:val="005F39F5"/>
    <w:rsid w:val="005F5ADD"/>
    <w:rsid w:val="005F5E5D"/>
    <w:rsid w:val="005F6178"/>
    <w:rsid w:val="005F63D1"/>
    <w:rsid w:val="005F732D"/>
    <w:rsid w:val="0060046D"/>
    <w:rsid w:val="0060162B"/>
    <w:rsid w:val="00603907"/>
    <w:rsid w:val="00607330"/>
    <w:rsid w:val="006106A1"/>
    <w:rsid w:val="006109DD"/>
    <w:rsid w:val="00611CA3"/>
    <w:rsid w:val="00612B2B"/>
    <w:rsid w:val="00613C2E"/>
    <w:rsid w:val="00614268"/>
    <w:rsid w:val="006144AE"/>
    <w:rsid w:val="00615A49"/>
    <w:rsid w:val="006163BB"/>
    <w:rsid w:val="00616699"/>
    <w:rsid w:val="00616F98"/>
    <w:rsid w:val="00623C62"/>
    <w:rsid w:val="00624902"/>
    <w:rsid w:val="006312B0"/>
    <w:rsid w:val="00635E4C"/>
    <w:rsid w:val="00636B6E"/>
    <w:rsid w:val="00640475"/>
    <w:rsid w:val="00641A96"/>
    <w:rsid w:val="00643301"/>
    <w:rsid w:val="006459A3"/>
    <w:rsid w:val="00647355"/>
    <w:rsid w:val="00647654"/>
    <w:rsid w:val="006512DE"/>
    <w:rsid w:val="00652F07"/>
    <w:rsid w:val="00656031"/>
    <w:rsid w:val="0066177D"/>
    <w:rsid w:val="006618E8"/>
    <w:rsid w:val="006619B6"/>
    <w:rsid w:val="00662A8E"/>
    <w:rsid w:val="00662F62"/>
    <w:rsid w:val="0066393D"/>
    <w:rsid w:val="006639D4"/>
    <w:rsid w:val="00673A5E"/>
    <w:rsid w:val="00674E69"/>
    <w:rsid w:val="00676922"/>
    <w:rsid w:val="00680EC2"/>
    <w:rsid w:val="00681305"/>
    <w:rsid w:val="006826D5"/>
    <w:rsid w:val="00682E63"/>
    <w:rsid w:val="00682F62"/>
    <w:rsid w:val="0068330F"/>
    <w:rsid w:val="00683C61"/>
    <w:rsid w:val="006845E1"/>
    <w:rsid w:val="00684953"/>
    <w:rsid w:val="0068772B"/>
    <w:rsid w:val="00687DEE"/>
    <w:rsid w:val="00690887"/>
    <w:rsid w:val="00690FF7"/>
    <w:rsid w:val="006927C1"/>
    <w:rsid w:val="00692A50"/>
    <w:rsid w:val="00695146"/>
    <w:rsid w:val="00695441"/>
    <w:rsid w:val="0069671F"/>
    <w:rsid w:val="00697A97"/>
    <w:rsid w:val="006A05B5"/>
    <w:rsid w:val="006A069E"/>
    <w:rsid w:val="006A09E5"/>
    <w:rsid w:val="006A1933"/>
    <w:rsid w:val="006A26E1"/>
    <w:rsid w:val="006A79C1"/>
    <w:rsid w:val="006B01CE"/>
    <w:rsid w:val="006B085A"/>
    <w:rsid w:val="006B0CD9"/>
    <w:rsid w:val="006B21B0"/>
    <w:rsid w:val="006B2B47"/>
    <w:rsid w:val="006B2E9D"/>
    <w:rsid w:val="006B3837"/>
    <w:rsid w:val="006C0CF4"/>
    <w:rsid w:val="006C2E39"/>
    <w:rsid w:val="006C531A"/>
    <w:rsid w:val="006C619C"/>
    <w:rsid w:val="006C72A4"/>
    <w:rsid w:val="006D1867"/>
    <w:rsid w:val="006D70EA"/>
    <w:rsid w:val="006D733D"/>
    <w:rsid w:val="006D7395"/>
    <w:rsid w:val="006E166C"/>
    <w:rsid w:val="006E18E9"/>
    <w:rsid w:val="006E29B1"/>
    <w:rsid w:val="006E40CF"/>
    <w:rsid w:val="006E5BF7"/>
    <w:rsid w:val="006E7B5E"/>
    <w:rsid w:val="006E7BCD"/>
    <w:rsid w:val="006F268F"/>
    <w:rsid w:val="006F331C"/>
    <w:rsid w:val="006F6811"/>
    <w:rsid w:val="00700013"/>
    <w:rsid w:val="007014CF"/>
    <w:rsid w:val="00702322"/>
    <w:rsid w:val="00706E03"/>
    <w:rsid w:val="007079A7"/>
    <w:rsid w:val="00710AF5"/>
    <w:rsid w:val="00711851"/>
    <w:rsid w:val="00711A60"/>
    <w:rsid w:val="00712570"/>
    <w:rsid w:val="0071348A"/>
    <w:rsid w:val="00714187"/>
    <w:rsid w:val="00716573"/>
    <w:rsid w:val="00716EE2"/>
    <w:rsid w:val="00717DA0"/>
    <w:rsid w:val="00720562"/>
    <w:rsid w:val="00720827"/>
    <w:rsid w:val="0072140C"/>
    <w:rsid w:val="0072608C"/>
    <w:rsid w:val="00726CC9"/>
    <w:rsid w:val="00727661"/>
    <w:rsid w:val="00727788"/>
    <w:rsid w:val="00731A3F"/>
    <w:rsid w:val="00731E33"/>
    <w:rsid w:val="00735235"/>
    <w:rsid w:val="00736E5E"/>
    <w:rsid w:val="00744977"/>
    <w:rsid w:val="007459CF"/>
    <w:rsid w:val="00746136"/>
    <w:rsid w:val="007463AF"/>
    <w:rsid w:val="00746484"/>
    <w:rsid w:val="00746994"/>
    <w:rsid w:val="00746D3D"/>
    <w:rsid w:val="00747524"/>
    <w:rsid w:val="007477F4"/>
    <w:rsid w:val="00747F3B"/>
    <w:rsid w:val="00750280"/>
    <w:rsid w:val="00750C7D"/>
    <w:rsid w:val="00750E78"/>
    <w:rsid w:val="00752A4A"/>
    <w:rsid w:val="00752BF9"/>
    <w:rsid w:val="007536ED"/>
    <w:rsid w:val="00755451"/>
    <w:rsid w:val="007560E1"/>
    <w:rsid w:val="00765D18"/>
    <w:rsid w:val="007671B5"/>
    <w:rsid w:val="0077008B"/>
    <w:rsid w:val="007707DD"/>
    <w:rsid w:val="007721A6"/>
    <w:rsid w:val="00780947"/>
    <w:rsid w:val="007825B3"/>
    <w:rsid w:val="00783788"/>
    <w:rsid w:val="0078389B"/>
    <w:rsid w:val="00787F9D"/>
    <w:rsid w:val="00793DA2"/>
    <w:rsid w:val="00794A5B"/>
    <w:rsid w:val="00794AF7"/>
    <w:rsid w:val="00795B73"/>
    <w:rsid w:val="007963E5"/>
    <w:rsid w:val="007A0F0A"/>
    <w:rsid w:val="007A1DE0"/>
    <w:rsid w:val="007A37B6"/>
    <w:rsid w:val="007A3D70"/>
    <w:rsid w:val="007A4528"/>
    <w:rsid w:val="007A6887"/>
    <w:rsid w:val="007A786C"/>
    <w:rsid w:val="007B2228"/>
    <w:rsid w:val="007B3754"/>
    <w:rsid w:val="007B572E"/>
    <w:rsid w:val="007B7EA4"/>
    <w:rsid w:val="007C0E62"/>
    <w:rsid w:val="007C2AA0"/>
    <w:rsid w:val="007C41D7"/>
    <w:rsid w:val="007D03A4"/>
    <w:rsid w:val="007D12BF"/>
    <w:rsid w:val="007D66BF"/>
    <w:rsid w:val="007E0CC2"/>
    <w:rsid w:val="007E159C"/>
    <w:rsid w:val="007E2ACD"/>
    <w:rsid w:val="007E4627"/>
    <w:rsid w:val="007E5E08"/>
    <w:rsid w:val="007E79BA"/>
    <w:rsid w:val="007F0CE8"/>
    <w:rsid w:val="007F5299"/>
    <w:rsid w:val="007F585F"/>
    <w:rsid w:val="007F594C"/>
    <w:rsid w:val="007F5AD3"/>
    <w:rsid w:val="00800430"/>
    <w:rsid w:val="00800D85"/>
    <w:rsid w:val="00802456"/>
    <w:rsid w:val="008073CA"/>
    <w:rsid w:val="00810257"/>
    <w:rsid w:val="00810B36"/>
    <w:rsid w:val="008118F9"/>
    <w:rsid w:val="0081385D"/>
    <w:rsid w:val="00821636"/>
    <w:rsid w:val="00821E1E"/>
    <w:rsid w:val="00824306"/>
    <w:rsid w:val="00831271"/>
    <w:rsid w:val="00832562"/>
    <w:rsid w:val="008332DF"/>
    <w:rsid w:val="008337AE"/>
    <w:rsid w:val="00833B8A"/>
    <w:rsid w:val="00833D09"/>
    <w:rsid w:val="00837286"/>
    <w:rsid w:val="00840DBB"/>
    <w:rsid w:val="00850F7D"/>
    <w:rsid w:val="00852BA8"/>
    <w:rsid w:val="008531F8"/>
    <w:rsid w:val="00854662"/>
    <w:rsid w:val="008548EB"/>
    <w:rsid w:val="00855039"/>
    <w:rsid w:val="00855BFA"/>
    <w:rsid w:val="0086197A"/>
    <w:rsid w:val="00863BBD"/>
    <w:rsid w:val="00865389"/>
    <w:rsid w:val="00865439"/>
    <w:rsid w:val="00865E63"/>
    <w:rsid w:val="0086631B"/>
    <w:rsid w:val="00866607"/>
    <w:rsid w:val="008718E9"/>
    <w:rsid w:val="008736F7"/>
    <w:rsid w:val="00875815"/>
    <w:rsid w:val="00875F04"/>
    <w:rsid w:val="008805B8"/>
    <w:rsid w:val="00882685"/>
    <w:rsid w:val="00884076"/>
    <w:rsid w:val="008840A4"/>
    <w:rsid w:val="00884730"/>
    <w:rsid w:val="00884B83"/>
    <w:rsid w:val="00884F6F"/>
    <w:rsid w:val="00887026"/>
    <w:rsid w:val="0088772D"/>
    <w:rsid w:val="00887B24"/>
    <w:rsid w:val="008903BA"/>
    <w:rsid w:val="00890421"/>
    <w:rsid w:val="00890E4A"/>
    <w:rsid w:val="00891377"/>
    <w:rsid w:val="00891D0B"/>
    <w:rsid w:val="00891E24"/>
    <w:rsid w:val="008964C5"/>
    <w:rsid w:val="00896DFA"/>
    <w:rsid w:val="008A1501"/>
    <w:rsid w:val="008A2A0F"/>
    <w:rsid w:val="008A3FA0"/>
    <w:rsid w:val="008B39DB"/>
    <w:rsid w:val="008B6F3B"/>
    <w:rsid w:val="008B7935"/>
    <w:rsid w:val="008C1208"/>
    <w:rsid w:val="008C16BF"/>
    <w:rsid w:val="008C38DE"/>
    <w:rsid w:val="008C7178"/>
    <w:rsid w:val="008D0E25"/>
    <w:rsid w:val="008D337E"/>
    <w:rsid w:val="008D6C35"/>
    <w:rsid w:val="008D7AA2"/>
    <w:rsid w:val="008D7F07"/>
    <w:rsid w:val="008E2240"/>
    <w:rsid w:val="008E2ED3"/>
    <w:rsid w:val="008E3E89"/>
    <w:rsid w:val="008E4584"/>
    <w:rsid w:val="008E4C12"/>
    <w:rsid w:val="008E4EA9"/>
    <w:rsid w:val="008E7BD6"/>
    <w:rsid w:val="008F0A1D"/>
    <w:rsid w:val="008F1C38"/>
    <w:rsid w:val="008F2245"/>
    <w:rsid w:val="008F2278"/>
    <w:rsid w:val="008F6FDF"/>
    <w:rsid w:val="00901AE0"/>
    <w:rsid w:val="00904A0E"/>
    <w:rsid w:val="0091102E"/>
    <w:rsid w:val="009110CF"/>
    <w:rsid w:val="00916D40"/>
    <w:rsid w:val="00917ACA"/>
    <w:rsid w:val="00921414"/>
    <w:rsid w:val="00923534"/>
    <w:rsid w:val="0092502B"/>
    <w:rsid w:val="009251F6"/>
    <w:rsid w:val="00926E5F"/>
    <w:rsid w:val="00934164"/>
    <w:rsid w:val="00936547"/>
    <w:rsid w:val="0094443A"/>
    <w:rsid w:val="00946AEA"/>
    <w:rsid w:val="009477B4"/>
    <w:rsid w:val="009479C6"/>
    <w:rsid w:val="00951A0E"/>
    <w:rsid w:val="009528F8"/>
    <w:rsid w:val="009543F2"/>
    <w:rsid w:val="00955287"/>
    <w:rsid w:val="00955ED0"/>
    <w:rsid w:val="009624C3"/>
    <w:rsid w:val="00962D41"/>
    <w:rsid w:val="009655B1"/>
    <w:rsid w:val="009670D1"/>
    <w:rsid w:val="00971EEF"/>
    <w:rsid w:val="00973316"/>
    <w:rsid w:val="0097377A"/>
    <w:rsid w:val="00975EF3"/>
    <w:rsid w:val="00975F20"/>
    <w:rsid w:val="00977B3A"/>
    <w:rsid w:val="00984471"/>
    <w:rsid w:val="0098747E"/>
    <w:rsid w:val="009916B0"/>
    <w:rsid w:val="009959DC"/>
    <w:rsid w:val="00995D4D"/>
    <w:rsid w:val="00997483"/>
    <w:rsid w:val="009A1A94"/>
    <w:rsid w:val="009A3EA9"/>
    <w:rsid w:val="009A51AC"/>
    <w:rsid w:val="009A6C6D"/>
    <w:rsid w:val="009B1BBD"/>
    <w:rsid w:val="009B426A"/>
    <w:rsid w:val="009B7A47"/>
    <w:rsid w:val="009C0F5E"/>
    <w:rsid w:val="009C3703"/>
    <w:rsid w:val="009C410D"/>
    <w:rsid w:val="009D0CC8"/>
    <w:rsid w:val="009D169B"/>
    <w:rsid w:val="009D43D0"/>
    <w:rsid w:val="009D5BE4"/>
    <w:rsid w:val="009E21AB"/>
    <w:rsid w:val="009E2581"/>
    <w:rsid w:val="009E2E26"/>
    <w:rsid w:val="009E66D5"/>
    <w:rsid w:val="009E6FA3"/>
    <w:rsid w:val="009F10A3"/>
    <w:rsid w:val="009F34EC"/>
    <w:rsid w:val="009F5F93"/>
    <w:rsid w:val="009F61FD"/>
    <w:rsid w:val="009F7E5B"/>
    <w:rsid w:val="00A02D1C"/>
    <w:rsid w:val="00A03BB7"/>
    <w:rsid w:val="00A03EB6"/>
    <w:rsid w:val="00A044E1"/>
    <w:rsid w:val="00A06A81"/>
    <w:rsid w:val="00A104EF"/>
    <w:rsid w:val="00A1182D"/>
    <w:rsid w:val="00A15C11"/>
    <w:rsid w:val="00A213FB"/>
    <w:rsid w:val="00A2593E"/>
    <w:rsid w:val="00A27BC6"/>
    <w:rsid w:val="00A30F18"/>
    <w:rsid w:val="00A33DC6"/>
    <w:rsid w:val="00A34190"/>
    <w:rsid w:val="00A369CB"/>
    <w:rsid w:val="00A36EE5"/>
    <w:rsid w:val="00A40040"/>
    <w:rsid w:val="00A407A7"/>
    <w:rsid w:val="00A41BC0"/>
    <w:rsid w:val="00A44E19"/>
    <w:rsid w:val="00A459EF"/>
    <w:rsid w:val="00A47205"/>
    <w:rsid w:val="00A50422"/>
    <w:rsid w:val="00A54EAC"/>
    <w:rsid w:val="00A57777"/>
    <w:rsid w:val="00A61E03"/>
    <w:rsid w:val="00A64DF9"/>
    <w:rsid w:val="00A6741A"/>
    <w:rsid w:val="00A70401"/>
    <w:rsid w:val="00A71F90"/>
    <w:rsid w:val="00A73C59"/>
    <w:rsid w:val="00A73EB5"/>
    <w:rsid w:val="00A75EA0"/>
    <w:rsid w:val="00A8112D"/>
    <w:rsid w:val="00A85648"/>
    <w:rsid w:val="00A85E72"/>
    <w:rsid w:val="00A90C35"/>
    <w:rsid w:val="00A91CB8"/>
    <w:rsid w:val="00A92B99"/>
    <w:rsid w:val="00A92E33"/>
    <w:rsid w:val="00A93D24"/>
    <w:rsid w:val="00A96018"/>
    <w:rsid w:val="00A96ED1"/>
    <w:rsid w:val="00AA1376"/>
    <w:rsid w:val="00AA2E8E"/>
    <w:rsid w:val="00AA3B36"/>
    <w:rsid w:val="00AA5B9A"/>
    <w:rsid w:val="00AB190D"/>
    <w:rsid w:val="00AB343B"/>
    <w:rsid w:val="00AB3475"/>
    <w:rsid w:val="00AB5BEA"/>
    <w:rsid w:val="00AC2549"/>
    <w:rsid w:val="00AC39E9"/>
    <w:rsid w:val="00AC5F03"/>
    <w:rsid w:val="00AD17DC"/>
    <w:rsid w:val="00AD1949"/>
    <w:rsid w:val="00AD3C64"/>
    <w:rsid w:val="00AD6F54"/>
    <w:rsid w:val="00AE140B"/>
    <w:rsid w:val="00AE2826"/>
    <w:rsid w:val="00AE4171"/>
    <w:rsid w:val="00AE4F72"/>
    <w:rsid w:val="00AF0710"/>
    <w:rsid w:val="00AF1122"/>
    <w:rsid w:val="00AF6699"/>
    <w:rsid w:val="00AF7CF5"/>
    <w:rsid w:val="00B002DE"/>
    <w:rsid w:val="00B008C3"/>
    <w:rsid w:val="00B0093F"/>
    <w:rsid w:val="00B01AE7"/>
    <w:rsid w:val="00B060EE"/>
    <w:rsid w:val="00B06D07"/>
    <w:rsid w:val="00B073B1"/>
    <w:rsid w:val="00B073D2"/>
    <w:rsid w:val="00B10000"/>
    <w:rsid w:val="00B10B58"/>
    <w:rsid w:val="00B21106"/>
    <w:rsid w:val="00B2113E"/>
    <w:rsid w:val="00B222C6"/>
    <w:rsid w:val="00B23AFD"/>
    <w:rsid w:val="00B25A12"/>
    <w:rsid w:val="00B33B77"/>
    <w:rsid w:val="00B340D8"/>
    <w:rsid w:val="00B37483"/>
    <w:rsid w:val="00B40A4E"/>
    <w:rsid w:val="00B40F4C"/>
    <w:rsid w:val="00B41052"/>
    <w:rsid w:val="00B43D7E"/>
    <w:rsid w:val="00B448E4"/>
    <w:rsid w:val="00B46A66"/>
    <w:rsid w:val="00B506C7"/>
    <w:rsid w:val="00B52D04"/>
    <w:rsid w:val="00B53EC5"/>
    <w:rsid w:val="00B55E8D"/>
    <w:rsid w:val="00B5634D"/>
    <w:rsid w:val="00B610A4"/>
    <w:rsid w:val="00B61F72"/>
    <w:rsid w:val="00B63C2F"/>
    <w:rsid w:val="00B660E1"/>
    <w:rsid w:val="00B70374"/>
    <w:rsid w:val="00B72C79"/>
    <w:rsid w:val="00B75AA1"/>
    <w:rsid w:val="00B7747F"/>
    <w:rsid w:val="00B775C9"/>
    <w:rsid w:val="00B804E3"/>
    <w:rsid w:val="00B8082C"/>
    <w:rsid w:val="00B815CC"/>
    <w:rsid w:val="00B824C6"/>
    <w:rsid w:val="00B8355A"/>
    <w:rsid w:val="00B909E5"/>
    <w:rsid w:val="00B9628C"/>
    <w:rsid w:val="00B96BF0"/>
    <w:rsid w:val="00B970ED"/>
    <w:rsid w:val="00BA162F"/>
    <w:rsid w:val="00BA1EA1"/>
    <w:rsid w:val="00BA2D09"/>
    <w:rsid w:val="00BA37E9"/>
    <w:rsid w:val="00BA48CD"/>
    <w:rsid w:val="00BA4EFC"/>
    <w:rsid w:val="00BA652E"/>
    <w:rsid w:val="00BA6F35"/>
    <w:rsid w:val="00BA7445"/>
    <w:rsid w:val="00BA7AB5"/>
    <w:rsid w:val="00BB0A06"/>
    <w:rsid w:val="00BB12F9"/>
    <w:rsid w:val="00BB1AA8"/>
    <w:rsid w:val="00BB42FB"/>
    <w:rsid w:val="00BB73B1"/>
    <w:rsid w:val="00BC1D34"/>
    <w:rsid w:val="00BC3D40"/>
    <w:rsid w:val="00BC5BC3"/>
    <w:rsid w:val="00BC5F51"/>
    <w:rsid w:val="00BC68EA"/>
    <w:rsid w:val="00BD6746"/>
    <w:rsid w:val="00BD7CEA"/>
    <w:rsid w:val="00BE0162"/>
    <w:rsid w:val="00BE45B4"/>
    <w:rsid w:val="00BE6163"/>
    <w:rsid w:val="00BE7059"/>
    <w:rsid w:val="00BE7FFE"/>
    <w:rsid w:val="00BF0607"/>
    <w:rsid w:val="00BF1BED"/>
    <w:rsid w:val="00BF1D1B"/>
    <w:rsid w:val="00BF1D4A"/>
    <w:rsid w:val="00BF25D5"/>
    <w:rsid w:val="00BF3296"/>
    <w:rsid w:val="00BF3FBA"/>
    <w:rsid w:val="00BF574B"/>
    <w:rsid w:val="00BF5B40"/>
    <w:rsid w:val="00C01BB0"/>
    <w:rsid w:val="00C03B79"/>
    <w:rsid w:val="00C06379"/>
    <w:rsid w:val="00C073DC"/>
    <w:rsid w:val="00C10ED5"/>
    <w:rsid w:val="00C114A2"/>
    <w:rsid w:val="00C1208F"/>
    <w:rsid w:val="00C120F7"/>
    <w:rsid w:val="00C12517"/>
    <w:rsid w:val="00C12FBC"/>
    <w:rsid w:val="00C13E18"/>
    <w:rsid w:val="00C151C5"/>
    <w:rsid w:val="00C16315"/>
    <w:rsid w:val="00C170FE"/>
    <w:rsid w:val="00C20DB8"/>
    <w:rsid w:val="00C228D7"/>
    <w:rsid w:val="00C25149"/>
    <w:rsid w:val="00C25CD9"/>
    <w:rsid w:val="00C266C4"/>
    <w:rsid w:val="00C30285"/>
    <w:rsid w:val="00C31998"/>
    <w:rsid w:val="00C32C80"/>
    <w:rsid w:val="00C32E62"/>
    <w:rsid w:val="00C35B68"/>
    <w:rsid w:val="00C36315"/>
    <w:rsid w:val="00C36B34"/>
    <w:rsid w:val="00C45960"/>
    <w:rsid w:val="00C46016"/>
    <w:rsid w:val="00C46B96"/>
    <w:rsid w:val="00C5104B"/>
    <w:rsid w:val="00C52543"/>
    <w:rsid w:val="00C538B2"/>
    <w:rsid w:val="00C546B3"/>
    <w:rsid w:val="00C54B37"/>
    <w:rsid w:val="00C54BF4"/>
    <w:rsid w:val="00C55CA3"/>
    <w:rsid w:val="00C56873"/>
    <w:rsid w:val="00C60B0D"/>
    <w:rsid w:val="00C6448F"/>
    <w:rsid w:val="00C648C5"/>
    <w:rsid w:val="00C67F84"/>
    <w:rsid w:val="00C712CF"/>
    <w:rsid w:val="00C71665"/>
    <w:rsid w:val="00C724DD"/>
    <w:rsid w:val="00C75DE3"/>
    <w:rsid w:val="00C770FC"/>
    <w:rsid w:val="00C77346"/>
    <w:rsid w:val="00C77C22"/>
    <w:rsid w:val="00C806CE"/>
    <w:rsid w:val="00C830A1"/>
    <w:rsid w:val="00C85702"/>
    <w:rsid w:val="00C85947"/>
    <w:rsid w:val="00C871C5"/>
    <w:rsid w:val="00C908C8"/>
    <w:rsid w:val="00C91959"/>
    <w:rsid w:val="00C9282A"/>
    <w:rsid w:val="00C95780"/>
    <w:rsid w:val="00C96AF7"/>
    <w:rsid w:val="00CA0DC2"/>
    <w:rsid w:val="00CA2DBF"/>
    <w:rsid w:val="00CA4E6A"/>
    <w:rsid w:val="00CA55EC"/>
    <w:rsid w:val="00CA630D"/>
    <w:rsid w:val="00CA744D"/>
    <w:rsid w:val="00CB30DB"/>
    <w:rsid w:val="00CB4C33"/>
    <w:rsid w:val="00CC0CCE"/>
    <w:rsid w:val="00CC6551"/>
    <w:rsid w:val="00CD2F8C"/>
    <w:rsid w:val="00CD3D3F"/>
    <w:rsid w:val="00CD4977"/>
    <w:rsid w:val="00CE3866"/>
    <w:rsid w:val="00CE5E2A"/>
    <w:rsid w:val="00CE65F5"/>
    <w:rsid w:val="00CE78EA"/>
    <w:rsid w:val="00CF0B9B"/>
    <w:rsid w:val="00CF0E73"/>
    <w:rsid w:val="00CF29CB"/>
    <w:rsid w:val="00CF3096"/>
    <w:rsid w:val="00CF5943"/>
    <w:rsid w:val="00CF79EF"/>
    <w:rsid w:val="00CF7AC0"/>
    <w:rsid w:val="00D019E8"/>
    <w:rsid w:val="00D01C62"/>
    <w:rsid w:val="00D107D2"/>
    <w:rsid w:val="00D11580"/>
    <w:rsid w:val="00D126BD"/>
    <w:rsid w:val="00D131CE"/>
    <w:rsid w:val="00D141EF"/>
    <w:rsid w:val="00D157AF"/>
    <w:rsid w:val="00D15803"/>
    <w:rsid w:val="00D20013"/>
    <w:rsid w:val="00D20DC5"/>
    <w:rsid w:val="00D314A7"/>
    <w:rsid w:val="00D316FC"/>
    <w:rsid w:val="00D3510C"/>
    <w:rsid w:val="00D40869"/>
    <w:rsid w:val="00D41337"/>
    <w:rsid w:val="00D42DF4"/>
    <w:rsid w:val="00D44A82"/>
    <w:rsid w:val="00D45D3D"/>
    <w:rsid w:val="00D46067"/>
    <w:rsid w:val="00D474AF"/>
    <w:rsid w:val="00D47E17"/>
    <w:rsid w:val="00D51365"/>
    <w:rsid w:val="00D52696"/>
    <w:rsid w:val="00D607FE"/>
    <w:rsid w:val="00D6250A"/>
    <w:rsid w:val="00D62816"/>
    <w:rsid w:val="00D63237"/>
    <w:rsid w:val="00D63D2F"/>
    <w:rsid w:val="00D6454E"/>
    <w:rsid w:val="00D64B9F"/>
    <w:rsid w:val="00D6607E"/>
    <w:rsid w:val="00D739F0"/>
    <w:rsid w:val="00D76B17"/>
    <w:rsid w:val="00D76F2E"/>
    <w:rsid w:val="00D82D2F"/>
    <w:rsid w:val="00D841D9"/>
    <w:rsid w:val="00D85D13"/>
    <w:rsid w:val="00D91043"/>
    <w:rsid w:val="00D94810"/>
    <w:rsid w:val="00D97DF6"/>
    <w:rsid w:val="00DA12D2"/>
    <w:rsid w:val="00DA3920"/>
    <w:rsid w:val="00DA3E71"/>
    <w:rsid w:val="00DA4FB1"/>
    <w:rsid w:val="00DA5127"/>
    <w:rsid w:val="00DA5D60"/>
    <w:rsid w:val="00DB20B2"/>
    <w:rsid w:val="00DB498E"/>
    <w:rsid w:val="00DB4F9C"/>
    <w:rsid w:val="00DB5A08"/>
    <w:rsid w:val="00DB6183"/>
    <w:rsid w:val="00DC2331"/>
    <w:rsid w:val="00DC4043"/>
    <w:rsid w:val="00DC5091"/>
    <w:rsid w:val="00DC7A7C"/>
    <w:rsid w:val="00DD08B4"/>
    <w:rsid w:val="00DD1252"/>
    <w:rsid w:val="00DD544C"/>
    <w:rsid w:val="00DD59EA"/>
    <w:rsid w:val="00DD65E5"/>
    <w:rsid w:val="00DD767D"/>
    <w:rsid w:val="00DD7B3A"/>
    <w:rsid w:val="00DE0C1C"/>
    <w:rsid w:val="00DE0E22"/>
    <w:rsid w:val="00DE19EE"/>
    <w:rsid w:val="00DE1B93"/>
    <w:rsid w:val="00DE3F62"/>
    <w:rsid w:val="00DE4147"/>
    <w:rsid w:val="00DE45FA"/>
    <w:rsid w:val="00DE4615"/>
    <w:rsid w:val="00DE4857"/>
    <w:rsid w:val="00DF0105"/>
    <w:rsid w:val="00DF5AEF"/>
    <w:rsid w:val="00DF65D1"/>
    <w:rsid w:val="00E00E65"/>
    <w:rsid w:val="00E03390"/>
    <w:rsid w:val="00E063AE"/>
    <w:rsid w:val="00E067C9"/>
    <w:rsid w:val="00E07D71"/>
    <w:rsid w:val="00E111AA"/>
    <w:rsid w:val="00E12F97"/>
    <w:rsid w:val="00E1399D"/>
    <w:rsid w:val="00E1460F"/>
    <w:rsid w:val="00E16BE9"/>
    <w:rsid w:val="00E171CD"/>
    <w:rsid w:val="00E177FC"/>
    <w:rsid w:val="00E21D65"/>
    <w:rsid w:val="00E227B5"/>
    <w:rsid w:val="00E22A18"/>
    <w:rsid w:val="00E24AD6"/>
    <w:rsid w:val="00E26177"/>
    <w:rsid w:val="00E30982"/>
    <w:rsid w:val="00E30D55"/>
    <w:rsid w:val="00E31708"/>
    <w:rsid w:val="00E33130"/>
    <w:rsid w:val="00E34353"/>
    <w:rsid w:val="00E35BB7"/>
    <w:rsid w:val="00E414EB"/>
    <w:rsid w:val="00E42CDF"/>
    <w:rsid w:val="00E4515C"/>
    <w:rsid w:val="00E46374"/>
    <w:rsid w:val="00E4735B"/>
    <w:rsid w:val="00E4760A"/>
    <w:rsid w:val="00E50F2C"/>
    <w:rsid w:val="00E52127"/>
    <w:rsid w:val="00E52F16"/>
    <w:rsid w:val="00E57270"/>
    <w:rsid w:val="00E63677"/>
    <w:rsid w:val="00E63DE4"/>
    <w:rsid w:val="00E6768D"/>
    <w:rsid w:val="00E67CD0"/>
    <w:rsid w:val="00E72BAA"/>
    <w:rsid w:val="00E73A63"/>
    <w:rsid w:val="00E75E0C"/>
    <w:rsid w:val="00E76CA4"/>
    <w:rsid w:val="00E77CC1"/>
    <w:rsid w:val="00E8084C"/>
    <w:rsid w:val="00E82141"/>
    <w:rsid w:val="00E82185"/>
    <w:rsid w:val="00E8274F"/>
    <w:rsid w:val="00E84E3B"/>
    <w:rsid w:val="00E87D79"/>
    <w:rsid w:val="00E9265E"/>
    <w:rsid w:val="00E92EDC"/>
    <w:rsid w:val="00E94744"/>
    <w:rsid w:val="00EA7EC1"/>
    <w:rsid w:val="00EB2AB5"/>
    <w:rsid w:val="00EC391E"/>
    <w:rsid w:val="00EC39D8"/>
    <w:rsid w:val="00ED348B"/>
    <w:rsid w:val="00ED5469"/>
    <w:rsid w:val="00ED61A8"/>
    <w:rsid w:val="00EE1879"/>
    <w:rsid w:val="00EE2342"/>
    <w:rsid w:val="00EE42C0"/>
    <w:rsid w:val="00EE54AB"/>
    <w:rsid w:val="00EE5CD2"/>
    <w:rsid w:val="00EF3533"/>
    <w:rsid w:val="00EF3C69"/>
    <w:rsid w:val="00EF41D0"/>
    <w:rsid w:val="00EF4FDD"/>
    <w:rsid w:val="00EF68A4"/>
    <w:rsid w:val="00F00ADE"/>
    <w:rsid w:val="00F10C34"/>
    <w:rsid w:val="00F12333"/>
    <w:rsid w:val="00F1273A"/>
    <w:rsid w:val="00F13965"/>
    <w:rsid w:val="00F1576D"/>
    <w:rsid w:val="00F16DB8"/>
    <w:rsid w:val="00F174A1"/>
    <w:rsid w:val="00F17B15"/>
    <w:rsid w:val="00F200FD"/>
    <w:rsid w:val="00F20597"/>
    <w:rsid w:val="00F21566"/>
    <w:rsid w:val="00F21D5C"/>
    <w:rsid w:val="00F23275"/>
    <w:rsid w:val="00F24C0D"/>
    <w:rsid w:val="00F25274"/>
    <w:rsid w:val="00F26711"/>
    <w:rsid w:val="00F30959"/>
    <w:rsid w:val="00F374F0"/>
    <w:rsid w:val="00F40F37"/>
    <w:rsid w:val="00F41417"/>
    <w:rsid w:val="00F42EE0"/>
    <w:rsid w:val="00F43105"/>
    <w:rsid w:val="00F440F8"/>
    <w:rsid w:val="00F47D01"/>
    <w:rsid w:val="00F50A2C"/>
    <w:rsid w:val="00F50B42"/>
    <w:rsid w:val="00F53358"/>
    <w:rsid w:val="00F62E79"/>
    <w:rsid w:val="00F64AE7"/>
    <w:rsid w:val="00F65C0B"/>
    <w:rsid w:val="00F666C5"/>
    <w:rsid w:val="00F668F9"/>
    <w:rsid w:val="00F70F53"/>
    <w:rsid w:val="00F829AD"/>
    <w:rsid w:val="00F83DBC"/>
    <w:rsid w:val="00F84D7C"/>
    <w:rsid w:val="00F84E0E"/>
    <w:rsid w:val="00F92BA5"/>
    <w:rsid w:val="00F94C9B"/>
    <w:rsid w:val="00F96CBD"/>
    <w:rsid w:val="00FA0C1D"/>
    <w:rsid w:val="00FA1454"/>
    <w:rsid w:val="00FA3C1C"/>
    <w:rsid w:val="00FA7C3E"/>
    <w:rsid w:val="00FB4BA6"/>
    <w:rsid w:val="00FB50F4"/>
    <w:rsid w:val="00FB51CA"/>
    <w:rsid w:val="00FB544C"/>
    <w:rsid w:val="00FB63F0"/>
    <w:rsid w:val="00FB6CE3"/>
    <w:rsid w:val="00FC00DC"/>
    <w:rsid w:val="00FC059C"/>
    <w:rsid w:val="00FC26AA"/>
    <w:rsid w:val="00FC4C70"/>
    <w:rsid w:val="00FC5C4E"/>
    <w:rsid w:val="00FC7DBB"/>
    <w:rsid w:val="00FD10D4"/>
    <w:rsid w:val="00FD1230"/>
    <w:rsid w:val="00FD2A05"/>
    <w:rsid w:val="00FD4C1C"/>
    <w:rsid w:val="00FD79E3"/>
    <w:rsid w:val="00FD7DF9"/>
    <w:rsid w:val="00FD7EC8"/>
    <w:rsid w:val="00FE116C"/>
    <w:rsid w:val="00FE1C55"/>
    <w:rsid w:val="00FE3AEE"/>
    <w:rsid w:val="00FE4443"/>
    <w:rsid w:val="00FE4E85"/>
    <w:rsid w:val="00FE561C"/>
    <w:rsid w:val="00FE5BC1"/>
    <w:rsid w:val="00FE794E"/>
    <w:rsid w:val="00FF08F2"/>
    <w:rsid w:val="00FF16C4"/>
    <w:rsid w:val="00FF2F3E"/>
    <w:rsid w:val="00FF4617"/>
    <w:rsid w:val="00FF76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KaiTi_GB2312" w:hAnsi="Arial" w:cs="Times New Roman"/>
      <w:color w:val="000000"/>
      <w:kern w:val="0"/>
      <w:szCs w:val="20"/>
      <w:lang w:val="en-GB"/>
    </w:rPr>
  </w:style>
  <w:style w:type="character" w:customStyle="1" w:styleId="Char7">
    <w:name w:val="正文文本 Char"/>
    <w:basedOn w:val="a0"/>
    <w:link w:val="ab"/>
    <w:rsid w:val="00B10000"/>
    <w:rPr>
      <w:rFonts w:ascii="Arial" w:eastAsia="KaiTi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KaiTi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KaiTi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2630FB"/>
    <w:pPr>
      <w:ind w:firstLineChars="200" w:firstLine="420"/>
    </w:pPr>
  </w:style>
</w:styles>
</file>

<file path=word/webSettings.xml><?xml version="1.0" encoding="utf-8"?>
<w:webSettings xmlns:r="http://schemas.openxmlformats.org/officeDocument/2006/relationships" xmlns:w="http://schemas.openxmlformats.org/wordprocessingml/2006/main">
  <w:divs>
    <w:div w:id="94601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A92D7E-C867-4C38-8B41-D9A828ABD58E}" type="doc">
      <dgm:prSet loTypeId="urn:microsoft.com/office/officeart/2005/8/layout/arrow3" loCatId="relationship" qsTypeId="urn:microsoft.com/office/officeart/2005/8/quickstyle/3d8" qsCatId="3D" csTypeId="urn:microsoft.com/office/officeart/2005/8/colors/colorful1" csCatId="colorful" phldr="1"/>
      <dgm:spPr/>
      <dgm:t>
        <a:bodyPr/>
        <a:lstStyle/>
        <a:p>
          <a:endParaRPr lang="zh-CN" altLang="en-US"/>
        </a:p>
      </dgm:t>
    </dgm:pt>
    <dgm:pt modelId="{72264AE4-29A8-4EFF-8201-BB87252FF017}">
      <dgm:prSet phldrT="[文本]" custT="1"/>
      <dgm:spPr/>
      <dgm:t>
        <a:bodyPr/>
        <a:lstStyle/>
        <a:p>
          <a:r>
            <a:rPr lang="zh-CN" altLang="en-US" sz="1600" b="1"/>
            <a:t>选股能力</a:t>
          </a:r>
        </a:p>
      </dgm:t>
    </dgm:pt>
    <dgm:pt modelId="{7E17993E-83AC-48B9-83D7-3FE4B848EB71}" type="parTrans" cxnId="{FDEADAD9-67D0-4FB4-8C7C-2BA955096C4D}">
      <dgm:prSet/>
      <dgm:spPr/>
      <dgm:t>
        <a:bodyPr/>
        <a:lstStyle/>
        <a:p>
          <a:endParaRPr lang="zh-CN" altLang="en-US"/>
        </a:p>
      </dgm:t>
    </dgm:pt>
    <dgm:pt modelId="{B7FBA5E7-C68D-48E7-8D30-CF9C61C12BE6}" type="sibTrans" cxnId="{FDEADAD9-67D0-4FB4-8C7C-2BA955096C4D}">
      <dgm:prSet/>
      <dgm:spPr/>
      <dgm:t>
        <a:bodyPr/>
        <a:lstStyle/>
        <a:p>
          <a:endParaRPr lang="zh-CN" altLang="en-US"/>
        </a:p>
      </dgm:t>
    </dgm:pt>
    <dgm:pt modelId="{E3EE72D6-9DBF-4507-95E8-240B55AA5A10}">
      <dgm:prSet phldrT="[文本]" custT="1"/>
      <dgm:spPr/>
      <dgm:t>
        <a:bodyPr/>
        <a:lstStyle/>
        <a:p>
          <a:r>
            <a:rPr lang="zh-CN" altLang="en-US" sz="1600" b="1"/>
            <a:t>择时能力</a:t>
          </a:r>
        </a:p>
      </dgm:t>
    </dgm:pt>
    <dgm:pt modelId="{4317E959-793D-4B63-B1CD-27CF29A4D99D}" type="parTrans" cxnId="{6B5B6B5D-44E3-4A1B-B380-1D54C2C7EFFE}">
      <dgm:prSet/>
      <dgm:spPr/>
      <dgm:t>
        <a:bodyPr/>
        <a:lstStyle/>
        <a:p>
          <a:endParaRPr lang="zh-CN" altLang="en-US"/>
        </a:p>
      </dgm:t>
    </dgm:pt>
    <dgm:pt modelId="{5391A16B-4293-4D23-B8F2-06647F050856}" type="sibTrans" cxnId="{6B5B6B5D-44E3-4A1B-B380-1D54C2C7EFFE}">
      <dgm:prSet/>
      <dgm:spPr/>
      <dgm:t>
        <a:bodyPr/>
        <a:lstStyle/>
        <a:p>
          <a:endParaRPr lang="zh-CN" altLang="en-US"/>
        </a:p>
      </dgm:t>
    </dgm:pt>
    <dgm:pt modelId="{9E17DD46-0991-4928-8566-A77DFB2D2ACA}" type="pres">
      <dgm:prSet presAssocID="{48A92D7E-C867-4C38-8B41-D9A828ABD58E}" presName="compositeShape" presStyleCnt="0">
        <dgm:presLayoutVars>
          <dgm:chMax val="2"/>
          <dgm:dir/>
          <dgm:resizeHandles val="exact"/>
        </dgm:presLayoutVars>
      </dgm:prSet>
      <dgm:spPr/>
      <dgm:t>
        <a:bodyPr/>
        <a:lstStyle/>
        <a:p>
          <a:endParaRPr lang="zh-CN" altLang="en-US"/>
        </a:p>
      </dgm:t>
    </dgm:pt>
    <dgm:pt modelId="{4B87137B-8C16-4B17-91E2-E80398C55DF7}" type="pres">
      <dgm:prSet presAssocID="{48A92D7E-C867-4C38-8B41-D9A828ABD58E}" presName="divider" presStyleLbl="fgShp" presStyleIdx="0" presStyleCnt="1"/>
      <dgm:spPr/>
    </dgm:pt>
    <dgm:pt modelId="{79628084-69F5-48DB-B3BC-AAD2C25DF3C2}" type="pres">
      <dgm:prSet presAssocID="{72264AE4-29A8-4EFF-8201-BB87252FF017}" presName="downArrow" presStyleLbl="node1" presStyleIdx="0" presStyleCnt="2"/>
      <dgm:spPr/>
    </dgm:pt>
    <dgm:pt modelId="{05416D36-F9CC-43AD-8670-8EF4CF5CC7D4}" type="pres">
      <dgm:prSet presAssocID="{72264AE4-29A8-4EFF-8201-BB87252FF017}" presName="downArrowText" presStyleLbl="revTx" presStyleIdx="0" presStyleCnt="2">
        <dgm:presLayoutVars>
          <dgm:bulletEnabled val="1"/>
        </dgm:presLayoutVars>
      </dgm:prSet>
      <dgm:spPr/>
      <dgm:t>
        <a:bodyPr/>
        <a:lstStyle/>
        <a:p>
          <a:endParaRPr lang="zh-CN" altLang="en-US"/>
        </a:p>
      </dgm:t>
    </dgm:pt>
    <dgm:pt modelId="{93C93430-3CDE-47DE-88B2-D56406DAF96A}" type="pres">
      <dgm:prSet presAssocID="{E3EE72D6-9DBF-4507-95E8-240B55AA5A10}" presName="upArrow" presStyleLbl="node1" presStyleIdx="1" presStyleCnt="2"/>
      <dgm:spPr/>
    </dgm:pt>
    <dgm:pt modelId="{5CAEDFA5-674A-4605-AF36-1EE033E3108B}" type="pres">
      <dgm:prSet presAssocID="{E3EE72D6-9DBF-4507-95E8-240B55AA5A10}" presName="upArrowText" presStyleLbl="revTx" presStyleIdx="1" presStyleCnt="2">
        <dgm:presLayoutVars>
          <dgm:bulletEnabled val="1"/>
        </dgm:presLayoutVars>
      </dgm:prSet>
      <dgm:spPr/>
      <dgm:t>
        <a:bodyPr/>
        <a:lstStyle/>
        <a:p>
          <a:endParaRPr lang="zh-CN" altLang="en-US"/>
        </a:p>
      </dgm:t>
    </dgm:pt>
  </dgm:ptLst>
  <dgm:cxnLst>
    <dgm:cxn modelId="{A96060F2-F822-4D2E-9D8C-D52D71F6201F}" type="presOf" srcId="{E3EE72D6-9DBF-4507-95E8-240B55AA5A10}" destId="{5CAEDFA5-674A-4605-AF36-1EE033E3108B}" srcOrd="0" destOrd="0" presId="urn:microsoft.com/office/officeart/2005/8/layout/arrow3"/>
    <dgm:cxn modelId="{6B5B6B5D-44E3-4A1B-B380-1D54C2C7EFFE}" srcId="{48A92D7E-C867-4C38-8B41-D9A828ABD58E}" destId="{E3EE72D6-9DBF-4507-95E8-240B55AA5A10}" srcOrd="1" destOrd="0" parTransId="{4317E959-793D-4B63-B1CD-27CF29A4D99D}" sibTransId="{5391A16B-4293-4D23-B8F2-06647F050856}"/>
    <dgm:cxn modelId="{69B1EC2D-BA85-43DA-B415-934FB14F2428}" type="presOf" srcId="{48A92D7E-C867-4C38-8B41-D9A828ABD58E}" destId="{9E17DD46-0991-4928-8566-A77DFB2D2ACA}" srcOrd="0" destOrd="0" presId="urn:microsoft.com/office/officeart/2005/8/layout/arrow3"/>
    <dgm:cxn modelId="{FDEADAD9-67D0-4FB4-8C7C-2BA955096C4D}" srcId="{48A92D7E-C867-4C38-8B41-D9A828ABD58E}" destId="{72264AE4-29A8-4EFF-8201-BB87252FF017}" srcOrd="0" destOrd="0" parTransId="{7E17993E-83AC-48B9-83D7-3FE4B848EB71}" sibTransId="{B7FBA5E7-C68D-48E7-8D30-CF9C61C12BE6}"/>
    <dgm:cxn modelId="{071884FF-5732-43F5-9371-FD7D9E97E2A5}" type="presOf" srcId="{72264AE4-29A8-4EFF-8201-BB87252FF017}" destId="{05416D36-F9CC-43AD-8670-8EF4CF5CC7D4}" srcOrd="0" destOrd="0" presId="urn:microsoft.com/office/officeart/2005/8/layout/arrow3"/>
    <dgm:cxn modelId="{6076F099-E903-4A39-AF2F-786FCDB96706}" type="presParOf" srcId="{9E17DD46-0991-4928-8566-A77DFB2D2ACA}" destId="{4B87137B-8C16-4B17-91E2-E80398C55DF7}" srcOrd="0" destOrd="0" presId="urn:microsoft.com/office/officeart/2005/8/layout/arrow3"/>
    <dgm:cxn modelId="{A182E324-6454-41C5-B45A-F4A30807789C}" type="presParOf" srcId="{9E17DD46-0991-4928-8566-A77DFB2D2ACA}" destId="{79628084-69F5-48DB-B3BC-AAD2C25DF3C2}" srcOrd="1" destOrd="0" presId="urn:microsoft.com/office/officeart/2005/8/layout/arrow3"/>
    <dgm:cxn modelId="{CFA0EA0F-8701-48E3-BFD1-938A40A6FD7B}" type="presParOf" srcId="{9E17DD46-0991-4928-8566-A77DFB2D2ACA}" destId="{05416D36-F9CC-43AD-8670-8EF4CF5CC7D4}" srcOrd="2" destOrd="0" presId="urn:microsoft.com/office/officeart/2005/8/layout/arrow3"/>
    <dgm:cxn modelId="{DF31776D-FC42-4C71-8B35-8AEA6A1B380D}" type="presParOf" srcId="{9E17DD46-0991-4928-8566-A77DFB2D2ACA}" destId="{93C93430-3CDE-47DE-88B2-D56406DAF96A}" srcOrd="3" destOrd="0" presId="urn:microsoft.com/office/officeart/2005/8/layout/arrow3"/>
    <dgm:cxn modelId="{5273905B-C160-4BF1-9BE4-E0A576B47B96}" type="presParOf" srcId="{9E17DD46-0991-4928-8566-A77DFB2D2ACA}" destId="{5CAEDFA5-674A-4605-AF36-1EE033E3108B}" srcOrd="4" destOrd="0" presId="urn:microsoft.com/office/officeart/2005/8/layout/arrow3"/>
  </dgm:cxnLst>
  <dgm:bg/>
  <dgm:whole/>
</dgm:dataModel>
</file>

<file path=word/diagrams/layout1.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6E647-DB62-44E1-9B35-F7E80EDBC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shanghai vstone</dc:creator>
  <cp:lastModifiedBy>shanghai vstone</cp:lastModifiedBy>
  <cp:revision>22</cp:revision>
  <dcterms:created xsi:type="dcterms:W3CDTF">2013-12-26T08:30:00Z</dcterms:created>
  <dcterms:modified xsi:type="dcterms:W3CDTF">2013-12-26T08:55:00Z</dcterms:modified>
</cp:coreProperties>
</file>