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426354" w:rsidRDefault="00A70401" w:rsidP="00B10000">
      <w:pPr>
        <w:widowControl/>
        <w:spacing w:after="120" w:line="240" w:lineRule="exact"/>
        <w:ind w:left="3430"/>
        <w:rPr>
          <w:rFonts w:ascii="Arial" w:eastAsia="楷体_GB2312" w:hAnsi="Arial" w:cs="Times New Roman"/>
          <w:b/>
          <w:bCs/>
          <w:color w:val="0070C0"/>
          <w:kern w:val="0"/>
          <w:sz w:val="24"/>
          <w:szCs w:val="20"/>
          <w:lang w:val="en-GB"/>
        </w:rPr>
      </w:pPr>
      <w:r w:rsidRPr="00426354">
        <w:rPr>
          <w:rFonts w:ascii="Arial" w:eastAsia="楷体_GB2312" w:hAnsi="Arial" w:cs="Times New Roman" w:hint="eastAsia"/>
          <w:b/>
          <w:bCs/>
          <w:color w:val="0070C0"/>
          <w:kern w:val="0"/>
          <w:sz w:val="24"/>
          <w:szCs w:val="20"/>
          <w:lang w:val="en-GB"/>
        </w:rPr>
        <w:t>导语</w:t>
      </w:r>
    </w:p>
    <w:p w:rsidR="00B10000" w:rsidRPr="007638B8" w:rsidRDefault="001D7205" w:rsidP="001D7205">
      <w:pPr>
        <w:pStyle w:val="ab"/>
        <w:numPr>
          <w:ilvl w:val="4"/>
          <w:numId w:val="1"/>
        </w:numPr>
        <w:spacing w:after="163"/>
        <w:rPr>
          <w:rFonts w:eastAsia="楷体_GB2312"/>
          <w:b/>
          <w:color w:val="auto"/>
        </w:rPr>
      </w:pPr>
      <w:r w:rsidRPr="007638B8">
        <w:rPr>
          <w:rFonts w:eastAsia="楷体_GB2312" w:hint="eastAsia"/>
          <w:b/>
          <w:color w:val="auto"/>
        </w:rPr>
        <w:t>在住房市场复苏、就业形势改善以及家庭财富增加支持私人需求强劲等因素驱动下，美国经济</w:t>
      </w:r>
      <w:r w:rsidRPr="007638B8">
        <w:rPr>
          <w:rFonts w:eastAsia="楷体_GB2312" w:hint="eastAsia"/>
          <w:b/>
          <w:color w:val="auto"/>
        </w:rPr>
        <w:t>14</w:t>
      </w:r>
      <w:r w:rsidRPr="007638B8">
        <w:rPr>
          <w:rFonts w:eastAsia="楷体_GB2312" w:hint="eastAsia"/>
          <w:b/>
          <w:color w:val="auto"/>
        </w:rPr>
        <w:t>年将稳步复苏。</w:t>
      </w:r>
      <w:r w:rsidRPr="007638B8">
        <w:rPr>
          <w:rFonts w:eastAsia="楷体_GB2312" w:hint="eastAsia"/>
          <w:b/>
          <w:color w:val="auto"/>
        </w:rPr>
        <w:t>QE</w:t>
      </w:r>
      <w:r w:rsidR="00C67E70">
        <w:rPr>
          <w:rFonts w:eastAsia="楷体_GB2312" w:hint="eastAsia"/>
          <w:b/>
          <w:color w:val="auto"/>
        </w:rPr>
        <w:t>退出节奏灵活</w:t>
      </w:r>
      <w:r w:rsidRPr="007638B8">
        <w:rPr>
          <w:rFonts w:eastAsia="楷体_GB2312" w:hint="eastAsia"/>
          <w:b/>
          <w:color w:val="auto"/>
        </w:rPr>
        <w:t>温和，且市场对于退出冲击逐步消化。美元升值预期有望带来资金流入。在基本面和流动性双重支撑下，美股仍是</w:t>
      </w:r>
      <w:r w:rsidRPr="007638B8">
        <w:rPr>
          <w:rFonts w:eastAsia="楷体_GB2312" w:hint="eastAsia"/>
          <w:b/>
          <w:color w:val="auto"/>
        </w:rPr>
        <w:t>14</w:t>
      </w:r>
      <w:r w:rsidRPr="007638B8">
        <w:rPr>
          <w:rFonts w:eastAsia="楷体_GB2312" w:hint="eastAsia"/>
          <w:b/>
          <w:color w:val="auto"/>
        </w:rPr>
        <w:t>年最具优势的投资标的之一。欧洲经济有望走出衰退但增长有限，在持续获得资金流入背景下，欧洲股市资金推动效用或将降低，而欧元相对美元贬值风险</w:t>
      </w:r>
      <w:r w:rsidR="002D03E8">
        <w:rPr>
          <w:rFonts w:eastAsia="楷体_GB2312" w:hint="eastAsia"/>
          <w:b/>
          <w:color w:val="auto"/>
        </w:rPr>
        <w:t>或引发</w:t>
      </w:r>
      <w:r w:rsidRPr="007638B8">
        <w:rPr>
          <w:rFonts w:eastAsia="楷体_GB2312" w:hint="eastAsia"/>
          <w:b/>
          <w:color w:val="auto"/>
        </w:rPr>
        <w:t>欧洲市场</w:t>
      </w:r>
      <w:r w:rsidR="002D03E8">
        <w:rPr>
          <w:rFonts w:eastAsia="楷体_GB2312" w:hint="eastAsia"/>
          <w:b/>
          <w:color w:val="auto"/>
        </w:rPr>
        <w:t>波动</w:t>
      </w:r>
      <w:r w:rsidR="008930F3">
        <w:rPr>
          <w:rFonts w:eastAsia="楷体_GB2312" w:hint="eastAsia"/>
          <w:b/>
          <w:color w:val="auto"/>
        </w:rPr>
        <w:t>，风险及收益或高于美股</w:t>
      </w:r>
      <w:r w:rsidRPr="007638B8">
        <w:rPr>
          <w:rFonts w:eastAsia="楷体_GB2312" w:hint="eastAsia"/>
          <w:b/>
          <w:color w:val="auto"/>
        </w:rPr>
        <w:t>。新兴市场和发展中国家经济增长预计保持强劲，但</w:t>
      </w:r>
      <w:r w:rsidRPr="007638B8">
        <w:rPr>
          <w:rFonts w:eastAsia="楷体_GB2312" w:hint="eastAsia"/>
          <w:b/>
          <w:color w:val="auto"/>
        </w:rPr>
        <w:t>QE</w:t>
      </w:r>
      <w:r w:rsidRPr="007638B8">
        <w:rPr>
          <w:rFonts w:eastAsia="楷体_GB2312" w:hint="eastAsia"/>
          <w:b/>
          <w:color w:val="auto"/>
        </w:rPr>
        <w:t>退出冲击不可低估，新兴市场表现将分化。香港市场估值处于低位，随着</w:t>
      </w:r>
      <w:r w:rsidRPr="007638B8">
        <w:rPr>
          <w:rFonts w:eastAsia="楷体_GB2312" w:hint="eastAsia"/>
          <w:b/>
          <w:color w:val="auto"/>
        </w:rPr>
        <w:t>QE</w:t>
      </w:r>
      <w:r w:rsidRPr="007638B8">
        <w:rPr>
          <w:rFonts w:eastAsia="楷体_GB2312" w:hint="eastAsia"/>
          <w:b/>
          <w:color w:val="auto"/>
        </w:rPr>
        <w:t>退出冲击告一段落，以及改革红利释放下中国经济以及相关企业业绩的逐步走强，香港市场（含其他市场中国相关板块）配置价值将凸显。</w:t>
      </w:r>
      <w:r w:rsidR="00862216" w:rsidRPr="007638B8">
        <w:rPr>
          <w:rFonts w:eastAsia="楷体_GB2312" w:hint="eastAsia"/>
          <w:b/>
          <w:color w:val="auto"/>
        </w:rPr>
        <w:t>主要</w:t>
      </w:r>
      <w:r w:rsidRPr="007638B8">
        <w:rPr>
          <w:rFonts w:eastAsia="楷体_GB2312" w:hint="eastAsia"/>
          <w:b/>
          <w:color w:val="auto"/>
        </w:rPr>
        <w:t>商品</w:t>
      </w:r>
      <w:r w:rsidR="00862216" w:rsidRPr="007638B8">
        <w:rPr>
          <w:rFonts w:eastAsia="楷体_GB2312" w:hint="eastAsia"/>
          <w:b/>
          <w:color w:val="auto"/>
        </w:rPr>
        <w:t>市场</w:t>
      </w:r>
      <w:r w:rsidRPr="007638B8">
        <w:rPr>
          <w:rFonts w:eastAsia="楷体_GB2312" w:hint="eastAsia"/>
          <w:b/>
          <w:color w:val="auto"/>
        </w:rPr>
        <w:t>尚缺乏投资机会。</w:t>
      </w:r>
      <w:r w:rsidRPr="007638B8">
        <w:rPr>
          <w:rFonts w:eastAsia="楷体_GB2312" w:hint="eastAsia"/>
          <w:b/>
          <w:color w:val="auto"/>
        </w:rPr>
        <w:t>14</w:t>
      </w:r>
      <w:r w:rsidRPr="007638B8">
        <w:rPr>
          <w:rFonts w:eastAsia="楷体_GB2312" w:hint="eastAsia"/>
          <w:b/>
          <w:color w:val="auto"/>
        </w:rPr>
        <w:t>年</w:t>
      </w:r>
      <w:r w:rsidRPr="007638B8">
        <w:rPr>
          <w:rFonts w:eastAsia="楷体_GB2312" w:hint="eastAsia"/>
          <w:b/>
          <w:color w:val="auto"/>
        </w:rPr>
        <w:t>QDII</w:t>
      </w:r>
      <w:r w:rsidRPr="007638B8">
        <w:rPr>
          <w:rFonts w:eastAsia="楷体_GB2312" w:hint="eastAsia"/>
          <w:b/>
          <w:color w:val="auto"/>
        </w:rPr>
        <w:t>投资建议采取积极的操作策略，提升风险资产配置。初期（一季度）建议以美</w:t>
      </w:r>
      <w:r w:rsidR="008930F3">
        <w:rPr>
          <w:rFonts w:eastAsia="楷体_GB2312" w:hint="eastAsia"/>
          <w:b/>
          <w:color w:val="auto"/>
        </w:rPr>
        <w:t>欧</w:t>
      </w:r>
      <w:r w:rsidRPr="007638B8">
        <w:rPr>
          <w:rFonts w:eastAsia="楷体_GB2312" w:hint="eastAsia"/>
          <w:b/>
          <w:color w:val="auto"/>
        </w:rPr>
        <w:t>市场相关产品为主要配置对象，适当搭配香港市场（含其他市场中国相关板块）相关产品</w:t>
      </w:r>
      <w:r w:rsidR="00862216" w:rsidRPr="007638B8">
        <w:rPr>
          <w:rFonts w:eastAsia="楷体_GB2312" w:hint="eastAsia"/>
          <w:b/>
          <w:color w:val="auto"/>
        </w:rPr>
        <w:t>，</w:t>
      </w:r>
      <w:r w:rsidRPr="007638B8">
        <w:rPr>
          <w:rFonts w:eastAsia="楷体_GB2312" w:hint="eastAsia"/>
          <w:b/>
          <w:color w:val="auto"/>
        </w:rPr>
        <w:t>随着</w:t>
      </w:r>
      <w:r w:rsidRPr="007638B8">
        <w:rPr>
          <w:rFonts w:eastAsia="楷体_GB2312" w:hint="eastAsia"/>
          <w:b/>
          <w:color w:val="auto"/>
        </w:rPr>
        <w:t>QE</w:t>
      </w:r>
      <w:r w:rsidRPr="007638B8">
        <w:rPr>
          <w:rFonts w:eastAsia="楷体_GB2312" w:hint="eastAsia"/>
          <w:b/>
          <w:color w:val="auto"/>
        </w:rPr>
        <w:t>退出消化</w:t>
      </w:r>
      <w:r w:rsidR="00862216" w:rsidRPr="007638B8">
        <w:rPr>
          <w:rFonts w:eastAsia="楷体_GB2312" w:hint="eastAsia"/>
          <w:b/>
          <w:color w:val="auto"/>
        </w:rPr>
        <w:t>后者</w:t>
      </w:r>
      <w:r w:rsidRPr="007638B8">
        <w:rPr>
          <w:rFonts w:eastAsia="楷体_GB2312" w:hint="eastAsia"/>
          <w:b/>
          <w:color w:val="auto"/>
        </w:rPr>
        <w:t>逐步增配为主要配置。</w:t>
      </w:r>
    </w:p>
    <w:p w:rsidR="00A70401" w:rsidRPr="00426354" w:rsidRDefault="00A70401" w:rsidP="00A70401">
      <w:pPr>
        <w:widowControl/>
        <w:spacing w:after="120" w:line="240" w:lineRule="exact"/>
        <w:ind w:left="3430"/>
        <w:rPr>
          <w:rFonts w:ascii="Arial" w:eastAsia="楷体_GB2312" w:hAnsi="Arial" w:cs="Times New Roman"/>
          <w:b/>
          <w:bCs/>
          <w:color w:val="0070C0"/>
          <w:kern w:val="0"/>
          <w:sz w:val="24"/>
          <w:szCs w:val="20"/>
          <w:lang w:val="en-GB"/>
        </w:rPr>
      </w:pPr>
      <w:r w:rsidRPr="00426354">
        <w:rPr>
          <w:rFonts w:ascii="Arial" w:eastAsia="楷体_GB2312" w:hAnsi="Arial" w:cs="Times New Roman" w:hint="eastAsia"/>
          <w:b/>
          <w:bCs/>
          <w:color w:val="0070C0"/>
          <w:kern w:val="0"/>
          <w:sz w:val="24"/>
          <w:szCs w:val="20"/>
          <w:lang w:val="en-GB"/>
        </w:rPr>
        <w:t>发达市场：</w:t>
      </w:r>
      <w:r w:rsidR="000F61AF" w:rsidRPr="00426354">
        <w:rPr>
          <w:rFonts w:ascii="Arial" w:eastAsia="楷体_GB2312" w:hAnsi="Arial" w:cs="Times New Roman" w:hint="eastAsia"/>
          <w:b/>
          <w:bCs/>
          <w:color w:val="0070C0"/>
          <w:kern w:val="0"/>
          <w:sz w:val="24"/>
          <w:szCs w:val="20"/>
          <w:lang w:val="en-GB"/>
        </w:rPr>
        <w:t>美国经济</w:t>
      </w:r>
      <w:r w:rsidR="006402FE">
        <w:rPr>
          <w:rFonts w:ascii="Arial" w:eastAsia="楷体_GB2312" w:hAnsi="Arial" w:cs="Times New Roman" w:hint="eastAsia"/>
          <w:b/>
          <w:bCs/>
          <w:color w:val="0070C0"/>
          <w:kern w:val="0"/>
          <w:sz w:val="24"/>
          <w:szCs w:val="20"/>
          <w:lang w:val="en-GB"/>
        </w:rPr>
        <w:t>稳步复苏</w:t>
      </w:r>
      <w:r w:rsidR="000F61AF" w:rsidRPr="00426354">
        <w:rPr>
          <w:rFonts w:ascii="Arial" w:eastAsia="楷体_GB2312" w:hAnsi="Arial" w:cs="Times New Roman" w:hint="eastAsia"/>
          <w:b/>
          <w:bCs/>
          <w:color w:val="0070C0"/>
          <w:kern w:val="0"/>
          <w:sz w:val="24"/>
          <w:szCs w:val="20"/>
          <w:lang w:val="en-GB"/>
        </w:rPr>
        <w:t>，</w:t>
      </w:r>
      <w:r w:rsidR="006402FE">
        <w:rPr>
          <w:rFonts w:ascii="Arial" w:eastAsia="楷体_GB2312" w:hAnsi="Arial" w:cs="Times New Roman" w:hint="eastAsia"/>
          <w:b/>
          <w:bCs/>
          <w:color w:val="0070C0"/>
          <w:kern w:val="0"/>
          <w:sz w:val="24"/>
          <w:szCs w:val="20"/>
          <w:lang w:val="en-GB"/>
        </w:rPr>
        <w:t>美股</w:t>
      </w:r>
      <w:r w:rsidR="003417A8">
        <w:rPr>
          <w:rFonts w:ascii="Arial" w:eastAsia="楷体_GB2312" w:hAnsi="Arial" w:cs="Times New Roman" w:hint="eastAsia"/>
          <w:b/>
          <w:bCs/>
          <w:color w:val="0070C0"/>
          <w:kern w:val="0"/>
          <w:sz w:val="24"/>
          <w:szCs w:val="20"/>
          <w:lang w:val="en-GB"/>
        </w:rPr>
        <w:t>依然值得信赖</w:t>
      </w:r>
    </w:p>
    <w:p w:rsidR="00F320C0" w:rsidRPr="00426354" w:rsidRDefault="00F320C0" w:rsidP="00256A3A">
      <w:pPr>
        <w:widowControl/>
        <w:spacing w:after="120"/>
        <w:ind w:left="3430"/>
        <w:rPr>
          <w:rFonts w:ascii="Arial" w:eastAsia="楷体_GB2312" w:hAnsi="Arial"/>
          <w:b/>
          <w:bCs/>
          <w:color w:val="0070C0"/>
          <w:kern w:val="0"/>
          <w:szCs w:val="21"/>
          <w:lang w:val="en-GB"/>
        </w:rPr>
      </w:pPr>
      <w:r w:rsidRPr="00426354">
        <w:rPr>
          <w:rFonts w:ascii="Arial" w:eastAsia="楷体_GB2312" w:hAnsi="Arial" w:hint="eastAsia"/>
          <w:b/>
          <w:bCs/>
          <w:color w:val="0070C0"/>
          <w:kern w:val="0"/>
          <w:szCs w:val="21"/>
          <w:lang w:val="en-GB"/>
        </w:rPr>
        <w:t>美国</w:t>
      </w:r>
      <w:r w:rsidR="003E07BE" w:rsidRPr="00426354">
        <w:rPr>
          <w:rFonts w:ascii="Arial" w:eastAsia="楷体_GB2312" w:hAnsi="Arial" w:hint="eastAsia"/>
          <w:b/>
          <w:bCs/>
          <w:color w:val="0070C0"/>
          <w:kern w:val="0"/>
          <w:szCs w:val="21"/>
          <w:lang w:val="en-GB"/>
        </w:rPr>
        <w:t>：</w:t>
      </w:r>
      <w:r w:rsidRPr="00426354">
        <w:rPr>
          <w:rFonts w:ascii="Arial" w:eastAsia="楷体_GB2312" w:hAnsi="Arial" w:hint="eastAsia"/>
          <w:b/>
          <w:bCs/>
          <w:color w:val="0070C0"/>
          <w:kern w:val="0"/>
          <w:szCs w:val="21"/>
          <w:lang w:val="en-GB"/>
        </w:rPr>
        <w:t>经济</w:t>
      </w:r>
      <w:r w:rsidR="00951D9B" w:rsidRPr="00426354">
        <w:rPr>
          <w:rFonts w:ascii="Arial" w:eastAsia="楷体_GB2312" w:hAnsi="Arial" w:hint="eastAsia"/>
          <w:b/>
          <w:bCs/>
          <w:color w:val="0070C0"/>
          <w:kern w:val="0"/>
          <w:szCs w:val="21"/>
          <w:lang w:val="en-GB"/>
        </w:rPr>
        <w:t>稳步</w:t>
      </w:r>
      <w:r w:rsidR="003E07BE" w:rsidRPr="00426354">
        <w:rPr>
          <w:rFonts w:ascii="Arial" w:eastAsia="楷体_GB2312" w:hAnsi="Arial" w:hint="eastAsia"/>
          <w:b/>
          <w:bCs/>
          <w:color w:val="0070C0"/>
          <w:kern w:val="0"/>
          <w:szCs w:val="21"/>
          <w:lang w:val="en-GB"/>
        </w:rPr>
        <w:t>复苏，</w:t>
      </w:r>
      <w:r w:rsidR="003F4996">
        <w:rPr>
          <w:rFonts w:ascii="Arial" w:eastAsia="楷体_GB2312" w:hAnsi="Arial" w:hint="eastAsia"/>
          <w:b/>
          <w:bCs/>
          <w:color w:val="0070C0"/>
          <w:kern w:val="0"/>
          <w:szCs w:val="21"/>
          <w:lang w:val="en-GB"/>
        </w:rPr>
        <w:t>QE</w:t>
      </w:r>
      <w:r w:rsidR="003F4996">
        <w:rPr>
          <w:rFonts w:ascii="Arial" w:eastAsia="楷体_GB2312" w:hAnsi="Arial" w:hint="eastAsia"/>
          <w:b/>
          <w:bCs/>
          <w:color w:val="0070C0"/>
          <w:kern w:val="0"/>
          <w:szCs w:val="21"/>
          <w:lang w:val="en-GB"/>
        </w:rPr>
        <w:t>退出温和</w:t>
      </w:r>
    </w:p>
    <w:p w:rsidR="00E54104" w:rsidRPr="003270E5" w:rsidRDefault="000673AB" w:rsidP="00F320C0">
      <w:pPr>
        <w:pStyle w:val="ab"/>
        <w:numPr>
          <w:ilvl w:val="4"/>
          <w:numId w:val="1"/>
        </w:numPr>
        <w:spacing w:after="163"/>
        <w:rPr>
          <w:rFonts w:eastAsia="楷体_GB2312"/>
          <w:color w:val="auto"/>
        </w:rPr>
      </w:pPr>
      <w:r w:rsidRPr="00272E74">
        <w:rPr>
          <w:rFonts w:eastAsia="楷体_GB2312" w:hint="eastAsia"/>
          <w:color w:val="auto"/>
        </w:rPr>
        <w:t>一系列经济数据显示，美国经济在经过四季度初政府停摆事件的短暂冲击后，重新回到温和复苏的轨道上。</w:t>
      </w:r>
      <w:r w:rsidR="000328B6">
        <w:rPr>
          <w:rFonts w:eastAsia="楷体_GB2312" w:cs="Arial" w:hint="eastAsia"/>
          <w:color w:val="auto"/>
        </w:rPr>
        <w:t>随着</w:t>
      </w:r>
      <w:r w:rsidR="000328B6" w:rsidRPr="000328B6">
        <w:rPr>
          <w:rFonts w:eastAsia="楷体_GB2312" w:hint="eastAsia"/>
          <w:color w:val="auto"/>
        </w:rPr>
        <w:t>两党达成预算协议，</w:t>
      </w:r>
      <w:r w:rsidR="000328B6">
        <w:rPr>
          <w:rFonts w:eastAsia="楷体_GB2312" w:hint="eastAsia"/>
          <w:color w:val="auto"/>
        </w:rPr>
        <w:t>美国</w:t>
      </w:r>
      <w:r w:rsidR="000328B6" w:rsidRPr="000328B6">
        <w:rPr>
          <w:rFonts w:eastAsia="楷体_GB2312" w:hint="eastAsia"/>
          <w:color w:val="auto"/>
        </w:rPr>
        <w:t>经济运行</w:t>
      </w:r>
      <w:r w:rsidR="000328B6">
        <w:rPr>
          <w:rFonts w:eastAsia="楷体_GB2312" w:hint="eastAsia"/>
          <w:color w:val="auto"/>
        </w:rPr>
        <w:t>的</w:t>
      </w:r>
      <w:r w:rsidR="000328B6" w:rsidRPr="000328B6">
        <w:rPr>
          <w:rFonts w:eastAsia="楷体_GB2312" w:hint="eastAsia"/>
          <w:color w:val="auto"/>
        </w:rPr>
        <w:t>不确定性</w:t>
      </w:r>
      <w:r w:rsidR="000328B6">
        <w:rPr>
          <w:rFonts w:eastAsia="楷体_GB2312" w:hint="eastAsia"/>
          <w:color w:val="auto"/>
        </w:rPr>
        <w:t>降低，预计</w:t>
      </w:r>
      <w:r w:rsidR="00BE6051" w:rsidRPr="00272E74">
        <w:rPr>
          <w:rFonts w:eastAsia="楷体_GB2312" w:hint="eastAsia"/>
          <w:color w:val="auto"/>
        </w:rPr>
        <w:t>在住房市场复苏</w:t>
      </w:r>
      <w:r w:rsidR="00E54104" w:rsidRPr="00272E74">
        <w:rPr>
          <w:rFonts w:eastAsia="楷体_GB2312" w:hint="eastAsia"/>
          <w:color w:val="auto"/>
        </w:rPr>
        <w:t>、就业形势改善以及</w:t>
      </w:r>
      <w:r w:rsidR="00BE6051" w:rsidRPr="00272E74">
        <w:rPr>
          <w:rFonts w:eastAsia="楷体_GB2312" w:hint="eastAsia"/>
          <w:color w:val="auto"/>
        </w:rPr>
        <w:t>家庭财富增加</w:t>
      </w:r>
      <w:r w:rsidR="00E54104" w:rsidRPr="00272E74">
        <w:rPr>
          <w:rFonts w:eastAsia="楷体_GB2312" w:hint="eastAsia"/>
          <w:color w:val="auto"/>
        </w:rPr>
        <w:t>支持</w:t>
      </w:r>
      <w:r w:rsidR="00BE6051" w:rsidRPr="00272E74">
        <w:rPr>
          <w:rFonts w:eastAsia="楷体_GB2312" w:hint="eastAsia"/>
          <w:color w:val="auto"/>
        </w:rPr>
        <w:t>私人需求持续强劲</w:t>
      </w:r>
      <w:r w:rsidR="009B7E0D">
        <w:rPr>
          <w:rFonts w:eastAsia="楷体_GB2312" w:hint="eastAsia"/>
          <w:color w:val="auto"/>
        </w:rPr>
        <w:t>等因素</w:t>
      </w:r>
      <w:r w:rsidR="00BE6051" w:rsidRPr="00272E74">
        <w:rPr>
          <w:rFonts w:eastAsia="楷体_GB2312" w:hint="eastAsia"/>
          <w:color w:val="auto"/>
        </w:rPr>
        <w:t>驱动下，</w:t>
      </w:r>
      <w:r w:rsidR="00E54104" w:rsidRPr="00272E74">
        <w:rPr>
          <w:rFonts w:eastAsia="楷体_GB2312" w:hint="eastAsia"/>
          <w:color w:val="auto"/>
        </w:rPr>
        <w:t>美国经济</w:t>
      </w:r>
      <w:r w:rsidR="00E54104" w:rsidRPr="00272E74">
        <w:rPr>
          <w:rFonts w:eastAsia="楷体_GB2312" w:hint="eastAsia"/>
          <w:color w:val="auto"/>
        </w:rPr>
        <w:t>2014</w:t>
      </w:r>
      <w:r w:rsidR="00E54104" w:rsidRPr="00272E74">
        <w:rPr>
          <w:rFonts w:eastAsia="楷体_GB2312" w:hint="eastAsia"/>
          <w:color w:val="auto"/>
        </w:rPr>
        <w:t>年将保持稳步复苏</w:t>
      </w:r>
      <w:r w:rsidR="006B3FE3">
        <w:rPr>
          <w:rFonts w:eastAsia="楷体_GB2312" w:hint="eastAsia"/>
          <w:color w:val="auto"/>
        </w:rPr>
        <w:t>势头</w:t>
      </w:r>
      <w:r w:rsidR="00E54104" w:rsidRPr="00272E74">
        <w:rPr>
          <w:rFonts w:eastAsia="楷体_GB2312" w:hint="eastAsia"/>
          <w:color w:val="auto"/>
        </w:rPr>
        <w:t>，</w:t>
      </w:r>
      <w:r w:rsidR="00DA4CFA" w:rsidRPr="00272E74">
        <w:rPr>
          <w:rFonts w:eastAsia="楷体_GB2312" w:hint="eastAsia"/>
          <w:color w:val="auto"/>
        </w:rPr>
        <w:t>全年经济增幅有望达到</w:t>
      </w:r>
      <w:r w:rsidR="00DA4CFA" w:rsidRPr="00272E74">
        <w:rPr>
          <w:rFonts w:eastAsia="楷体_GB2312" w:hint="eastAsia"/>
          <w:color w:val="auto"/>
        </w:rPr>
        <w:t>2.5%</w:t>
      </w:r>
      <w:r w:rsidR="00714366">
        <w:rPr>
          <w:rFonts w:eastAsia="楷体_GB2312" w:hint="eastAsia"/>
          <w:color w:val="auto"/>
        </w:rPr>
        <w:t>甚至更高</w:t>
      </w:r>
      <w:r w:rsidR="00DA4CFA" w:rsidRPr="003270E5">
        <w:rPr>
          <w:rFonts w:eastAsia="楷体_GB2312" w:hint="eastAsia"/>
          <w:color w:val="auto"/>
        </w:rPr>
        <w:t>（</w:t>
      </w:r>
      <w:r w:rsidR="00DA4CFA" w:rsidRPr="003270E5">
        <w:rPr>
          <w:rFonts w:eastAsia="楷体_GB2312" w:hint="eastAsia"/>
          <w:color w:val="auto"/>
        </w:rPr>
        <w:t>2013</w:t>
      </w:r>
      <w:r w:rsidR="00DA4CFA" w:rsidRPr="003270E5">
        <w:rPr>
          <w:rFonts w:eastAsia="楷体_GB2312" w:hint="eastAsia"/>
          <w:color w:val="auto"/>
        </w:rPr>
        <w:t>年预计</w:t>
      </w:r>
      <w:r w:rsidR="000A4129" w:rsidRPr="003270E5">
        <w:rPr>
          <w:rFonts w:eastAsia="楷体_GB2312" w:hint="eastAsia"/>
          <w:color w:val="auto"/>
        </w:rPr>
        <w:t>1.5</w:t>
      </w:r>
      <w:r w:rsidR="00DA4CFA" w:rsidRPr="003270E5">
        <w:rPr>
          <w:rFonts w:eastAsia="楷体_GB2312" w:hint="eastAsia"/>
          <w:color w:val="auto"/>
        </w:rPr>
        <w:t>%</w:t>
      </w:r>
      <w:r w:rsidR="00611CFD" w:rsidRPr="003270E5">
        <w:rPr>
          <w:rFonts w:eastAsia="楷体_GB2312" w:hint="eastAsia"/>
          <w:color w:val="auto"/>
        </w:rPr>
        <w:t>~1.6%</w:t>
      </w:r>
      <w:r w:rsidR="008B4461" w:rsidRPr="003270E5">
        <w:rPr>
          <w:rFonts w:eastAsia="楷体_GB2312" w:hint="eastAsia"/>
          <w:color w:val="auto"/>
        </w:rPr>
        <w:t>上下</w:t>
      </w:r>
      <w:r w:rsidR="00DA4CFA" w:rsidRPr="003270E5">
        <w:rPr>
          <w:rFonts w:eastAsia="楷体_GB2312" w:hint="eastAsia"/>
          <w:color w:val="auto"/>
        </w:rPr>
        <w:t>）</w:t>
      </w:r>
      <w:r w:rsidR="00C6766A">
        <w:rPr>
          <w:rFonts w:eastAsia="楷体_GB2312" w:hint="eastAsia"/>
          <w:color w:val="auto"/>
        </w:rPr>
        <w:t>。</w:t>
      </w:r>
    </w:p>
    <w:p w:rsidR="00E0460F" w:rsidRDefault="00A453FA" w:rsidP="00780FF6">
      <w:pPr>
        <w:pStyle w:val="ab"/>
        <w:numPr>
          <w:ilvl w:val="5"/>
          <w:numId w:val="2"/>
        </w:numPr>
        <w:spacing w:after="163"/>
        <w:ind w:left="4140" w:hanging="369"/>
        <w:rPr>
          <w:rFonts w:eastAsia="楷体_GB2312"/>
          <w:color w:val="auto"/>
        </w:rPr>
      </w:pPr>
      <w:r>
        <w:rPr>
          <w:rFonts w:eastAsia="楷体_GB2312" w:hint="eastAsia"/>
          <w:color w:val="auto"/>
        </w:rPr>
        <w:t>三季度经济增长乐观：</w:t>
      </w:r>
      <w:r w:rsidR="00B7781B" w:rsidRPr="00426354">
        <w:rPr>
          <w:rFonts w:eastAsia="楷体_GB2312" w:hint="eastAsia"/>
          <w:color w:val="auto"/>
        </w:rPr>
        <w:t>美国商务部</w:t>
      </w:r>
      <w:r w:rsidR="00B7781B" w:rsidRPr="00426354">
        <w:rPr>
          <w:rFonts w:eastAsia="楷体_GB2312" w:hint="eastAsia"/>
          <w:color w:val="auto"/>
        </w:rPr>
        <w:t>12</w:t>
      </w:r>
      <w:r w:rsidR="00B7781B" w:rsidRPr="00426354">
        <w:rPr>
          <w:rFonts w:eastAsia="楷体_GB2312" w:hint="eastAsia"/>
          <w:color w:val="auto"/>
        </w:rPr>
        <w:t>月初公布的修正数据显示，今年第三季度美国国内生产总值（</w:t>
      </w:r>
      <w:r w:rsidR="00B7781B" w:rsidRPr="00426354">
        <w:rPr>
          <w:rFonts w:eastAsia="楷体_GB2312" w:hint="eastAsia"/>
          <w:color w:val="auto"/>
        </w:rPr>
        <w:t>GDP</w:t>
      </w:r>
      <w:r w:rsidR="00B7781B" w:rsidRPr="00426354">
        <w:rPr>
          <w:rFonts w:eastAsia="楷体_GB2312" w:hint="eastAsia"/>
          <w:color w:val="auto"/>
        </w:rPr>
        <w:t>）</w:t>
      </w:r>
      <w:r w:rsidR="00397E0D">
        <w:rPr>
          <w:rFonts w:eastAsia="楷体_GB2312" w:hint="eastAsia"/>
          <w:color w:val="auto"/>
        </w:rPr>
        <w:t>环比</w:t>
      </w:r>
      <w:r w:rsidR="00B7781B" w:rsidRPr="00426354">
        <w:rPr>
          <w:rFonts w:eastAsia="楷体_GB2312" w:hint="eastAsia"/>
          <w:color w:val="auto"/>
        </w:rPr>
        <w:t>增长</w:t>
      </w:r>
      <w:r w:rsidR="00B7781B" w:rsidRPr="00426354">
        <w:rPr>
          <w:rFonts w:eastAsia="楷体_GB2312" w:hint="eastAsia"/>
          <w:color w:val="auto"/>
        </w:rPr>
        <w:t>3.6%</w:t>
      </w:r>
      <w:r w:rsidR="00B7781B" w:rsidRPr="00426354">
        <w:rPr>
          <w:rFonts w:eastAsia="楷体_GB2312" w:hint="eastAsia"/>
          <w:color w:val="auto"/>
        </w:rPr>
        <w:t>，比此前估测的</w:t>
      </w:r>
      <w:r w:rsidR="00B7781B" w:rsidRPr="00426354">
        <w:rPr>
          <w:rFonts w:eastAsia="楷体_GB2312" w:hint="eastAsia"/>
          <w:color w:val="auto"/>
        </w:rPr>
        <w:t>2.8%</w:t>
      </w:r>
      <w:r w:rsidR="00B7781B" w:rsidRPr="00426354">
        <w:rPr>
          <w:rFonts w:eastAsia="楷体_GB2312" w:hint="eastAsia"/>
          <w:color w:val="auto"/>
        </w:rPr>
        <w:t>大幅上调，为</w:t>
      </w:r>
      <w:r w:rsidR="00B7781B" w:rsidRPr="00426354">
        <w:rPr>
          <w:rFonts w:eastAsia="楷体_GB2312" w:hint="eastAsia"/>
          <w:color w:val="auto"/>
        </w:rPr>
        <w:t>2012</w:t>
      </w:r>
      <w:r w:rsidR="00B7781B" w:rsidRPr="00426354">
        <w:rPr>
          <w:rFonts w:eastAsia="楷体_GB2312" w:hint="eastAsia"/>
          <w:color w:val="auto"/>
        </w:rPr>
        <w:t>年第一季度以来美国单季最快的经济增速</w:t>
      </w:r>
      <w:r w:rsidR="00610F20" w:rsidRPr="00426354">
        <w:rPr>
          <w:rFonts w:eastAsia="楷体_GB2312" w:hint="eastAsia"/>
          <w:color w:val="auto"/>
        </w:rPr>
        <w:t>，且</w:t>
      </w:r>
      <w:r w:rsidR="00610F20" w:rsidRPr="00426354">
        <w:rPr>
          <w:rFonts w:eastAsia="楷体_GB2312" w:hint="eastAsia"/>
          <w:color w:val="auto"/>
        </w:rPr>
        <w:t>2013</w:t>
      </w:r>
      <w:r w:rsidR="00610F20" w:rsidRPr="00426354">
        <w:rPr>
          <w:rFonts w:eastAsia="楷体_GB2312" w:hint="eastAsia"/>
          <w:color w:val="auto"/>
        </w:rPr>
        <w:t>年来逐季度</w:t>
      </w:r>
      <w:r w:rsidR="003A40CC" w:rsidRPr="00426354">
        <w:rPr>
          <w:rFonts w:eastAsia="楷体_GB2312" w:hint="eastAsia"/>
          <w:color w:val="auto"/>
        </w:rPr>
        <w:t>上升</w:t>
      </w:r>
      <w:r w:rsidR="00B7781B" w:rsidRPr="00426354">
        <w:rPr>
          <w:rFonts w:eastAsia="楷体_GB2312" w:hint="eastAsia"/>
          <w:color w:val="auto"/>
        </w:rPr>
        <w:t>。美国商务部指出，个人消费、私人库存、出口和固定资产投资增长是支撑第三季度</w:t>
      </w:r>
      <w:r w:rsidR="00B7781B" w:rsidRPr="00426354">
        <w:rPr>
          <w:rFonts w:eastAsia="楷体_GB2312" w:hint="eastAsia"/>
          <w:color w:val="auto"/>
        </w:rPr>
        <w:t>GDP</w:t>
      </w:r>
      <w:r w:rsidR="00B7781B" w:rsidRPr="00426354">
        <w:rPr>
          <w:rFonts w:eastAsia="楷体_GB2312" w:hint="eastAsia"/>
          <w:color w:val="auto"/>
        </w:rPr>
        <w:t>增长的主要因素。</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570339" w:rsidTr="00704E4D">
        <w:trPr>
          <w:cantSplit/>
          <w:trHeight w:val="65"/>
        </w:trPr>
        <w:tc>
          <w:tcPr>
            <w:tcW w:w="7442" w:type="dxa"/>
            <w:shd w:val="clear" w:color="auto" w:fill="auto"/>
            <w:vAlign w:val="center"/>
          </w:tcPr>
          <w:p w:rsidR="00570339" w:rsidRPr="00656031" w:rsidRDefault="00570339" w:rsidP="00704E4D">
            <w:pPr>
              <w:pStyle w:val="SubTitleLargeTable"/>
              <w:pBdr>
                <w:top w:val="none" w:sz="0" w:space="0" w:color="auto"/>
              </w:pBdr>
              <w:rPr>
                <w:rFonts w:ascii="宋体" w:eastAsia="宋体" w:hAnsi="宋体"/>
                <w:b w:val="0"/>
                <w:color w:val="FF6600"/>
              </w:rPr>
            </w:pPr>
            <w:r w:rsidRPr="00940A07">
              <w:rPr>
                <w:rFonts w:eastAsia="楷体_GB2312"/>
                <w:color w:val="FF6600"/>
              </w:rPr>
              <w:t>图表</w:t>
            </w:r>
            <w:r w:rsidRPr="00940A07">
              <w:rPr>
                <w:rFonts w:eastAsia="楷体_GB2312" w:hint="eastAsia"/>
                <w:color w:val="FF6600"/>
              </w:rPr>
              <w:t>1</w:t>
            </w:r>
            <w:r w:rsidRPr="00940A07">
              <w:rPr>
                <w:rFonts w:eastAsia="楷体_GB2312" w:hint="eastAsia"/>
                <w:color w:val="FF6600"/>
              </w:rPr>
              <w:t>：</w:t>
            </w:r>
            <w:r w:rsidR="004B7950" w:rsidRPr="00426354">
              <w:rPr>
                <w:rFonts w:eastAsia="楷体_GB2312" w:hint="eastAsia"/>
                <w:color w:val="FF6600"/>
              </w:rPr>
              <w:t>美国</w:t>
            </w:r>
            <w:r w:rsidR="004B7950" w:rsidRPr="00426354">
              <w:rPr>
                <w:rFonts w:eastAsia="楷体_GB2312" w:hint="eastAsia"/>
                <w:color w:val="FF6600"/>
              </w:rPr>
              <w:t>GDP</w:t>
            </w:r>
            <w:r w:rsidR="004B7950" w:rsidRPr="00426354">
              <w:rPr>
                <w:rFonts w:eastAsia="楷体_GB2312" w:hint="eastAsia"/>
                <w:color w:val="FF6600"/>
              </w:rPr>
              <w:t>增长情况</w:t>
            </w:r>
          </w:p>
        </w:tc>
      </w:tr>
      <w:tr w:rsidR="00570339" w:rsidTr="00704E4D">
        <w:trPr>
          <w:cantSplit/>
          <w:trHeight w:val="3169"/>
        </w:trPr>
        <w:tc>
          <w:tcPr>
            <w:tcW w:w="7442" w:type="dxa"/>
            <w:shd w:val="clear" w:color="auto" w:fill="auto"/>
            <w:vAlign w:val="center"/>
          </w:tcPr>
          <w:p w:rsidR="00570339" w:rsidRPr="00921371" w:rsidRDefault="004B7950" w:rsidP="00704E4D">
            <w:pPr>
              <w:snapToGrid w:val="0"/>
              <w:spacing w:line="10" w:lineRule="atLeast"/>
              <w:jc w:val="center"/>
              <w:rPr>
                <w:rFonts w:ascii="宋体" w:eastAsia="宋体" w:hAnsi="宋体"/>
                <w:b/>
              </w:rPr>
            </w:pPr>
            <w:r w:rsidRPr="004B7950">
              <w:rPr>
                <w:rFonts w:ascii="宋体" w:eastAsia="宋体" w:hAnsi="宋体"/>
                <w:b/>
                <w:noProof/>
              </w:rPr>
              <w:drawing>
                <wp:inline distT="0" distB="0" distL="0" distR="0">
                  <wp:extent cx="3467100" cy="2082567"/>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467100" cy="2082567"/>
                          </a:xfrm>
                          <a:prstGeom prst="rect">
                            <a:avLst/>
                          </a:prstGeom>
                          <a:noFill/>
                        </pic:spPr>
                      </pic:pic>
                    </a:graphicData>
                  </a:graphic>
                </wp:inline>
              </w:drawing>
            </w:r>
          </w:p>
        </w:tc>
      </w:tr>
    </w:tbl>
    <w:p w:rsidR="00570339" w:rsidRPr="00940A07" w:rsidRDefault="00570339" w:rsidP="00570339">
      <w:pPr>
        <w:pStyle w:val="FootnoteNoline"/>
        <w:rPr>
          <w:rFonts w:eastAsia="楷体_GB2312"/>
          <w:color w:val="FF6600"/>
          <w:lang w:val="en-US"/>
        </w:rPr>
      </w:pPr>
      <w:r w:rsidRPr="00940A07">
        <w:rPr>
          <w:rFonts w:eastAsia="楷体_GB2312" w:hint="eastAsia"/>
          <w:color w:val="FF6600"/>
          <w:lang w:val="en-US"/>
        </w:rPr>
        <w:t>来源：凯石财富工场</w:t>
      </w:r>
      <w:r w:rsidRPr="00940A07">
        <w:rPr>
          <w:rFonts w:eastAsia="楷体_GB2312" w:hint="eastAsia"/>
          <w:color w:val="FF6600"/>
          <w:lang w:val="en-US"/>
        </w:rPr>
        <w:t xml:space="preserve"> </w:t>
      </w:r>
      <w:r w:rsidR="008D2811">
        <w:rPr>
          <w:rFonts w:eastAsia="楷体_GB2312" w:hint="eastAsia"/>
          <w:color w:val="FF6600"/>
          <w:lang w:val="en-US"/>
        </w:rPr>
        <w:t>wind</w:t>
      </w:r>
    </w:p>
    <w:p w:rsidR="0069510C" w:rsidRPr="00154EF6" w:rsidRDefault="00235BFC" w:rsidP="0069510C">
      <w:pPr>
        <w:pStyle w:val="ab"/>
        <w:numPr>
          <w:ilvl w:val="5"/>
          <w:numId w:val="2"/>
        </w:numPr>
        <w:spacing w:after="163"/>
        <w:ind w:left="4140" w:hanging="369"/>
        <w:rPr>
          <w:rFonts w:eastAsia="楷体_GB2312"/>
          <w:color w:val="auto"/>
        </w:rPr>
      </w:pPr>
      <w:r w:rsidRPr="00154EF6">
        <w:rPr>
          <w:rFonts w:eastAsia="楷体_GB2312" w:hint="eastAsia"/>
          <w:color w:val="auto"/>
        </w:rPr>
        <w:lastRenderedPageBreak/>
        <w:t>两党达成预算协议</w:t>
      </w:r>
      <w:r w:rsidR="00641DBF">
        <w:rPr>
          <w:rFonts w:eastAsia="楷体_GB2312" w:hint="eastAsia"/>
          <w:color w:val="auto"/>
        </w:rPr>
        <w:t>，降低经济运行不确定性</w:t>
      </w:r>
      <w:r w:rsidRPr="00154EF6">
        <w:rPr>
          <w:rFonts w:eastAsia="楷体_GB2312" w:hint="eastAsia"/>
          <w:color w:val="auto"/>
        </w:rPr>
        <w:t>：</w:t>
      </w:r>
      <w:r w:rsidR="0069510C" w:rsidRPr="00154EF6">
        <w:rPr>
          <w:rFonts w:eastAsia="楷体_GB2312" w:hint="eastAsia"/>
          <w:color w:val="auto"/>
        </w:rPr>
        <w:t>12</w:t>
      </w:r>
      <w:r w:rsidR="0069510C" w:rsidRPr="00154EF6">
        <w:rPr>
          <w:rFonts w:eastAsia="楷体_GB2312" w:hint="eastAsia"/>
          <w:color w:val="auto"/>
        </w:rPr>
        <w:t>月</w:t>
      </w:r>
      <w:r w:rsidR="00324B13">
        <w:rPr>
          <w:rFonts w:eastAsia="楷体_GB2312" w:hint="eastAsia"/>
          <w:color w:val="auto"/>
        </w:rPr>
        <w:t>初</w:t>
      </w:r>
      <w:r w:rsidR="0069510C" w:rsidRPr="00154EF6">
        <w:rPr>
          <w:rFonts w:eastAsia="楷体_GB2312" w:hint="eastAsia"/>
          <w:color w:val="auto"/>
        </w:rPr>
        <w:t>，美国国会众议院预算委员会主席保罗·瑞安和参议院预算委员会主席帕蒂·默里宣布达成未来两个财年的联邦政府预算方案，该方案</w:t>
      </w:r>
      <w:r w:rsidR="00324B13">
        <w:rPr>
          <w:rFonts w:eastAsia="楷体_GB2312" w:hint="eastAsia"/>
          <w:color w:val="auto"/>
        </w:rPr>
        <w:t>随后</w:t>
      </w:r>
      <w:r w:rsidR="0069510C" w:rsidRPr="00154EF6">
        <w:rPr>
          <w:rFonts w:eastAsia="楷体_GB2312" w:hint="eastAsia"/>
          <w:color w:val="auto"/>
        </w:rPr>
        <w:t>获得国会通过，</w:t>
      </w:r>
      <w:r w:rsidR="00324B13">
        <w:rPr>
          <w:rFonts w:eastAsia="楷体_GB2312" w:hint="eastAsia"/>
          <w:color w:val="auto"/>
        </w:rPr>
        <w:t>因此</w:t>
      </w:r>
      <w:r w:rsidR="0069510C" w:rsidRPr="00154EF6">
        <w:rPr>
          <w:rFonts w:eastAsia="楷体_GB2312" w:hint="eastAsia"/>
          <w:color w:val="auto"/>
        </w:rPr>
        <w:t>避免美国政府在明年</w:t>
      </w:r>
      <w:r w:rsidR="0069510C" w:rsidRPr="00154EF6">
        <w:rPr>
          <w:rFonts w:eastAsia="楷体_GB2312" w:hint="eastAsia"/>
          <w:color w:val="auto"/>
        </w:rPr>
        <w:t>1</w:t>
      </w:r>
      <w:r w:rsidR="0069510C" w:rsidRPr="00154EF6">
        <w:rPr>
          <w:rFonts w:eastAsia="楷体_GB2312" w:hint="eastAsia"/>
          <w:color w:val="auto"/>
        </w:rPr>
        <w:t>月</w:t>
      </w:r>
      <w:r w:rsidR="0069510C" w:rsidRPr="00154EF6">
        <w:rPr>
          <w:rFonts w:eastAsia="楷体_GB2312" w:hint="eastAsia"/>
          <w:color w:val="auto"/>
        </w:rPr>
        <w:t>15</w:t>
      </w:r>
      <w:r w:rsidR="0069510C" w:rsidRPr="00154EF6">
        <w:rPr>
          <w:rFonts w:eastAsia="楷体_GB2312" w:hint="eastAsia"/>
          <w:color w:val="auto"/>
        </w:rPr>
        <w:t>日关门。</w:t>
      </w:r>
      <w:r w:rsidR="00154EF6" w:rsidRPr="00154EF6">
        <w:rPr>
          <w:rFonts w:eastAsia="楷体_GB2312" w:hint="eastAsia"/>
          <w:color w:val="auto"/>
        </w:rPr>
        <w:t>本次协议折中了两党意见，双方同意减缓</w:t>
      </w:r>
      <w:r w:rsidR="00154EF6" w:rsidRPr="00154EF6">
        <w:rPr>
          <w:rFonts w:eastAsia="楷体_GB2312" w:hint="eastAsia"/>
          <w:color w:val="auto"/>
        </w:rPr>
        <w:t>2014</w:t>
      </w:r>
      <w:r w:rsidR="00154EF6" w:rsidRPr="00154EF6">
        <w:rPr>
          <w:rFonts w:eastAsia="楷体_GB2312" w:hint="eastAsia"/>
          <w:color w:val="auto"/>
        </w:rPr>
        <w:t>财年和</w:t>
      </w:r>
      <w:r w:rsidR="00154EF6" w:rsidRPr="00154EF6">
        <w:rPr>
          <w:rFonts w:eastAsia="楷体_GB2312" w:hint="eastAsia"/>
          <w:color w:val="auto"/>
        </w:rPr>
        <w:t>2015</w:t>
      </w:r>
      <w:r w:rsidR="00154EF6" w:rsidRPr="00154EF6">
        <w:rPr>
          <w:rFonts w:eastAsia="楷体_GB2312" w:hint="eastAsia"/>
          <w:color w:val="auto"/>
        </w:rPr>
        <w:t>财年的政府开支削减幅度，并通过政府雇员增加养老金自付比例等方式来帮助政府财政“开源”。</w:t>
      </w:r>
    </w:p>
    <w:p w:rsidR="00DE3546" w:rsidRDefault="00CA0134" w:rsidP="00E16A63">
      <w:pPr>
        <w:pStyle w:val="ab"/>
        <w:numPr>
          <w:ilvl w:val="5"/>
          <w:numId w:val="2"/>
        </w:numPr>
        <w:spacing w:after="163"/>
        <w:ind w:left="4140" w:hanging="369"/>
        <w:rPr>
          <w:rFonts w:eastAsia="楷体_GB2312"/>
          <w:color w:val="auto"/>
        </w:rPr>
      </w:pPr>
      <w:r>
        <w:rPr>
          <w:rFonts w:eastAsia="楷体_GB2312" w:hint="eastAsia"/>
          <w:color w:val="auto"/>
        </w:rPr>
        <w:t>房地产市场</w:t>
      </w:r>
      <w:r w:rsidR="00A7743A">
        <w:rPr>
          <w:rFonts w:eastAsia="楷体_GB2312" w:hint="eastAsia"/>
          <w:color w:val="auto"/>
        </w:rPr>
        <w:t>总体</w:t>
      </w:r>
      <w:r>
        <w:rPr>
          <w:rFonts w:eastAsia="楷体_GB2312" w:hint="eastAsia"/>
          <w:color w:val="auto"/>
        </w:rPr>
        <w:t>运行状况良好：</w:t>
      </w:r>
      <w:r w:rsidR="004F0E68" w:rsidRPr="00E16A63">
        <w:rPr>
          <w:rFonts w:eastAsia="楷体_GB2312" w:hint="eastAsia"/>
          <w:color w:val="auto"/>
        </w:rPr>
        <w:t>美国房地产市场</w:t>
      </w:r>
      <w:r w:rsidR="00560F6B" w:rsidRPr="00E16A63">
        <w:rPr>
          <w:rFonts w:eastAsia="楷体_GB2312" w:hint="eastAsia"/>
          <w:color w:val="auto"/>
        </w:rPr>
        <w:t>运行状况良好</w:t>
      </w:r>
      <w:r w:rsidR="004A4EB8" w:rsidRPr="00E16A63">
        <w:rPr>
          <w:rFonts w:eastAsia="楷体_GB2312" w:hint="eastAsia"/>
          <w:color w:val="auto"/>
        </w:rPr>
        <w:t>，</w:t>
      </w:r>
      <w:r w:rsidR="00214BB0" w:rsidRPr="00E16A63">
        <w:rPr>
          <w:rFonts w:eastAsia="楷体_GB2312" w:hint="eastAsia"/>
          <w:color w:val="auto"/>
        </w:rPr>
        <w:t>是</w:t>
      </w:r>
      <w:r w:rsidR="004F0E68" w:rsidRPr="00E16A63">
        <w:rPr>
          <w:rFonts w:eastAsia="楷体_GB2312" w:hint="eastAsia"/>
          <w:color w:val="auto"/>
        </w:rPr>
        <w:t>经济复苏进程中的亮点。</w:t>
      </w:r>
      <w:r w:rsidR="00AB4924" w:rsidRPr="00E16A63">
        <w:rPr>
          <w:rFonts w:eastAsia="楷体_GB2312" w:hint="eastAsia"/>
          <w:color w:val="auto"/>
        </w:rPr>
        <w:t>2013</w:t>
      </w:r>
      <w:r w:rsidR="003138FF" w:rsidRPr="00E16A63">
        <w:rPr>
          <w:rFonts w:eastAsia="楷体_GB2312" w:hint="eastAsia"/>
          <w:color w:val="auto"/>
        </w:rPr>
        <w:t>年</w:t>
      </w:r>
      <w:r w:rsidR="00C15143" w:rsidRPr="00E16A63">
        <w:rPr>
          <w:rFonts w:eastAsia="楷体_GB2312" w:hint="eastAsia"/>
          <w:color w:val="auto"/>
        </w:rPr>
        <w:t>以来</w:t>
      </w:r>
      <w:r w:rsidR="004A4EB8" w:rsidRPr="00E16A63">
        <w:rPr>
          <w:rFonts w:eastAsia="楷体_GB2312" w:hint="eastAsia"/>
          <w:color w:val="auto"/>
        </w:rPr>
        <w:t>，美国房屋价格走势</w:t>
      </w:r>
      <w:r w:rsidR="00C21EDC">
        <w:rPr>
          <w:rFonts w:eastAsia="楷体_GB2312" w:hint="eastAsia"/>
          <w:color w:val="auto"/>
        </w:rPr>
        <w:t>出色</w:t>
      </w:r>
      <w:r w:rsidR="00A14C92" w:rsidRPr="00E16A63">
        <w:rPr>
          <w:rFonts w:eastAsia="楷体_GB2312" w:hint="eastAsia"/>
          <w:color w:val="auto"/>
        </w:rPr>
        <w:t>，</w:t>
      </w:r>
      <w:r w:rsidR="00BA0DF7" w:rsidRPr="00E16A63">
        <w:rPr>
          <w:rFonts w:eastAsia="楷体_GB2312" w:hint="eastAsia"/>
          <w:color w:val="auto"/>
        </w:rPr>
        <w:t>房价指数</w:t>
      </w:r>
      <w:r w:rsidR="00A14C92" w:rsidRPr="00E16A63">
        <w:rPr>
          <w:rFonts w:eastAsia="楷体_GB2312" w:hint="eastAsia"/>
          <w:color w:val="auto"/>
        </w:rPr>
        <w:t>下半年</w:t>
      </w:r>
      <w:r w:rsidR="0087096B" w:rsidRPr="00E16A63">
        <w:rPr>
          <w:rFonts w:eastAsia="楷体_GB2312" w:hint="eastAsia"/>
          <w:color w:val="auto"/>
        </w:rPr>
        <w:t>已经攀升至</w:t>
      </w:r>
      <w:r w:rsidR="003138FF" w:rsidRPr="00E16A63">
        <w:rPr>
          <w:rFonts w:eastAsia="楷体_GB2312" w:hint="eastAsia"/>
          <w:color w:val="auto"/>
        </w:rPr>
        <w:t xml:space="preserve">2006 </w:t>
      </w:r>
      <w:r w:rsidR="003138FF" w:rsidRPr="00E16A63">
        <w:rPr>
          <w:rFonts w:eastAsia="楷体_GB2312" w:hint="eastAsia"/>
          <w:color w:val="auto"/>
        </w:rPr>
        <w:t>年房地产泡沫破灭以来的最高水平。</w:t>
      </w:r>
      <w:r w:rsidR="00F622A7" w:rsidRPr="00E16A63">
        <w:rPr>
          <w:rFonts w:eastAsia="楷体_GB2312" w:hint="eastAsia"/>
          <w:color w:val="auto"/>
        </w:rPr>
        <w:t>美国商务部</w:t>
      </w:r>
      <w:r w:rsidR="00F622A7" w:rsidRPr="00E16A63">
        <w:rPr>
          <w:rFonts w:eastAsia="楷体_GB2312" w:hint="eastAsia"/>
          <w:color w:val="auto"/>
        </w:rPr>
        <w:t>2013</w:t>
      </w:r>
      <w:r w:rsidR="00F622A7" w:rsidRPr="00E16A63">
        <w:rPr>
          <w:rFonts w:eastAsia="楷体_GB2312" w:hint="eastAsia"/>
          <w:color w:val="auto"/>
        </w:rPr>
        <w:t>年</w:t>
      </w:r>
      <w:r w:rsidR="00F622A7" w:rsidRPr="00E16A63">
        <w:rPr>
          <w:rFonts w:eastAsia="楷体_GB2312" w:hint="eastAsia"/>
          <w:color w:val="auto"/>
        </w:rPr>
        <w:t>11</w:t>
      </w:r>
      <w:r w:rsidR="00F622A7" w:rsidRPr="00E16A63">
        <w:rPr>
          <w:rFonts w:eastAsia="楷体_GB2312" w:hint="eastAsia"/>
          <w:color w:val="auto"/>
        </w:rPr>
        <w:t>月底数据</w:t>
      </w:r>
      <w:r w:rsidR="002A40AC" w:rsidRPr="00E16A63">
        <w:rPr>
          <w:rFonts w:eastAsia="楷体_GB2312" w:hint="eastAsia"/>
          <w:color w:val="auto"/>
        </w:rPr>
        <w:t>也</w:t>
      </w:r>
      <w:r w:rsidR="00F622A7" w:rsidRPr="00E16A63">
        <w:rPr>
          <w:rFonts w:eastAsia="楷体_GB2312" w:hint="eastAsia"/>
          <w:color w:val="auto"/>
        </w:rPr>
        <w:t>显示，</w:t>
      </w:r>
      <w:r w:rsidR="00F622A7" w:rsidRPr="00E16A63">
        <w:rPr>
          <w:rFonts w:eastAsia="楷体_GB2312" w:hint="eastAsia"/>
          <w:color w:val="auto"/>
        </w:rPr>
        <w:t>10</w:t>
      </w:r>
      <w:r w:rsidR="00F622A7" w:rsidRPr="00E16A63">
        <w:rPr>
          <w:rFonts w:eastAsia="楷体_GB2312" w:hint="eastAsia"/>
          <w:color w:val="auto"/>
        </w:rPr>
        <w:t>月份反映未来新房开工走势的新房建筑许可证发放量环比大增</w:t>
      </w:r>
      <w:r w:rsidR="00EE5A16" w:rsidRPr="00E16A63">
        <w:rPr>
          <w:rFonts w:eastAsia="楷体_GB2312" w:hint="eastAsia"/>
          <w:color w:val="auto"/>
        </w:rPr>
        <w:t>。综合</w:t>
      </w:r>
      <w:r w:rsidR="004A4EB8" w:rsidRPr="00E16A63">
        <w:rPr>
          <w:rFonts w:eastAsia="楷体_GB2312" w:hint="eastAsia"/>
          <w:color w:val="auto"/>
        </w:rPr>
        <w:t>房屋</w:t>
      </w:r>
      <w:r w:rsidR="00EE5A16" w:rsidRPr="00E16A63">
        <w:rPr>
          <w:rFonts w:eastAsia="楷体_GB2312" w:hint="eastAsia"/>
          <w:color w:val="auto"/>
        </w:rPr>
        <w:t>价格走势以及</w:t>
      </w:r>
      <w:r w:rsidR="00E9210F" w:rsidRPr="00E16A63">
        <w:rPr>
          <w:rFonts w:eastAsia="楷体_GB2312" w:hint="eastAsia"/>
          <w:color w:val="auto"/>
        </w:rPr>
        <w:t>新房</w:t>
      </w:r>
      <w:r w:rsidR="00EE5A16" w:rsidRPr="00E16A63">
        <w:rPr>
          <w:rFonts w:eastAsia="楷体_GB2312" w:hint="eastAsia"/>
          <w:color w:val="auto"/>
        </w:rPr>
        <w:t>开工</w:t>
      </w:r>
      <w:r w:rsidR="004A4EB8" w:rsidRPr="00E16A63">
        <w:rPr>
          <w:rFonts w:eastAsia="楷体_GB2312" w:hint="eastAsia"/>
          <w:color w:val="auto"/>
        </w:rPr>
        <w:t>等</w:t>
      </w:r>
      <w:r w:rsidR="00EE5A16" w:rsidRPr="00E16A63">
        <w:rPr>
          <w:rFonts w:eastAsia="楷体_GB2312" w:hint="eastAsia"/>
          <w:color w:val="auto"/>
        </w:rPr>
        <w:t>数据，</w:t>
      </w:r>
      <w:r w:rsidR="004A4EB8" w:rsidRPr="00E16A63">
        <w:rPr>
          <w:rFonts w:eastAsia="楷体_GB2312" w:hint="eastAsia"/>
          <w:color w:val="auto"/>
        </w:rPr>
        <w:t>2014</w:t>
      </w:r>
      <w:r w:rsidR="004A4EB8" w:rsidRPr="00E16A63">
        <w:rPr>
          <w:rFonts w:eastAsia="楷体_GB2312" w:hint="eastAsia"/>
          <w:color w:val="auto"/>
        </w:rPr>
        <w:t>年</w:t>
      </w:r>
      <w:r w:rsidR="00E9210F" w:rsidRPr="00E16A63">
        <w:rPr>
          <w:rFonts w:eastAsia="楷体_GB2312" w:hint="eastAsia"/>
          <w:color w:val="auto"/>
        </w:rPr>
        <w:t>美国</w:t>
      </w:r>
      <w:r w:rsidR="004A4EB8" w:rsidRPr="00E16A63">
        <w:rPr>
          <w:rFonts w:eastAsia="楷体_GB2312" w:hint="eastAsia"/>
          <w:color w:val="auto"/>
        </w:rPr>
        <w:t>房地产市场复苏</w:t>
      </w:r>
      <w:r w:rsidR="004746A0" w:rsidRPr="00E16A63">
        <w:rPr>
          <w:rFonts w:eastAsia="楷体_GB2312" w:hint="eastAsia"/>
          <w:color w:val="auto"/>
        </w:rPr>
        <w:t>有望延续。而且，房地产市场的复苏以及房屋价格回升，将进一步改善</w:t>
      </w:r>
      <w:r w:rsidR="004A4EB8" w:rsidRPr="00E16A63">
        <w:rPr>
          <w:rFonts w:eastAsia="楷体_GB2312" w:hint="eastAsia"/>
          <w:color w:val="auto"/>
        </w:rPr>
        <w:t>金融部门和家庭</w:t>
      </w:r>
      <w:r w:rsidR="004746A0" w:rsidRPr="00E16A63">
        <w:rPr>
          <w:rFonts w:eastAsia="楷体_GB2312" w:hint="eastAsia"/>
          <w:color w:val="auto"/>
        </w:rPr>
        <w:t>的</w:t>
      </w:r>
      <w:r w:rsidR="004A4EB8" w:rsidRPr="00E16A63">
        <w:rPr>
          <w:rFonts w:eastAsia="楷体_GB2312" w:hint="eastAsia"/>
          <w:color w:val="auto"/>
        </w:rPr>
        <w:t>资产负债表，</w:t>
      </w:r>
      <w:r w:rsidR="004746A0" w:rsidRPr="00E16A63">
        <w:rPr>
          <w:rFonts w:eastAsia="楷体_GB2312" w:hint="eastAsia"/>
          <w:color w:val="auto"/>
        </w:rPr>
        <w:t>对</w:t>
      </w:r>
      <w:r w:rsidR="00717FB1" w:rsidRPr="00E16A63">
        <w:rPr>
          <w:rFonts w:eastAsia="楷体_GB2312" w:hint="eastAsia"/>
          <w:color w:val="auto"/>
        </w:rPr>
        <w:t>生产、</w:t>
      </w:r>
      <w:r w:rsidR="004746A0" w:rsidRPr="00E16A63">
        <w:rPr>
          <w:rFonts w:eastAsia="楷体_GB2312" w:hint="eastAsia"/>
          <w:color w:val="auto"/>
        </w:rPr>
        <w:t>就业和个人消费</w:t>
      </w:r>
      <w:r w:rsidR="00975508" w:rsidRPr="00E16A63">
        <w:rPr>
          <w:rFonts w:eastAsia="楷体_GB2312" w:hint="eastAsia"/>
          <w:color w:val="auto"/>
        </w:rPr>
        <w:t>等</w:t>
      </w:r>
      <w:r w:rsidR="00717FB1" w:rsidRPr="00E16A63">
        <w:rPr>
          <w:rFonts w:eastAsia="楷体_GB2312" w:hint="eastAsia"/>
          <w:color w:val="auto"/>
        </w:rPr>
        <w:t>均</w:t>
      </w:r>
      <w:r w:rsidR="004746A0" w:rsidRPr="00E16A63">
        <w:rPr>
          <w:rFonts w:eastAsia="楷体_GB2312" w:hint="eastAsia"/>
          <w:color w:val="auto"/>
        </w:rPr>
        <w:t>有</w:t>
      </w:r>
      <w:r w:rsidR="00F622A7" w:rsidRPr="00E16A63">
        <w:rPr>
          <w:rFonts w:eastAsia="楷体_GB2312" w:hint="eastAsia"/>
          <w:color w:val="auto"/>
        </w:rPr>
        <w:t>着重要的推动作用。</w:t>
      </w:r>
      <w:r w:rsidR="006C1C00" w:rsidRPr="00E16A63">
        <w:rPr>
          <w:rFonts w:eastAsia="楷体_GB2312" w:hint="eastAsia"/>
          <w:color w:val="auto"/>
        </w:rPr>
        <w:t>与此同时，</w:t>
      </w:r>
      <w:r w:rsidR="007B29F8" w:rsidRPr="00E16A63">
        <w:rPr>
          <w:rFonts w:eastAsia="楷体_GB2312" w:hint="eastAsia"/>
          <w:color w:val="auto"/>
        </w:rPr>
        <w:t>美国制造业也保持复苏态势</w:t>
      </w:r>
      <w:r w:rsidR="00D95AA5" w:rsidRPr="00E16A63">
        <w:rPr>
          <w:rFonts w:eastAsia="楷体_GB2312" w:hint="eastAsia"/>
          <w:color w:val="auto"/>
        </w:rPr>
        <w:t>，主要采购经理人指数均运行良好</w:t>
      </w:r>
      <w:r w:rsidR="00D2619D" w:rsidRPr="00E16A63">
        <w:rPr>
          <w:rFonts w:eastAsia="楷体_GB2312" w:hint="eastAsia"/>
          <w:color w:val="auto"/>
        </w:rPr>
        <w:t>。</w:t>
      </w:r>
    </w:p>
    <w:tbl>
      <w:tblPr>
        <w:tblW w:w="10771" w:type="dxa"/>
        <w:tblLayout w:type="fixed"/>
        <w:tblCellMar>
          <w:left w:w="0" w:type="dxa"/>
          <w:right w:w="0" w:type="dxa"/>
        </w:tblCellMar>
        <w:tblLook w:val="0000"/>
      </w:tblPr>
      <w:tblGrid>
        <w:gridCol w:w="5272"/>
        <w:gridCol w:w="227"/>
        <w:gridCol w:w="5272"/>
      </w:tblGrid>
      <w:tr w:rsidR="005F4133" w:rsidRPr="00837084" w:rsidTr="009873E8">
        <w:trPr>
          <w:cantSplit/>
          <w:trHeight w:val="368"/>
        </w:trPr>
        <w:tc>
          <w:tcPr>
            <w:tcW w:w="5272" w:type="dxa"/>
            <w:tcBorders>
              <w:top w:val="single" w:sz="6" w:space="0" w:color="FF6600"/>
              <w:bottom w:val="single" w:sz="6" w:space="0" w:color="FF6600"/>
            </w:tcBorders>
            <w:shd w:val="clear" w:color="auto" w:fill="auto"/>
            <w:vAlign w:val="center"/>
          </w:tcPr>
          <w:p w:rsidR="005F4133" w:rsidRDefault="005F4133" w:rsidP="009873E8">
            <w:pPr>
              <w:pStyle w:val="SubTitleLargeTable"/>
              <w:pBdr>
                <w:top w:val="none" w:sz="0" w:space="0" w:color="auto"/>
              </w:pBdr>
            </w:pPr>
            <w:r w:rsidRPr="00426354">
              <w:rPr>
                <w:rFonts w:eastAsia="楷体_GB2312"/>
                <w:color w:val="FF6600"/>
              </w:rPr>
              <w:t>图表</w:t>
            </w:r>
            <w:r>
              <w:rPr>
                <w:rFonts w:eastAsia="楷体_GB2312" w:hint="eastAsia"/>
                <w:color w:val="FF6600"/>
              </w:rPr>
              <w:t>2</w:t>
            </w:r>
            <w:r w:rsidRPr="00426354">
              <w:rPr>
                <w:rFonts w:eastAsia="楷体_GB2312" w:hint="eastAsia"/>
                <w:color w:val="FF6600"/>
              </w:rPr>
              <w:t>：美国房价走势情况</w:t>
            </w:r>
          </w:p>
        </w:tc>
        <w:tc>
          <w:tcPr>
            <w:tcW w:w="227" w:type="dxa"/>
            <w:vAlign w:val="center"/>
          </w:tcPr>
          <w:p w:rsidR="005F4133" w:rsidRPr="00837084" w:rsidRDefault="005F4133" w:rsidP="009873E8">
            <w:pPr>
              <w:jc w:val="center"/>
            </w:pPr>
          </w:p>
        </w:tc>
        <w:tc>
          <w:tcPr>
            <w:tcW w:w="5272" w:type="dxa"/>
            <w:tcBorders>
              <w:top w:val="single" w:sz="6" w:space="0" w:color="FF6600"/>
              <w:bottom w:val="single" w:sz="6" w:space="0" w:color="FF6600"/>
            </w:tcBorders>
            <w:shd w:val="clear" w:color="auto" w:fill="auto"/>
            <w:vAlign w:val="center"/>
          </w:tcPr>
          <w:p w:rsidR="005F4133" w:rsidRPr="00F12D44" w:rsidRDefault="005F4133" w:rsidP="009873E8">
            <w:pPr>
              <w:pStyle w:val="SubTitleLargeTable"/>
              <w:pBdr>
                <w:top w:val="none" w:sz="0" w:space="0" w:color="auto"/>
              </w:pBdr>
            </w:pPr>
            <w:r w:rsidRPr="00426354">
              <w:rPr>
                <w:rFonts w:eastAsia="楷体_GB2312"/>
                <w:color w:val="FF6600"/>
              </w:rPr>
              <w:t>图表</w:t>
            </w:r>
            <w:r>
              <w:rPr>
                <w:rFonts w:eastAsia="楷体_GB2312" w:hint="eastAsia"/>
                <w:color w:val="FF6600"/>
              </w:rPr>
              <w:t>3</w:t>
            </w:r>
            <w:r w:rsidRPr="00426354">
              <w:rPr>
                <w:rFonts w:eastAsia="楷体_GB2312" w:hint="eastAsia"/>
                <w:color w:val="FF6600"/>
              </w:rPr>
              <w:t>：美国</w:t>
            </w:r>
            <w:r>
              <w:rPr>
                <w:rFonts w:eastAsia="楷体_GB2312" w:hint="eastAsia"/>
                <w:color w:val="FF6600"/>
              </w:rPr>
              <w:t>PMI</w:t>
            </w:r>
            <w:r>
              <w:rPr>
                <w:rFonts w:eastAsia="楷体_GB2312" w:hint="eastAsia"/>
                <w:color w:val="FF6600"/>
              </w:rPr>
              <w:t>走势</w:t>
            </w:r>
            <w:r w:rsidRPr="00426354">
              <w:rPr>
                <w:rFonts w:eastAsia="楷体_GB2312" w:hint="eastAsia"/>
                <w:color w:val="FF6600"/>
              </w:rPr>
              <w:t>情况</w:t>
            </w:r>
          </w:p>
        </w:tc>
      </w:tr>
      <w:tr w:rsidR="005F4133" w:rsidRPr="00837084" w:rsidTr="009873E8">
        <w:trPr>
          <w:cantSplit/>
          <w:trHeight w:val="3117"/>
        </w:trPr>
        <w:tc>
          <w:tcPr>
            <w:tcW w:w="5272" w:type="dxa"/>
            <w:tcBorders>
              <w:top w:val="single" w:sz="6" w:space="0" w:color="FF6600"/>
              <w:bottom w:val="single" w:sz="6" w:space="0" w:color="FF6600"/>
            </w:tcBorders>
            <w:shd w:val="clear" w:color="auto" w:fill="auto"/>
            <w:vAlign w:val="center"/>
          </w:tcPr>
          <w:p w:rsidR="005F4133" w:rsidRDefault="005F4133" w:rsidP="009873E8">
            <w:pPr>
              <w:jc w:val="center"/>
            </w:pPr>
            <w:r w:rsidRPr="004B7950">
              <w:rPr>
                <w:noProof/>
              </w:rPr>
              <w:drawing>
                <wp:inline distT="0" distB="0" distL="0" distR="0">
                  <wp:extent cx="3343275" cy="1704975"/>
                  <wp:effectExtent l="19050" t="0" r="9525" b="0"/>
                  <wp:docPr id="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3343275" cy="1704975"/>
                          </a:xfrm>
                          <a:prstGeom prst="rect">
                            <a:avLst/>
                          </a:prstGeom>
                          <a:noFill/>
                          <a:ln w="9525">
                            <a:noFill/>
                            <a:miter lim="800000"/>
                            <a:headEnd/>
                            <a:tailEnd/>
                          </a:ln>
                        </pic:spPr>
                      </pic:pic>
                    </a:graphicData>
                  </a:graphic>
                </wp:inline>
              </w:drawing>
            </w:r>
          </w:p>
        </w:tc>
        <w:tc>
          <w:tcPr>
            <w:tcW w:w="227" w:type="dxa"/>
            <w:vAlign w:val="center"/>
          </w:tcPr>
          <w:p w:rsidR="005F4133" w:rsidRPr="00837084" w:rsidRDefault="005F4133" w:rsidP="009873E8">
            <w:pPr>
              <w:jc w:val="center"/>
            </w:pPr>
          </w:p>
        </w:tc>
        <w:tc>
          <w:tcPr>
            <w:tcW w:w="5272" w:type="dxa"/>
            <w:tcBorders>
              <w:top w:val="single" w:sz="6" w:space="0" w:color="FF6600"/>
              <w:bottom w:val="single" w:sz="6" w:space="0" w:color="FF6600"/>
            </w:tcBorders>
            <w:shd w:val="clear" w:color="auto" w:fill="auto"/>
            <w:vAlign w:val="center"/>
          </w:tcPr>
          <w:p w:rsidR="005F4133" w:rsidRPr="00F12D44" w:rsidRDefault="005F4133" w:rsidP="009873E8">
            <w:pPr>
              <w:jc w:val="center"/>
            </w:pPr>
            <w:r>
              <w:rPr>
                <w:noProof/>
              </w:rPr>
              <w:drawing>
                <wp:inline distT="0" distB="0" distL="0" distR="0">
                  <wp:extent cx="3343275" cy="1828800"/>
                  <wp:effectExtent l="19050" t="0" r="9525"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3343275" cy="1828800"/>
                          </a:xfrm>
                          <a:prstGeom prst="rect">
                            <a:avLst/>
                          </a:prstGeom>
                          <a:noFill/>
                          <a:ln w="9525">
                            <a:noFill/>
                            <a:miter lim="800000"/>
                            <a:headEnd/>
                            <a:tailEnd/>
                          </a:ln>
                        </pic:spPr>
                      </pic:pic>
                    </a:graphicData>
                  </a:graphic>
                </wp:inline>
              </w:drawing>
            </w:r>
          </w:p>
        </w:tc>
      </w:tr>
    </w:tbl>
    <w:p w:rsidR="005F4133" w:rsidRDefault="005F4133" w:rsidP="005F4133">
      <w:pPr>
        <w:pStyle w:val="FootnoteNoline"/>
        <w:ind w:left="0"/>
        <w:rPr>
          <w:color w:val="FF6600"/>
        </w:rPr>
      </w:pPr>
      <w:r w:rsidRPr="00426354">
        <w:rPr>
          <w:rFonts w:eastAsia="楷体_GB2312" w:hint="eastAsia"/>
          <w:color w:val="FF6600"/>
        </w:rPr>
        <w:t>来源：凯石财富工场</w:t>
      </w:r>
      <w:r w:rsidRPr="00426354">
        <w:rPr>
          <w:rFonts w:eastAsia="楷体_GB2312" w:hint="eastAsia"/>
          <w:color w:val="FF6600"/>
        </w:rPr>
        <w:t xml:space="preserve"> wind</w:t>
      </w:r>
      <w:r w:rsidRPr="003F6CBD">
        <w:rPr>
          <w:rFonts w:hint="eastAsia"/>
          <w:color w:val="FF6600"/>
        </w:rPr>
        <w:t xml:space="preserve"> </w:t>
      </w:r>
    </w:p>
    <w:p w:rsidR="005D0C61" w:rsidRPr="007C0A3D" w:rsidRDefault="005D0C61" w:rsidP="00780FF6">
      <w:pPr>
        <w:pStyle w:val="ab"/>
        <w:numPr>
          <w:ilvl w:val="5"/>
          <w:numId w:val="2"/>
        </w:numPr>
        <w:spacing w:after="163"/>
        <w:ind w:left="4140" w:hanging="369"/>
        <w:rPr>
          <w:rFonts w:eastAsia="楷体_GB2312"/>
          <w:color w:val="auto"/>
        </w:rPr>
      </w:pPr>
      <w:r w:rsidRPr="007C0A3D">
        <w:rPr>
          <w:rFonts w:eastAsia="楷体_GB2312" w:hint="eastAsia"/>
          <w:color w:val="auto"/>
        </w:rPr>
        <w:t>就业数据</w:t>
      </w:r>
      <w:r w:rsidR="008F25E7">
        <w:rPr>
          <w:rFonts w:eastAsia="楷体_GB2312" w:hint="eastAsia"/>
          <w:color w:val="auto"/>
        </w:rPr>
        <w:t>总体</w:t>
      </w:r>
      <w:r w:rsidR="00DC38EC" w:rsidRPr="007C0A3D">
        <w:rPr>
          <w:rFonts w:eastAsia="楷体_GB2312" w:hint="eastAsia"/>
          <w:color w:val="auto"/>
        </w:rPr>
        <w:t>改善</w:t>
      </w:r>
      <w:r w:rsidR="008F25E7">
        <w:rPr>
          <w:rFonts w:eastAsia="楷体_GB2312" w:hint="eastAsia"/>
          <w:color w:val="auto"/>
        </w:rPr>
        <w:t>：</w:t>
      </w:r>
      <w:r w:rsidR="00CA3F5C" w:rsidRPr="007C0A3D">
        <w:rPr>
          <w:rFonts w:eastAsia="楷体_GB2312" w:hint="eastAsia"/>
          <w:color w:val="auto"/>
        </w:rPr>
        <w:t>美国劳动统计局</w:t>
      </w:r>
      <w:r w:rsidR="00CA3F5C" w:rsidRPr="007C0A3D">
        <w:rPr>
          <w:rFonts w:eastAsia="楷体_GB2312" w:hint="eastAsia"/>
          <w:color w:val="auto"/>
        </w:rPr>
        <w:t>12</w:t>
      </w:r>
      <w:r w:rsidR="00CA3F5C" w:rsidRPr="007C0A3D">
        <w:rPr>
          <w:rFonts w:eastAsia="楷体_GB2312" w:hint="eastAsia"/>
          <w:color w:val="auto"/>
        </w:rPr>
        <w:t>月初公布的数据显示，美国</w:t>
      </w:r>
      <w:r w:rsidR="00CA3F5C" w:rsidRPr="007C0A3D">
        <w:rPr>
          <w:rFonts w:eastAsia="楷体_GB2312" w:hint="eastAsia"/>
          <w:color w:val="auto"/>
        </w:rPr>
        <w:t>11</w:t>
      </w:r>
      <w:r w:rsidR="00CA3F5C" w:rsidRPr="007C0A3D">
        <w:rPr>
          <w:rFonts w:eastAsia="楷体_GB2312" w:hint="eastAsia"/>
          <w:color w:val="auto"/>
        </w:rPr>
        <w:t>月季调后新增非农就业岗位</w:t>
      </w:r>
      <w:r w:rsidR="00CA3F5C" w:rsidRPr="007C0A3D">
        <w:rPr>
          <w:rFonts w:eastAsia="楷体_GB2312" w:hint="eastAsia"/>
          <w:color w:val="auto"/>
        </w:rPr>
        <w:t>20.3</w:t>
      </w:r>
      <w:r w:rsidR="00CA3F5C" w:rsidRPr="007C0A3D">
        <w:rPr>
          <w:rFonts w:eastAsia="楷体_GB2312" w:hint="eastAsia"/>
          <w:color w:val="auto"/>
        </w:rPr>
        <w:t>万人，超市场预期的</w:t>
      </w:r>
      <w:r w:rsidR="00CA3F5C" w:rsidRPr="007C0A3D">
        <w:rPr>
          <w:rFonts w:eastAsia="楷体_GB2312" w:hint="eastAsia"/>
          <w:color w:val="auto"/>
        </w:rPr>
        <w:t>18.5</w:t>
      </w:r>
      <w:r w:rsidR="00CA3F5C" w:rsidRPr="007C0A3D">
        <w:rPr>
          <w:rFonts w:eastAsia="楷体_GB2312" w:hint="eastAsia"/>
          <w:color w:val="auto"/>
        </w:rPr>
        <w:t>万人</w:t>
      </w:r>
      <w:r w:rsidR="007C0A3D" w:rsidRPr="007C0A3D">
        <w:rPr>
          <w:rFonts w:eastAsia="楷体_GB2312" w:hint="eastAsia"/>
          <w:color w:val="auto"/>
        </w:rPr>
        <w:t>；</w:t>
      </w:r>
      <w:r w:rsidR="00CA3F5C" w:rsidRPr="007C0A3D">
        <w:rPr>
          <w:rFonts w:eastAsia="楷体_GB2312" w:hint="eastAsia"/>
          <w:color w:val="auto"/>
        </w:rPr>
        <w:t>11</w:t>
      </w:r>
      <w:r w:rsidR="00CA3F5C" w:rsidRPr="007C0A3D">
        <w:rPr>
          <w:rFonts w:eastAsia="楷体_GB2312" w:hint="eastAsia"/>
          <w:color w:val="auto"/>
        </w:rPr>
        <w:t>月份失业率降至</w:t>
      </w:r>
      <w:r w:rsidR="00CA3F5C" w:rsidRPr="007C0A3D">
        <w:rPr>
          <w:rFonts w:eastAsia="楷体_GB2312" w:hint="eastAsia"/>
          <w:color w:val="auto"/>
        </w:rPr>
        <w:t>7.0%</w:t>
      </w:r>
      <w:r w:rsidR="00CA3F5C" w:rsidRPr="007C0A3D">
        <w:rPr>
          <w:rFonts w:eastAsia="楷体_GB2312" w:hint="eastAsia"/>
          <w:color w:val="auto"/>
        </w:rPr>
        <w:t>，创五年低位，低于市场预期的</w:t>
      </w:r>
      <w:r w:rsidR="00CA3F5C" w:rsidRPr="007C0A3D">
        <w:rPr>
          <w:rFonts w:eastAsia="楷体_GB2312" w:hint="eastAsia"/>
          <w:color w:val="auto"/>
        </w:rPr>
        <w:t>7.2%</w:t>
      </w:r>
      <w:r w:rsidR="00CA3F5C" w:rsidRPr="007C0A3D">
        <w:rPr>
          <w:rFonts w:eastAsia="楷体_GB2312" w:hint="eastAsia"/>
          <w:color w:val="auto"/>
        </w:rPr>
        <w:t>。</w:t>
      </w:r>
      <w:r w:rsidR="00EF2E96" w:rsidRPr="007C0A3D">
        <w:rPr>
          <w:rFonts w:eastAsia="楷体_GB2312" w:hint="eastAsia"/>
          <w:color w:val="auto"/>
        </w:rPr>
        <w:t>另外，四季度以来首次申请失业救济人数也持续下降，频频超出市场预期</w:t>
      </w:r>
      <w:r w:rsidRPr="007C0A3D">
        <w:rPr>
          <w:rFonts w:eastAsia="楷体_GB2312" w:hint="eastAsia"/>
          <w:color w:val="auto"/>
        </w:rPr>
        <w:t>。</w:t>
      </w:r>
      <w:r w:rsidR="007C0A3D" w:rsidRPr="007C0A3D">
        <w:rPr>
          <w:rFonts w:eastAsia="楷体_GB2312" w:hint="eastAsia"/>
          <w:color w:val="auto"/>
        </w:rPr>
        <w:t>上述系列</w:t>
      </w:r>
      <w:r w:rsidRPr="007C0A3D">
        <w:rPr>
          <w:rFonts w:eastAsia="楷体_GB2312" w:hint="eastAsia"/>
          <w:color w:val="auto"/>
        </w:rPr>
        <w:t>数据显示，美国就业市场</w:t>
      </w:r>
      <w:r w:rsidR="00A80CB9" w:rsidRPr="007C0A3D">
        <w:rPr>
          <w:rFonts w:eastAsia="楷体_GB2312" w:hint="eastAsia"/>
          <w:color w:val="auto"/>
        </w:rPr>
        <w:t>不断改善</w:t>
      </w:r>
      <w:r w:rsidRPr="007C0A3D">
        <w:rPr>
          <w:rFonts w:eastAsia="楷体_GB2312" w:hint="eastAsia"/>
          <w:color w:val="auto"/>
        </w:rPr>
        <w:t>，</w:t>
      </w:r>
      <w:r w:rsidR="007C0A3D" w:rsidRPr="007C0A3D">
        <w:rPr>
          <w:rFonts w:eastAsia="楷体_GB2312" w:hint="eastAsia"/>
          <w:color w:val="auto"/>
        </w:rPr>
        <w:t>已经</w:t>
      </w:r>
      <w:r w:rsidRPr="007C0A3D">
        <w:rPr>
          <w:rFonts w:eastAsia="楷体_GB2312" w:hint="eastAsia"/>
          <w:color w:val="auto"/>
        </w:rPr>
        <w:t>消化</w:t>
      </w:r>
      <w:r w:rsidR="007C0A3D" w:rsidRPr="007C0A3D">
        <w:rPr>
          <w:rFonts w:eastAsia="楷体_GB2312" w:hint="eastAsia"/>
          <w:color w:val="auto"/>
        </w:rPr>
        <w:t>季度初</w:t>
      </w:r>
      <w:r w:rsidRPr="007C0A3D">
        <w:rPr>
          <w:rFonts w:eastAsia="楷体_GB2312" w:hint="eastAsia"/>
          <w:color w:val="auto"/>
        </w:rPr>
        <w:t>政府停摆的影响。</w:t>
      </w:r>
      <w:r w:rsidR="00CA1E0C">
        <w:rPr>
          <w:rFonts w:eastAsia="楷体_GB2312" w:hint="eastAsia"/>
          <w:color w:val="auto"/>
        </w:rPr>
        <w:t>随着经济景气循环的深化，尤其是</w:t>
      </w:r>
      <w:r w:rsidR="00F06D8B">
        <w:rPr>
          <w:rFonts w:eastAsia="楷体_GB2312" w:hint="eastAsia"/>
          <w:color w:val="auto"/>
        </w:rPr>
        <w:t>在</w:t>
      </w:r>
      <w:r w:rsidR="00DD55EE">
        <w:rPr>
          <w:rFonts w:eastAsia="楷体_GB2312" w:hint="eastAsia"/>
          <w:color w:val="auto"/>
        </w:rPr>
        <w:t>货币政策</w:t>
      </w:r>
      <w:r w:rsidR="00CA1E0C">
        <w:rPr>
          <w:rFonts w:eastAsia="楷体_GB2312" w:hint="eastAsia"/>
          <w:color w:val="auto"/>
        </w:rPr>
        <w:t>的适度</w:t>
      </w:r>
      <w:r w:rsidR="00DD55EE">
        <w:rPr>
          <w:rFonts w:eastAsia="楷体_GB2312" w:hint="eastAsia"/>
          <w:color w:val="auto"/>
        </w:rPr>
        <w:t>支持下，</w:t>
      </w:r>
      <w:r w:rsidR="00DD55EE">
        <w:rPr>
          <w:rFonts w:eastAsia="楷体_GB2312" w:hint="eastAsia"/>
          <w:color w:val="auto"/>
        </w:rPr>
        <w:t>2014</w:t>
      </w:r>
      <w:r w:rsidR="00DD55EE">
        <w:rPr>
          <w:rFonts w:eastAsia="楷体_GB2312" w:hint="eastAsia"/>
          <w:color w:val="auto"/>
        </w:rPr>
        <w:t>年就业情况预计将</w:t>
      </w:r>
      <w:r w:rsidR="003204D2">
        <w:rPr>
          <w:rFonts w:eastAsia="楷体_GB2312" w:hint="eastAsia"/>
          <w:color w:val="auto"/>
        </w:rPr>
        <w:t>继续</w:t>
      </w:r>
      <w:r w:rsidR="00DD55EE">
        <w:rPr>
          <w:rFonts w:eastAsia="楷体_GB2312" w:hint="eastAsia"/>
          <w:color w:val="auto"/>
        </w:rPr>
        <w:t>好转。</w:t>
      </w:r>
    </w:p>
    <w:p w:rsidR="00B7781B" w:rsidRDefault="00C92F14" w:rsidP="00780FF6">
      <w:pPr>
        <w:pStyle w:val="ab"/>
        <w:numPr>
          <w:ilvl w:val="5"/>
          <w:numId w:val="2"/>
        </w:numPr>
        <w:spacing w:after="163"/>
        <w:ind w:left="4140" w:hanging="369"/>
        <w:rPr>
          <w:rFonts w:eastAsia="楷体_GB2312"/>
          <w:color w:val="auto"/>
        </w:rPr>
      </w:pPr>
      <w:r>
        <w:rPr>
          <w:rFonts w:eastAsia="楷体_GB2312" w:hint="eastAsia"/>
          <w:color w:val="auto"/>
        </w:rPr>
        <w:t>消费</w:t>
      </w:r>
      <w:r w:rsidR="00D8267D">
        <w:rPr>
          <w:rFonts w:eastAsia="楷体_GB2312" w:hint="eastAsia"/>
          <w:color w:val="auto"/>
        </w:rPr>
        <w:t>进一步增长</w:t>
      </w:r>
      <w:r w:rsidR="00F4734E">
        <w:rPr>
          <w:rFonts w:eastAsia="楷体_GB2312" w:hint="eastAsia"/>
          <w:color w:val="auto"/>
        </w:rPr>
        <w:t>：</w:t>
      </w:r>
      <w:r w:rsidR="006065D9" w:rsidRPr="00426354">
        <w:rPr>
          <w:rFonts w:eastAsia="楷体_GB2312" w:hint="eastAsia"/>
          <w:color w:val="auto"/>
        </w:rPr>
        <w:t>作为先行指标，美国</w:t>
      </w:r>
      <w:r w:rsidR="006065D9" w:rsidRPr="00426354">
        <w:rPr>
          <w:rFonts w:eastAsia="楷体_GB2312" w:hint="eastAsia"/>
          <w:color w:val="auto"/>
        </w:rPr>
        <w:t>1</w:t>
      </w:r>
      <w:r w:rsidR="0093336C" w:rsidRPr="00426354">
        <w:rPr>
          <w:rFonts w:eastAsia="楷体_GB2312" w:hint="eastAsia"/>
          <w:color w:val="auto"/>
        </w:rPr>
        <w:t>2</w:t>
      </w:r>
      <w:r w:rsidR="006065D9" w:rsidRPr="00426354">
        <w:rPr>
          <w:rFonts w:eastAsia="楷体_GB2312" w:hint="eastAsia"/>
          <w:color w:val="auto"/>
        </w:rPr>
        <w:t>月密歇根大学消费者信心指数</w:t>
      </w:r>
      <w:r w:rsidR="0093336C" w:rsidRPr="00426354">
        <w:rPr>
          <w:rFonts w:eastAsia="楷体_GB2312" w:hint="eastAsia"/>
          <w:color w:val="auto"/>
        </w:rPr>
        <w:t>大幅上升至</w:t>
      </w:r>
      <w:r w:rsidR="0093336C" w:rsidRPr="00426354">
        <w:rPr>
          <w:rFonts w:eastAsia="楷体_GB2312" w:hint="eastAsia"/>
          <w:color w:val="auto"/>
        </w:rPr>
        <w:t>82.5</w:t>
      </w:r>
      <w:r w:rsidR="0093336C" w:rsidRPr="00426354">
        <w:rPr>
          <w:rFonts w:eastAsia="楷体_GB2312" w:hint="eastAsia"/>
          <w:color w:val="auto"/>
        </w:rPr>
        <w:t>，创</w:t>
      </w:r>
      <w:r w:rsidR="0093336C" w:rsidRPr="00426354">
        <w:rPr>
          <w:rFonts w:eastAsia="楷体_GB2312" w:hint="eastAsia"/>
          <w:color w:val="auto"/>
        </w:rPr>
        <w:t>2013</w:t>
      </w:r>
      <w:r w:rsidR="0093336C" w:rsidRPr="00426354">
        <w:rPr>
          <w:rFonts w:eastAsia="楷体_GB2312" w:hint="eastAsia"/>
          <w:color w:val="auto"/>
        </w:rPr>
        <w:t>年</w:t>
      </w:r>
      <w:r w:rsidR="0093336C" w:rsidRPr="00426354">
        <w:rPr>
          <w:rFonts w:eastAsia="楷体_GB2312" w:hint="eastAsia"/>
          <w:color w:val="auto"/>
        </w:rPr>
        <w:t>7</w:t>
      </w:r>
      <w:r w:rsidR="0093336C" w:rsidRPr="00426354">
        <w:rPr>
          <w:rFonts w:eastAsia="楷体_GB2312" w:hint="eastAsia"/>
          <w:color w:val="auto"/>
        </w:rPr>
        <w:t>月份以来最高</w:t>
      </w:r>
      <w:r w:rsidR="006065D9" w:rsidRPr="00426354">
        <w:rPr>
          <w:rFonts w:eastAsia="楷体_GB2312" w:hint="eastAsia"/>
          <w:color w:val="auto"/>
        </w:rPr>
        <w:t>，</w:t>
      </w:r>
      <w:r w:rsidR="001F675C" w:rsidRPr="00426354">
        <w:rPr>
          <w:rFonts w:eastAsia="楷体_GB2312" w:hint="eastAsia"/>
          <w:color w:val="auto"/>
        </w:rPr>
        <w:t>预期</w:t>
      </w:r>
      <w:r w:rsidR="00745B91">
        <w:rPr>
          <w:rFonts w:eastAsia="楷体_GB2312" w:hint="eastAsia"/>
          <w:color w:val="auto"/>
        </w:rPr>
        <w:t>终值</w:t>
      </w:r>
      <w:r w:rsidR="001F675C" w:rsidRPr="00426354">
        <w:rPr>
          <w:rFonts w:eastAsia="楷体_GB2312" w:hint="eastAsia"/>
          <w:color w:val="auto"/>
        </w:rPr>
        <w:t>会上升至</w:t>
      </w:r>
      <w:r w:rsidR="001F675C" w:rsidRPr="00426354">
        <w:rPr>
          <w:rFonts w:eastAsia="楷体_GB2312" w:hint="eastAsia"/>
          <w:color w:val="auto"/>
        </w:rPr>
        <w:t>76.0</w:t>
      </w:r>
      <w:r w:rsidR="001F675C" w:rsidRPr="00426354">
        <w:rPr>
          <w:rFonts w:eastAsia="楷体_GB2312" w:hint="eastAsia"/>
          <w:color w:val="auto"/>
        </w:rPr>
        <w:t>，</w:t>
      </w:r>
      <w:r w:rsidR="001F675C" w:rsidRPr="00426354">
        <w:rPr>
          <w:rFonts w:eastAsia="楷体_GB2312" w:hint="eastAsia"/>
          <w:color w:val="auto"/>
        </w:rPr>
        <w:t>11</w:t>
      </w:r>
      <w:r w:rsidR="001F675C" w:rsidRPr="00426354">
        <w:rPr>
          <w:rFonts w:eastAsia="楷体_GB2312" w:hint="eastAsia"/>
          <w:color w:val="auto"/>
        </w:rPr>
        <w:t>月终值为</w:t>
      </w:r>
      <w:r w:rsidR="001F675C" w:rsidRPr="00426354">
        <w:rPr>
          <w:rFonts w:eastAsia="楷体_GB2312" w:hint="eastAsia"/>
          <w:color w:val="auto"/>
        </w:rPr>
        <w:t>75.1</w:t>
      </w:r>
      <w:r w:rsidR="001F675C" w:rsidRPr="00426354">
        <w:rPr>
          <w:rFonts w:eastAsia="楷体_GB2312" w:hint="eastAsia"/>
          <w:color w:val="auto"/>
        </w:rPr>
        <w:t>。</w:t>
      </w:r>
      <w:r w:rsidR="00D00627" w:rsidRPr="00426354">
        <w:rPr>
          <w:rFonts w:eastAsia="楷体_GB2312" w:hint="eastAsia"/>
          <w:color w:val="auto"/>
        </w:rPr>
        <w:t>步入</w:t>
      </w:r>
      <w:r w:rsidR="00D00627" w:rsidRPr="00426354">
        <w:rPr>
          <w:rFonts w:eastAsia="楷体_GB2312" w:hint="eastAsia"/>
          <w:color w:val="auto"/>
        </w:rPr>
        <w:t>2014</w:t>
      </w:r>
      <w:r w:rsidR="00D00627" w:rsidRPr="00426354">
        <w:rPr>
          <w:rFonts w:eastAsia="楷体_GB2312" w:hint="eastAsia"/>
          <w:color w:val="auto"/>
        </w:rPr>
        <w:t>年，随着就业改善以及对增税政策影响的逐步消化，中低收入家庭消费能力将有所恢复，</w:t>
      </w:r>
      <w:r w:rsidR="00D8267D">
        <w:rPr>
          <w:rFonts w:eastAsia="楷体_GB2312" w:hint="eastAsia"/>
          <w:color w:val="auto"/>
        </w:rPr>
        <w:t>同时</w:t>
      </w:r>
      <w:r w:rsidR="00D00627" w:rsidRPr="00426354">
        <w:rPr>
          <w:rFonts w:eastAsia="楷体_GB2312" w:hint="eastAsia"/>
          <w:color w:val="auto"/>
        </w:rPr>
        <w:t>房地产市场转暖带来的财富效应将促进高收入家庭的消费增长</w:t>
      </w:r>
      <w:r w:rsidR="00D6706A">
        <w:rPr>
          <w:rFonts w:eastAsia="楷体_GB2312" w:hint="eastAsia"/>
          <w:color w:val="auto"/>
        </w:rPr>
        <w:t>，消费</w:t>
      </w:r>
      <w:r w:rsidR="00D8267D">
        <w:rPr>
          <w:rFonts w:eastAsia="楷体_GB2312" w:hint="eastAsia"/>
          <w:color w:val="auto"/>
        </w:rPr>
        <w:t>进一步</w:t>
      </w:r>
      <w:r w:rsidR="00D6706A">
        <w:rPr>
          <w:rFonts w:eastAsia="楷体_GB2312" w:hint="eastAsia"/>
          <w:color w:val="auto"/>
        </w:rPr>
        <w:t>增长是大概率事件</w:t>
      </w:r>
      <w:r w:rsidR="00D00627" w:rsidRPr="00426354">
        <w:rPr>
          <w:rFonts w:eastAsia="楷体_GB2312" w:hint="eastAsia"/>
          <w:color w:val="auto"/>
        </w:rPr>
        <w:t>。</w:t>
      </w:r>
    </w:p>
    <w:p w:rsidR="00652CCC" w:rsidRPr="0084230C" w:rsidRDefault="00B3041A" w:rsidP="00A80EC2">
      <w:pPr>
        <w:pStyle w:val="ab"/>
        <w:numPr>
          <w:ilvl w:val="5"/>
          <w:numId w:val="2"/>
        </w:numPr>
        <w:spacing w:after="163"/>
        <w:ind w:left="4140" w:hanging="369"/>
        <w:rPr>
          <w:rFonts w:eastAsia="楷体_GB2312"/>
          <w:color w:val="auto"/>
        </w:rPr>
      </w:pPr>
      <w:r>
        <w:rPr>
          <w:rFonts w:eastAsia="楷体_GB2312" w:hint="eastAsia"/>
          <w:color w:val="auto"/>
        </w:rPr>
        <w:t>通胀</w:t>
      </w:r>
      <w:r w:rsidR="004C5FCE">
        <w:rPr>
          <w:rFonts w:eastAsia="楷体_GB2312" w:hint="eastAsia"/>
          <w:color w:val="auto"/>
        </w:rPr>
        <w:t>温和</w:t>
      </w:r>
      <w:r>
        <w:rPr>
          <w:rFonts w:eastAsia="楷体_GB2312" w:hint="eastAsia"/>
          <w:color w:val="auto"/>
        </w:rPr>
        <w:t>可控：</w:t>
      </w:r>
      <w:r w:rsidR="0084230C" w:rsidRPr="0084230C">
        <w:rPr>
          <w:rFonts w:eastAsia="楷体_GB2312" w:hint="eastAsia"/>
          <w:color w:val="auto"/>
        </w:rPr>
        <w:t>美国</w:t>
      </w:r>
      <w:r>
        <w:rPr>
          <w:rFonts w:eastAsia="楷体_GB2312" w:hint="eastAsia"/>
          <w:color w:val="auto"/>
        </w:rPr>
        <w:t>2013</w:t>
      </w:r>
      <w:r>
        <w:rPr>
          <w:rFonts w:eastAsia="楷体_GB2312" w:hint="eastAsia"/>
          <w:color w:val="auto"/>
        </w:rPr>
        <w:t>年</w:t>
      </w:r>
      <w:r w:rsidR="0084230C" w:rsidRPr="0084230C">
        <w:rPr>
          <w:rFonts w:eastAsia="楷体_GB2312" w:hint="eastAsia"/>
          <w:color w:val="auto"/>
        </w:rPr>
        <w:t>10</w:t>
      </w:r>
      <w:r w:rsidR="0084230C" w:rsidRPr="0084230C">
        <w:rPr>
          <w:rFonts w:eastAsia="楷体_GB2312" w:hint="eastAsia"/>
          <w:color w:val="auto"/>
        </w:rPr>
        <w:t>月份</w:t>
      </w:r>
      <w:r w:rsidR="0084230C" w:rsidRPr="0084230C">
        <w:rPr>
          <w:rFonts w:eastAsia="楷体_GB2312" w:hint="eastAsia"/>
          <w:color w:val="auto"/>
        </w:rPr>
        <w:t>CPI</w:t>
      </w:r>
      <w:r w:rsidR="0084230C" w:rsidRPr="0084230C">
        <w:rPr>
          <w:rFonts w:eastAsia="楷体_GB2312" w:hint="eastAsia"/>
          <w:color w:val="auto"/>
        </w:rPr>
        <w:t>同比上升</w:t>
      </w:r>
      <w:r w:rsidR="0084230C" w:rsidRPr="0084230C">
        <w:rPr>
          <w:rFonts w:eastAsia="楷体_GB2312" w:hint="eastAsia"/>
          <w:color w:val="auto"/>
        </w:rPr>
        <w:t>1.0%</w:t>
      </w:r>
      <w:r w:rsidR="0084230C" w:rsidRPr="0084230C">
        <w:rPr>
          <w:rFonts w:eastAsia="楷体_GB2312" w:hint="eastAsia"/>
          <w:color w:val="auto"/>
        </w:rPr>
        <w:t>，升幅为</w:t>
      </w:r>
      <w:r w:rsidR="0084230C" w:rsidRPr="0084230C">
        <w:rPr>
          <w:rFonts w:eastAsia="楷体_GB2312" w:hint="eastAsia"/>
          <w:color w:val="auto"/>
        </w:rPr>
        <w:t>2009</w:t>
      </w:r>
      <w:r w:rsidR="0084230C" w:rsidRPr="0084230C">
        <w:rPr>
          <w:rFonts w:eastAsia="楷体_GB2312" w:hint="eastAsia"/>
          <w:color w:val="auto"/>
        </w:rPr>
        <w:t>年</w:t>
      </w:r>
      <w:r w:rsidR="0084230C" w:rsidRPr="0084230C">
        <w:rPr>
          <w:rFonts w:eastAsia="楷体_GB2312" w:hint="eastAsia"/>
          <w:color w:val="auto"/>
        </w:rPr>
        <w:t>10</w:t>
      </w:r>
      <w:r w:rsidR="0084230C" w:rsidRPr="0084230C">
        <w:rPr>
          <w:rFonts w:eastAsia="楷体_GB2312" w:hint="eastAsia"/>
          <w:color w:val="auto"/>
        </w:rPr>
        <w:t>月份以来最小，远离美联储</w:t>
      </w:r>
      <w:r w:rsidR="0084230C" w:rsidRPr="0084230C">
        <w:rPr>
          <w:rFonts w:eastAsia="楷体_GB2312" w:hint="eastAsia"/>
          <w:color w:val="auto"/>
        </w:rPr>
        <w:t>2%</w:t>
      </w:r>
      <w:r w:rsidR="0084230C" w:rsidRPr="0084230C">
        <w:rPr>
          <w:rFonts w:eastAsia="楷体_GB2312" w:hint="eastAsia"/>
          <w:color w:val="auto"/>
        </w:rPr>
        <w:t>的通胀目标，且环比则下降</w:t>
      </w:r>
      <w:r w:rsidR="0084230C" w:rsidRPr="0084230C">
        <w:rPr>
          <w:rFonts w:eastAsia="楷体_GB2312" w:hint="eastAsia"/>
          <w:color w:val="auto"/>
        </w:rPr>
        <w:t>0.1%</w:t>
      </w:r>
      <w:r w:rsidR="0084230C" w:rsidRPr="0084230C">
        <w:rPr>
          <w:rFonts w:eastAsia="楷体_GB2312" w:hint="eastAsia"/>
          <w:color w:val="auto"/>
        </w:rPr>
        <w:t>。</w:t>
      </w:r>
      <w:r w:rsidR="001D207F">
        <w:rPr>
          <w:rFonts w:eastAsia="楷体_GB2312" w:hint="eastAsia"/>
          <w:color w:val="auto"/>
        </w:rPr>
        <w:t>2014</w:t>
      </w:r>
      <w:r w:rsidR="001D207F">
        <w:rPr>
          <w:rFonts w:eastAsia="楷体_GB2312" w:hint="eastAsia"/>
          <w:color w:val="auto"/>
        </w:rPr>
        <w:t>年，在</w:t>
      </w:r>
      <w:r w:rsidR="00257DC7">
        <w:rPr>
          <w:rFonts w:eastAsia="楷体_GB2312" w:hint="eastAsia"/>
          <w:color w:val="auto"/>
        </w:rPr>
        <w:t>收入增长温和、</w:t>
      </w:r>
      <w:r w:rsidR="008E56BA">
        <w:rPr>
          <w:rFonts w:eastAsia="楷体_GB2312" w:hint="eastAsia"/>
          <w:color w:val="auto"/>
        </w:rPr>
        <w:t>页岩气开发压制能源价格、</w:t>
      </w:r>
      <w:r w:rsidR="00257DC7">
        <w:rPr>
          <w:rFonts w:eastAsia="楷体_GB2312" w:hint="eastAsia"/>
          <w:color w:val="auto"/>
        </w:rPr>
        <w:t>QE</w:t>
      </w:r>
      <w:r w:rsidR="00257DC7">
        <w:rPr>
          <w:rFonts w:eastAsia="楷体_GB2312" w:hint="eastAsia"/>
          <w:color w:val="auto"/>
        </w:rPr>
        <w:t>退出美元走强</w:t>
      </w:r>
      <w:r w:rsidR="008E56BA">
        <w:rPr>
          <w:rFonts w:eastAsia="楷体_GB2312" w:hint="eastAsia"/>
          <w:color w:val="auto"/>
        </w:rPr>
        <w:t>缓解</w:t>
      </w:r>
      <w:r w:rsidR="00257DC7">
        <w:rPr>
          <w:rFonts w:eastAsia="楷体_GB2312" w:hint="eastAsia"/>
          <w:color w:val="auto"/>
        </w:rPr>
        <w:t>输入性通胀压力</w:t>
      </w:r>
      <w:r w:rsidR="00A80EC2">
        <w:rPr>
          <w:rFonts w:eastAsia="楷体_GB2312" w:hint="eastAsia"/>
          <w:color w:val="auto"/>
        </w:rPr>
        <w:t>等背景下，通胀</w:t>
      </w:r>
      <w:r w:rsidR="00257DC7" w:rsidRPr="00257DC7">
        <w:rPr>
          <w:rFonts w:eastAsia="楷体_GB2312" w:hint="eastAsia"/>
          <w:color w:val="auto"/>
        </w:rPr>
        <w:t>上涨压力温和，</w:t>
      </w:r>
      <w:r w:rsidR="00A80EC2">
        <w:rPr>
          <w:rFonts w:eastAsia="楷体_GB2312" w:hint="eastAsia"/>
          <w:color w:val="auto"/>
        </w:rPr>
        <w:t>有望控制</w:t>
      </w:r>
      <w:r w:rsidR="00257DC7" w:rsidRPr="00257DC7">
        <w:rPr>
          <w:rFonts w:eastAsia="楷体_GB2312" w:hint="eastAsia"/>
          <w:color w:val="auto"/>
        </w:rPr>
        <w:t>在美联储</w:t>
      </w:r>
      <w:r w:rsidR="00257DC7" w:rsidRPr="00257DC7">
        <w:rPr>
          <w:rFonts w:eastAsia="楷体_GB2312" w:hint="eastAsia"/>
          <w:color w:val="auto"/>
        </w:rPr>
        <w:t>2%</w:t>
      </w:r>
      <w:r w:rsidR="00257DC7" w:rsidRPr="00257DC7">
        <w:rPr>
          <w:rFonts w:eastAsia="楷体_GB2312" w:hint="eastAsia"/>
          <w:color w:val="auto"/>
        </w:rPr>
        <w:t>的通胀率目标以下。</w:t>
      </w:r>
    </w:p>
    <w:tbl>
      <w:tblPr>
        <w:tblW w:w="10771" w:type="dxa"/>
        <w:tblLayout w:type="fixed"/>
        <w:tblCellMar>
          <w:left w:w="0" w:type="dxa"/>
          <w:right w:w="0" w:type="dxa"/>
        </w:tblCellMar>
        <w:tblLook w:val="0000"/>
      </w:tblPr>
      <w:tblGrid>
        <w:gridCol w:w="5272"/>
        <w:gridCol w:w="227"/>
        <w:gridCol w:w="5272"/>
      </w:tblGrid>
      <w:tr w:rsidR="00137BB5" w:rsidRPr="00837084" w:rsidTr="000D5563">
        <w:trPr>
          <w:cantSplit/>
          <w:trHeight w:val="368"/>
        </w:trPr>
        <w:tc>
          <w:tcPr>
            <w:tcW w:w="5272" w:type="dxa"/>
            <w:tcBorders>
              <w:top w:val="single" w:sz="6" w:space="0" w:color="FF6600"/>
              <w:bottom w:val="single" w:sz="6" w:space="0" w:color="FF6600"/>
            </w:tcBorders>
            <w:shd w:val="clear" w:color="auto" w:fill="auto"/>
            <w:vAlign w:val="center"/>
          </w:tcPr>
          <w:p w:rsidR="00137BB5" w:rsidRDefault="00137BB5" w:rsidP="005F4133">
            <w:pPr>
              <w:pStyle w:val="SubTitleLargeTable"/>
              <w:pBdr>
                <w:top w:val="none" w:sz="0" w:space="0" w:color="auto"/>
              </w:pBdr>
            </w:pPr>
            <w:r w:rsidRPr="00426354">
              <w:rPr>
                <w:rFonts w:eastAsia="楷体_GB2312"/>
                <w:color w:val="FF6600"/>
              </w:rPr>
              <w:lastRenderedPageBreak/>
              <w:t>图表</w:t>
            </w:r>
            <w:r w:rsidR="005F4133">
              <w:rPr>
                <w:rFonts w:eastAsia="楷体_GB2312" w:hint="eastAsia"/>
                <w:color w:val="FF6600"/>
              </w:rPr>
              <w:t>4</w:t>
            </w:r>
            <w:r w:rsidRPr="00426354">
              <w:rPr>
                <w:rFonts w:eastAsia="楷体_GB2312" w:hint="eastAsia"/>
                <w:color w:val="FF6600"/>
              </w:rPr>
              <w:t>：</w:t>
            </w:r>
            <w:r w:rsidR="00845ED8" w:rsidRPr="00426354">
              <w:rPr>
                <w:rFonts w:eastAsia="楷体_GB2312" w:hint="eastAsia"/>
                <w:color w:val="FF6600"/>
              </w:rPr>
              <w:t>美国</w:t>
            </w:r>
            <w:r w:rsidR="00413BF4" w:rsidRPr="00426354">
              <w:rPr>
                <w:rFonts w:eastAsia="楷体_GB2312" w:hint="eastAsia"/>
                <w:color w:val="FF6600"/>
              </w:rPr>
              <w:t>非农</w:t>
            </w:r>
            <w:r w:rsidR="00845ED8" w:rsidRPr="00426354">
              <w:rPr>
                <w:rFonts w:eastAsia="楷体_GB2312" w:hint="eastAsia"/>
                <w:color w:val="FF6600"/>
              </w:rPr>
              <w:t>就业</w:t>
            </w:r>
            <w:r w:rsidR="00413BF4" w:rsidRPr="00426354">
              <w:rPr>
                <w:rFonts w:eastAsia="楷体_GB2312" w:hint="eastAsia"/>
                <w:color w:val="FF6600"/>
              </w:rPr>
              <w:t>与失业率</w:t>
            </w:r>
            <w:r w:rsidR="00845ED8" w:rsidRPr="00426354">
              <w:rPr>
                <w:rFonts w:eastAsia="楷体_GB2312" w:hint="eastAsia"/>
                <w:color w:val="FF6600"/>
              </w:rPr>
              <w:t>情况</w:t>
            </w:r>
          </w:p>
        </w:tc>
        <w:tc>
          <w:tcPr>
            <w:tcW w:w="227" w:type="dxa"/>
            <w:vAlign w:val="center"/>
          </w:tcPr>
          <w:p w:rsidR="00137BB5" w:rsidRPr="00837084" w:rsidRDefault="00137BB5" w:rsidP="000D5563">
            <w:pPr>
              <w:jc w:val="center"/>
            </w:pPr>
          </w:p>
        </w:tc>
        <w:tc>
          <w:tcPr>
            <w:tcW w:w="5272" w:type="dxa"/>
            <w:tcBorders>
              <w:top w:val="single" w:sz="6" w:space="0" w:color="FF6600"/>
              <w:bottom w:val="single" w:sz="6" w:space="0" w:color="FF6600"/>
            </w:tcBorders>
            <w:shd w:val="clear" w:color="auto" w:fill="auto"/>
            <w:vAlign w:val="center"/>
          </w:tcPr>
          <w:p w:rsidR="00137BB5" w:rsidRPr="00F12D44" w:rsidRDefault="00137BB5" w:rsidP="005F4133">
            <w:pPr>
              <w:pStyle w:val="SubTitleLargeTable"/>
              <w:pBdr>
                <w:top w:val="none" w:sz="0" w:space="0" w:color="auto"/>
              </w:pBdr>
            </w:pPr>
            <w:r w:rsidRPr="00426354">
              <w:rPr>
                <w:rFonts w:eastAsia="楷体_GB2312"/>
                <w:color w:val="FF6600"/>
              </w:rPr>
              <w:t>图表</w:t>
            </w:r>
            <w:r w:rsidR="005F4133">
              <w:rPr>
                <w:rFonts w:eastAsia="楷体_GB2312" w:hint="eastAsia"/>
                <w:color w:val="FF6600"/>
              </w:rPr>
              <w:t>5</w:t>
            </w:r>
            <w:r w:rsidRPr="00426354">
              <w:rPr>
                <w:rFonts w:eastAsia="楷体_GB2312" w:hint="eastAsia"/>
                <w:color w:val="FF6600"/>
              </w:rPr>
              <w:t>：美国消费者信心指数及零售销售数据情况</w:t>
            </w:r>
          </w:p>
        </w:tc>
      </w:tr>
      <w:tr w:rsidR="00137BB5" w:rsidRPr="00837084" w:rsidTr="000D5563">
        <w:trPr>
          <w:cantSplit/>
          <w:trHeight w:val="3016"/>
        </w:trPr>
        <w:tc>
          <w:tcPr>
            <w:tcW w:w="5272" w:type="dxa"/>
            <w:tcBorders>
              <w:top w:val="single" w:sz="6" w:space="0" w:color="FF6600"/>
              <w:bottom w:val="single" w:sz="6" w:space="0" w:color="FF6600"/>
            </w:tcBorders>
            <w:shd w:val="clear" w:color="auto" w:fill="auto"/>
            <w:vAlign w:val="center"/>
          </w:tcPr>
          <w:p w:rsidR="00137BB5" w:rsidRDefault="00845ED8" w:rsidP="000D5563">
            <w:pPr>
              <w:jc w:val="center"/>
            </w:pPr>
            <w:r>
              <w:rPr>
                <w:noProof/>
              </w:rPr>
              <w:drawing>
                <wp:inline distT="0" distB="0" distL="0" distR="0">
                  <wp:extent cx="3343275" cy="1676400"/>
                  <wp:effectExtent l="1905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3343275" cy="1676400"/>
                          </a:xfrm>
                          <a:prstGeom prst="rect">
                            <a:avLst/>
                          </a:prstGeom>
                          <a:noFill/>
                          <a:ln w="9525">
                            <a:noFill/>
                            <a:miter lim="800000"/>
                            <a:headEnd/>
                            <a:tailEnd/>
                          </a:ln>
                        </pic:spPr>
                      </pic:pic>
                    </a:graphicData>
                  </a:graphic>
                </wp:inline>
              </w:drawing>
            </w:r>
          </w:p>
        </w:tc>
        <w:tc>
          <w:tcPr>
            <w:tcW w:w="227" w:type="dxa"/>
            <w:vAlign w:val="center"/>
          </w:tcPr>
          <w:p w:rsidR="00137BB5" w:rsidRPr="00837084" w:rsidRDefault="00137BB5" w:rsidP="000D5563">
            <w:pPr>
              <w:jc w:val="center"/>
            </w:pPr>
          </w:p>
        </w:tc>
        <w:tc>
          <w:tcPr>
            <w:tcW w:w="5272" w:type="dxa"/>
            <w:tcBorders>
              <w:top w:val="single" w:sz="6" w:space="0" w:color="FF6600"/>
              <w:bottom w:val="single" w:sz="6" w:space="0" w:color="FF6600"/>
            </w:tcBorders>
            <w:shd w:val="clear" w:color="auto" w:fill="auto"/>
            <w:vAlign w:val="center"/>
          </w:tcPr>
          <w:p w:rsidR="00137BB5" w:rsidRPr="00F12D44" w:rsidRDefault="00137BB5" w:rsidP="000D5563">
            <w:pPr>
              <w:jc w:val="center"/>
            </w:pPr>
            <w:r>
              <w:rPr>
                <w:noProof/>
              </w:rPr>
              <w:drawing>
                <wp:inline distT="0" distB="0" distL="0" distR="0">
                  <wp:extent cx="3343275" cy="1857375"/>
                  <wp:effectExtent l="19050" t="0" r="9525"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3343275" cy="1857375"/>
                          </a:xfrm>
                          <a:prstGeom prst="rect">
                            <a:avLst/>
                          </a:prstGeom>
                          <a:noFill/>
                          <a:ln w="9525">
                            <a:noFill/>
                            <a:miter lim="800000"/>
                            <a:headEnd/>
                            <a:tailEnd/>
                          </a:ln>
                        </pic:spPr>
                      </pic:pic>
                    </a:graphicData>
                  </a:graphic>
                </wp:inline>
              </w:drawing>
            </w:r>
          </w:p>
        </w:tc>
      </w:tr>
    </w:tbl>
    <w:p w:rsidR="00137BB5" w:rsidRPr="00426354" w:rsidRDefault="00137BB5" w:rsidP="00137BB5">
      <w:pPr>
        <w:pStyle w:val="FootnoteNoline"/>
        <w:ind w:left="0"/>
        <w:rPr>
          <w:rFonts w:eastAsia="楷体_GB2312"/>
          <w:color w:val="FF6600"/>
        </w:rPr>
      </w:pPr>
      <w:r w:rsidRPr="00426354">
        <w:rPr>
          <w:rFonts w:eastAsia="楷体_GB2312" w:hint="eastAsia"/>
          <w:color w:val="FF6600"/>
        </w:rPr>
        <w:t>来源：凯石财富工场</w:t>
      </w:r>
      <w:r w:rsidRPr="00426354">
        <w:rPr>
          <w:rFonts w:eastAsia="楷体_GB2312" w:hint="eastAsia"/>
          <w:color w:val="FF6600"/>
        </w:rPr>
        <w:t xml:space="preserve"> wind </w:t>
      </w:r>
    </w:p>
    <w:p w:rsidR="00833A44" w:rsidRPr="004854C2" w:rsidRDefault="00833A44" w:rsidP="000E5477">
      <w:pPr>
        <w:pStyle w:val="ab"/>
        <w:numPr>
          <w:ilvl w:val="4"/>
          <w:numId w:val="1"/>
        </w:numPr>
        <w:spacing w:after="163"/>
        <w:rPr>
          <w:rFonts w:eastAsia="楷体_GB2312"/>
          <w:color w:val="auto"/>
        </w:rPr>
      </w:pPr>
      <w:r w:rsidRPr="004854C2">
        <w:rPr>
          <w:rFonts w:eastAsia="楷体_GB2312" w:hint="eastAsia"/>
          <w:color w:val="auto"/>
        </w:rPr>
        <w:t>QE</w:t>
      </w:r>
      <w:r w:rsidRPr="004854C2">
        <w:rPr>
          <w:rFonts w:eastAsia="楷体_GB2312" w:hint="eastAsia"/>
          <w:color w:val="auto"/>
        </w:rPr>
        <w:t>牵动美国及全球资本市场的神经。</w:t>
      </w:r>
      <w:r w:rsidR="00D8374B" w:rsidRPr="004854C2">
        <w:rPr>
          <w:rFonts w:eastAsia="楷体_GB2312" w:hint="eastAsia"/>
          <w:color w:val="auto"/>
        </w:rPr>
        <w:t>北京时间</w:t>
      </w:r>
      <w:r w:rsidR="00D8374B" w:rsidRPr="004854C2">
        <w:rPr>
          <w:rFonts w:eastAsia="楷体_GB2312" w:hint="eastAsia"/>
          <w:color w:val="auto"/>
        </w:rPr>
        <w:t>12</w:t>
      </w:r>
      <w:r w:rsidR="00D8374B" w:rsidRPr="004854C2">
        <w:rPr>
          <w:rFonts w:eastAsia="楷体_GB2312" w:hint="eastAsia"/>
          <w:color w:val="auto"/>
        </w:rPr>
        <w:t>月</w:t>
      </w:r>
      <w:r w:rsidR="00D8374B" w:rsidRPr="004854C2">
        <w:rPr>
          <w:rFonts w:eastAsia="楷体_GB2312" w:hint="eastAsia"/>
          <w:color w:val="auto"/>
        </w:rPr>
        <w:t>19</w:t>
      </w:r>
      <w:r w:rsidR="00D8374B" w:rsidRPr="004854C2">
        <w:rPr>
          <w:rFonts w:eastAsia="楷体_GB2312" w:hint="eastAsia"/>
          <w:color w:val="auto"/>
        </w:rPr>
        <w:t>日，</w:t>
      </w:r>
      <w:r w:rsidR="00D8374B" w:rsidRPr="004854C2">
        <w:rPr>
          <w:rFonts w:eastAsia="楷体_GB2312" w:hint="eastAsia"/>
          <w:color w:val="auto"/>
        </w:rPr>
        <w:t>QE</w:t>
      </w:r>
      <w:r w:rsidR="00D8374B" w:rsidRPr="004854C2">
        <w:rPr>
          <w:rFonts w:eastAsia="楷体_GB2312" w:hint="eastAsia"/>
          <w:color w:val="auto"/>
        </w:rPr>
        <w:t>退出的</w:t>
      </w:r>
      <w:r w:rsidR="001B7585" w:rsidRPr="004854C2">
        <w:rPr>
          <w:rFonts w:eastAsia="楷体_GB2312" w:hint="eastAsia"/>
          <w:color w:val="auto"/>
        </w:rPr>
        <w:t>第一只</w:t>
      </w:r>
      <w:r w:rsidR="00D8374B" w:rsidRPr="004854C2">
        <w:rPr>
          <w:rFonts w:eastAsia="楷体_GB2312" w:hint="eastAsia"/>
          <w:color w:val="auto"/>
        </w:rPr>
        <w:t>靴子终于落地。美联储麾下联邦公开市场委员会</w:t>
      </w:r>
      <w:r w:rsidR="00D8374B" w:rsidRPr="004854C2">
        <w:rPr>
          <w:rFonts w:eastAsia="楷体_GB2312" w:hint="eastAsia"/>
          <w:color w:val="auto"/>
        </w:rPr>
        <w:t>(FOMC)</w:t>
      </w:r>
      <w:r w:rsidR="00D8374B" w:rsidRPr="004854C2">
        <w:rPr>
          <w:rFonts w:eastAsia="楷体_GB2312" w:hint="eastAsia"/>
          <w:color w:val="auto"/>
        </w:rPr>
        <w:t>在结束两天封闭会议后宣布</w:t>
      </w:r>
      <w:r w:rsidR="004854C2">
        <w:rPr>
          <w:rFonts w:eastAsia="楷体_GB2312" w:hint="eastAsia"/>
          <w:color w:val="auto"/>
        </w:rPr>
        <w:t>，</w:t>
      </w:r>
      <w:r w:rsidR="00D8374B" w:rsidRPr="004854C2">
        <w:rPr>
          <w:rFonts w:eastAsia="楷体_GB2312" w:hint="eastAsia"/>
          <w:color w:val="auto"/>
        </w:rPr>
        <w:t>将每月采购</w:t>
      </w:r>
      <w:r w:rsidR="00D8374B" w:rsidRPr="004854C2">
        <w:rPr>
          <w:rFonts w:eastAsia="楷体_GB2312" w:hint="eastAsia"/>
          <w:color w:val="auto"/>
        </w:rPr>
        <w:t>850</w:t>
      </w:r>
      <w:r w:rsidR="00D8374B" w:rsidRPr="004854C2">
        <w:rPr>
          <w:rFonts w:eastAsia="楷体_GB2312" w:hint="eastAsia"/>
          <w:color w:val="auto"/>
        </w:rPr>
        <w:t>亿美元资产的开放式量化宽松</w:t>
      </w:r>
      <w:r w:rsidR="00D8374B" w:rsidRPr="004854C2">
        <w:rPr>
          <w:rFonts w:eastAsia="楷体_GB2312" w:hint="eastAsia"/>
          <w:color w:val="auto"/>
        </w:rPr>
        <w:t>(QE)</w:t>
      </w:r>
      <w:r w:rsidR="00D8374B" w:rsidRPr="004854C2">
        <w:rPr>
          <w:rFonts w:eastAsia="楷体_GB2312" w:hint="eastAsia"/>
          <w:color w:val="auto"/>
        </w:rPr>
        <w:t>缩减</w:t>
      </w:r>
      <w:r w:rsidR="00D8374B" w:rsidRPr="004854C2">
        <w:rPr>
          <w:rFonts w:eastAsia="楷体_GB2312" w:hint="eastAsia"/>
          <w:color w:val="auto"/>
        </w:rPr>
        <w:t>100</w:t>
      </w:r>
      <w:r w:rsidR="00D8374B" w:rsidRPr="004854C2">
        <w:rPr>
          <w:rFonts w:eastAsia="楷体_GB2312" w:hint="eastAsia"/>
          <w:color w:val="auto"/>
        </w:rPr>
        <w:t>亿美元，其中国债和抵押贷款支持债券</w:t>
      </w:r>
      <w:r w:rsidR="00D8374B" w:rsidRPr="004854C2">
        <w:rPr>
          <w:rFonts w:eastAsia="楷体_GB2312" w:hint="eastAsia"/>
          <w:color w:val="auto"/>
        </w:rPr>
        <w:t>(MBS)</w:t>
      </w:r>
      <w:r w:rsidR="00D8374B" w:rsidRPr="004854C2">
        <w:rPr>
          <w:rFonts w:eastAsia="楷体_GB2312" w:hint="eastAsia"/>
          <w:color w:val="auto"/>
        </w:rPr>
        <w:t>的采购额各缩减</w:t>
      </w:r>
      <w:r w:rsidR="00D8374B" w:rsidRPr="004854C2">
        <w:rPr>
          <w:rFonts w:eastAsia="楷体_GB2312" w:hint="eastAsia"/>
          <w:color w:val="auto"/>
        </w:rPr>
        <w:t>50</w:t>
      </w:r>
      <w:r w:rsidR="00D8374B" w:rsidRPr="004854C2">
        <w:rPr>
          <w:rFonts w:eastAsia="楷体_GB2312" w:hint="eastAsia"/>
          <w:color w:val="auto"/>
        </w:rPr>
        <w:t>亿美元。</w:t>
      </w:r>
      <w:r w:rsidRPr="004854C2">
        <w:rPr>
          <w:rFonts w:eastAsia="楷体_GB2312" w:hint="eastAsia"/>
          <w:color w:val="auto"/>
        </w:rPr>
        <w:t>接下来</w:t>
      </w:r>
      <w:r w:rsidR="004854C2">
        <w:rPr>
          <w:rFonts w:eastAsia="楷体_GB2312" w:hint="eastAsia"/>
          <w:color w:val="auto"/>
        </w:rPr>
        <w:t>，</w:t>
      </w:r>
      <w:r w:rsidRPr="004854C2">
        <w:rPr>
          <w:rFonts w:eastAsia="楷体_GB2312" w:hint="eastAsia"/>
          <w:color w:val="auto"/>
        </w:rPr>
        <w:t>市场关注</w:t>
      </w:r>
      <w:r w:rsidR="007329C1">
        <w:rPr>
          <w:rFonts w:eastAsia="楷体_GB2312" w:hint="eastAsia"/>
          <w:color w:val="auto"/>
        </w:rPr>
        <w:t>点</w:t>
      </w:r>
      <w:r w:rsidRPr="004854C2">
        <w:rPr>
          <w:rFonts w:eastAsia="楷体_GB2312" w:hint="eastAsia"/>
          <w:color w:val="auto"/>
        </w:rPr>
        <w:t>将转移到</w:t>
      </w:r>
      <w:r w:rsidRPr="004854C2">
        <w:rPr>
          <w:rFonts w:eastAsia="楷体_GB2312" w:hint="eastAsia"/>
          <w:color w:val="auto"/>
        </w:rPr>
        <w:t>QE</w:t>
      </w:r>
      <w:r w:rsidRPr="004854C2">
        <w:rPr>
          <w:rFonts w:eastAsia="楷体_GB2312" w:hint="eastAsia"/>
          <w:color w:val="auto"/>
        </w:rPr>
        <w:t>退出的第二只靴子，即节奏上。我们认为，在美国经济复苏相对温和、基础尚需夯实的背景下，美联储退出</w:t>
      </w:r>
      <w:r w:rsidRPr="004854C2">
        <w:rPr>
          <w:rFonts w:eastAsia="楷体_GB2312" w:hint="eastAsia"/>
          <w:color w:val="auto"/>
        </w:rPr>
        <w:t>QE</w:t>
      </w:r>
      <w:r w:rsidRPr="004854C2">
        <w:rPr>
          <w:rFonts w:eastAsia="楷体_GB2312" w:hint="eastAsia"/>
          <w:color w:val="auto"/>
        </w:rPr>
        <w:t>的节奏将十分温和</w:t>
      </w:r>
      <w:r w:rsidR="004854C2">
        <w:rPr>
          <w:rFonts w:eastAsia="楷体_GB2312" w:hint="eastAsia"/>
          <w:color w:val="auto"/>
        </w:rPr>
        <w:t>且</w:t>
      </w:r>
      <w:r w:rsidRPr="004854C2">
        <w:rPr>
          <w:rFonts w:eastAsia="楷体_GB2312" w:hint="eastAsia"/>
          <w:color w:val="auto"/>
        </w:rPr>
        <w:t>灵活，不排除通过其他货币政策来进行及时且适当的对冲操作。</w:t>
      </w:r>
      <w:r w:rsidR="004854C2" w:rsidRPr="004854C2">
        <w:rPr>
          <w:rFonts w:eastAsia="楷体_GB2312" w:hint="eastAsia"/>
          <w:color w:val="auto"/>
        </w:rPr>
        <w:t>而且，对比二季度末以来发达市场</w:t>
      </w:r>
      <w:r w:rsidR="00F209D0">
        <w:rPr>
          <w:rFonts w:eastAsia="楷体_GB2312" w:hint="eastAsia"/>
          <w:color w:val="auto"/>
        </w:rPr>
        <w:t>股指</w:t>
      </w:r>
      <w:r w:rsidR="004854C2" w:rsidRPr="004854C2">
        <w:rPr>
          <w:rFonts w:eastAsia="楷体_GB2312" w:hint="eastAsia"/>
          <w:color w:val="auto"/>
        </w:rPr>
        <w:t>围绕</w:t>
      </w:r>
      <w:r w:rsidR="004854C2" w:rsidRPr="004854C2">
        <w:rPr>
          <w:rFonts w:eastAsia="楷体_GB2312" w:hint="eastAsia"/>
          <w:color w:val="auto"/>
        </w:rPr>
        <w:t>QE</w:t>
      </w:r>
      <w:r w:rsidR="004854C2" w:rsidRPr="004854C2">
        <w:rPr>
          <w:rFonts w:eastAsia="楷体_GB2312" w:hint="eastAsia"/>
          <w:color w:val="auto"/>
        </w:rPr>
        <w:t>退出的几次反复看，发达市场尤其是美国市场对于</w:t>
      </w:r>
      <w:r w:rsidR="004854C2" w:rsidRPr="004854C2">
        <w:rPr>
          <w:rFonts w:eastAsia="楷体_GB2312" w:hint="eastAsia"/>
          <w:color w:val="auto"/>
        </w:rPr>
        <w:t>QE</w:t>
      </w:r>
      <w:r w:rsidR="004854C2" w:rsidRPr="004854C2">
        <w:rPr>
          <w:rFonts w:eastAsia="楷体_GB2312" w:hint="eastAsia"/>
          <w:color w:val="auto"/>
        </w:rPr>
        <w:t>退出的不利冲击</w:t>
      </w:r>
      <w:r w:rsidR="00F209D0">
        <w:rPr>
          <w:rFonts w:eastAsia="楷体_GB2312" w:hint="eastAsia"/>
          <w:color w:val="auto"/>
        </w:rPr>
        <w:t>正在</w:t>
      </w:r>
      <w:r w:rsidR="004854C2" w:rsidRPr="004854C2">
        <w:rPr>
          <w:rFonts w:eastAsia="楷体_GB2312" w:hint="eastAsia"/>
          <w:color w:val="auto"/>
        </w:rPr>
        <w:t>逐步消化，美联储宣布开始缩减</w:t>
      </w:r>
      <w:r w:rsidR="004854C2" w:rsidRPr="004854C2">
        <w:rPr>
          <w:rFonts w:eastAsia="楷体_GB2312" w:hint="eastAsia"/>
          <w:color w:val="auto"/>
        </w:rPr>
        <w:t>QE</w:t>
      </w:r>
      <w:r w:rsidR="004854C2" w:rsidRPr="004854C2">
        <w:rPr>
          <w:rFonts w:eastAsia="楷体_GB2312" w:hint="eastAsia"/>
          <w:color w:val="auto"/>
        </w:rPr>
        <w:t>当日美国三大股指</w:t>
      </w:r>
      <w:r w:rsidR="00F209D0">
        <w:rPr>
          <w:rFonts w:eastAsia="楷体_GB2312" w:hint="eastAsia"/>
          <w:color w:val="auto"/>
        </w:rPr>
        <w:t>更是</w:t>
      </w:r>
      <w:r w:rsidR="004854C2" w:rsidRPr="004854C2">
        <w:rPr>
          <w:rFonts w:eastAsia="楷体_GB2312" w:hint="eastAsia"/>
          <w:color w:val="auto"/>
        </w:rPr>
        <w:t>均</w:t>
      </w:r>
      <w:r w:rsidR="00F209D0">
        <w:rPr>
          <w:rFonts w:eastAsia="楷体_GB2312" w:hint="eastAsia"/>
          <w:color w:val="auto"/>
        </w:rPr>
        <w:t>上涨</w:t>
      </w:r>
      <w:r w:rsidR="004854C2" w:rsidRPr="004854C2">
        <w:rPr>
          <w:rFonts w:eastAsia="楷体_GB2312" w:hint="eastAsia"/>
          <w:color w:val="auto"/>
        </w:rPr>
        <w:t>超过</w:t>
      </w:r>
      <w:r w:rsidR="004854C2" w:rsidRPr="004854C2">
        <w:rPr>
          <w:rFonts w:eastAsia="楷体_GB2312" w:hint="eastAsia"/>
          <w:color w:val="auto"/>
        </w:rPr>
        <w:t>1%</w:t>
      </w:r>
      <w:r w:rsidR="004854C2" w:rsidRPr="004854C2">
        <w:rPr>
          <w:rFonts w:eastAsia="楷体_GB2312" w:hint="eastAsia"/>
          <w:color w:val="auto"/>
        </w:rPr>
        <w:t>，基本面因素渐渐夺回对市场的掌控权。</w:t>
      </w:r>
    </w:p>
    <w:p w:rsidR="00B433EE" w:rsidRDefault="00B433EE" w:rsidP="00833A44">
      <w:pPr>
        <w:pStyle w:val="ab"/>
        <w:numPr>
          <w:ilvl w:val="5"/>
          <w:numId w:val="2"/>
        </w:numPr>
        <w:spacing w:after="163"/>
        <w:ind w:left="4140" w:hanging="369"/>
        <w:rPr>
          <w:rFonts w:eastAsia="楷体_GB2312"/>
          <w:color w:val="auto"/>
        </w:rPr>
      </w:pPr>
      <w:r>
        <w:rPr>
          <w:rFonts w:eastAsia="楷体_GB2312" w:hint="eastAsia"/>
          <w:color w:val="auto"/>
        </w:rPr>
        <w:t>QE</w:t>
      </w:r>
      <w:r>
        <w:rPr>
          <w:rFonts w:eastAsia="楷体_GB2312" w:hint="eastAsia"/>
          <w:color w:val="auto"/>
        </w:rPr>
        <w:t>退出全面参考经济增长情况。</w:t>
      </w:r>
      <w:r w:rsidRPr="00D8374B">
        <w:rPr>
          <w:rFonts w:eastAsia="楷体_GB2312" w:hint="eastAsia"/>
          <w:color w:val="auto"/>
        </w:rPr>
        <w:t>美联储在会后声明中指出，</w:t>
      </w:r>
      <w:r w:rsidRPr="00D8374B">
        <w:rPr>
          <w:rFonts w:eastAsia="楷体_GB2312" w:hint="eastAsia"/>
          <w:color w:val="auto"/>
        </w:rPr>
        <w:t>10</w:t>
      </w:r>
      <w:r w:rsidRPr="00D8374B">
        <w:rPr>
          <w:rFonts w:eastAsia="楷体_GB2312" w:hint="eastAsia"/>
          <w:color w:val="auto"/>
        </w:rPr>
        <w:t>月会议以来经济维持适度的增长步伐，劳动力市场进一步改善，失业率已下降但依然较高，家庭开支和企业固定投资增长，但近几个月来房地产市场的复苏放缓，财政政策仍在阻碍经济的增长，但阻碍的程度可能有所下降，通胀仍低于联储的长期目标，但长期通胀预期依然稳定。</w:t>
      </w:r>
      <w:r w:rsidR="009033D3">
        <w:rPr>
          <w:rFonts w:eastAsia="楷体_GB2312" w:hint="eastAsia"/>
          <w:color w:val="auto"/>
        </w:rPr>
        <w:t>这意味着美联储的决策全面参考了</w:t>
      </w:r>
      <w:r w:rsidR="00475C3E">
        <w:rPr>
          <w:rFonts w:eastAsia="楷体_GB2312" w:hint="eastAsia"/>
          <w:color w:val="auto"/>
        </w:rPr>
        <w:t>当前以及未来预期的</w:t>
      </w:r>
      <w:r w:rsidR="009033D3">
        <w:rPr>
          <w:rFonts w:eastAsia="楷体_GB2312" w:hint="eastAsia"/>
          <w:color w:val="auto"/>
        </w:rPr>
        <w:t>经济增长情况。</w:t>
      </w:r>
    </w:p>
    <w:p w:rsidR="00833A44" w:rsidRDefault="00C21EDC" w:rsidP="00833A44">
      <w:pPr>
        <w:pStyle w:val="ab"/>
        <w:numPr>
          <w:ilvl w:val="5"/>
          <w:numId w:val="2"/>
        </w:numPr>
        <w:spacing w:after="163"/>
        <w:ind w:left="4140" w:hanging="369"/>
        <w:rPr>
          <w:rFonts w:eastAsia="楷体_GB2312"/>
          <w:color w:val="auto"/>
        </w:rPr>
      </w:pPr>
      <w:r>
        <w:rPr>
          <w:rFonts w:eastAsia="楷体_GB2312" w:hint="eastAsia"/>
          <w:color w:val="auto"/>
        </w:rPr>
        <w:t>退出同时</w:t>
      </w:r>
      <w:r w:rsidR="00090EDA">
        <w:rPr>
          <w:rFonts w:eastAsia="楷体_GB2312" w:hint="eastAsia"/>
          <w:color w:val="auto"/>
        </w:rPr>
        <w:t>维持超低利率。美联储议息会议</w:t>
      </w:r>
      <w:r w:rsidR="00833A44" w:rsidRPr="00833A44">
        <w:rPr>
          <w:rFonts w:eastAsia="楷体_GB2312" w:hint="eastAsia"/>
          <w:color w:val="auto"/>
        </w:rPr>
        <w:t>承诺在失业率降低到</w:t>
      </w:r>
      <w:r w:rsidR="00833A44" w:rsidRPr="00833A44">
        <w:rPr>
          <w:rFonts w:eastAsia="楷体_GB2312" w:hint="eastAsia"/>
          <w:color w:val="auto"/>
        </w:rPr>
        <w:t>6.5%</w:t>
      </w:r>
      <w:r w:rsidR="00833A44" w:rsidRPr="00833A44">
        <w:rPr>
          <w:rFonts w:eastAsia="楷体_GB2312" w:hint="eastAsia"/>
          <w:color w:val="auto"/>
        </w:rPr>
        <w:t>且中期通胀预期达到</w:t>
      </w:r>
      <w:r w:rsidR="00833A44" w:rsidRPr="00833A44">
        <w:rPr>
          <w:rFonts w:eastAsia="楷体_GB2312" w:hint="eastAsia"/>
          <w:color w:val="auto"/>
        </w:rPr>
        <w:t>2.5%</w:t>
      </w:r>
      <w:r w:rsidR="00833A44" w:rsidRPr="00833A44">
        <w:rPr>
          <w:rFonts w:eastAsia="楷体_GB2312" w:hint="eastAsia"/>
          <w:color w:val="auto"/>
        </w:rPr>
        <w:t>之前，维持基准利率在</w:t>
      </w:r>
      <w:r w:rsidR="00833A44" w:rsidRPr="00833A44">
        <w:rPr>
          <w:rFonts w:eastAsia="楷体_GB2312" w:hint="eastAsia"/>
          <w:color w:val="auto"/>
        </w:rPr>
        <w:t>0-0.25%</w:t>
      </w:r>
      <w:r w:rsidR="00833A44" w:rsidRPr="00833A44">
        <w:rPr>
          <w:rFonts w:eastAsia="楷体_GB2312" w:hint="eastAsia"/>
          <w:color w:val="auto"/>
        </w:rPr>
        <w:t>不变</w:t>
      </w:r>
      <w:r w:rsidR="00752130">
        <w:rPr>
          <w:rFonts w:eastAsia="楷体_GB2312" w:hint="eastAsia"/>
          <w:color w:val="auto"/>
        </w:rPr>
        <w:t>。</w:t>
      </w:r>
    </w:p>
    <w:p w:rsidR="00D8374B" w:rsidRDefault="00833A44" w:rsidP="00833A44">
      <w:pPr>
        <w:pStyle w:val="ab"/>
        <w:numPr>
          <w:ilvl w:val="5"/>
          <w:numId w:val="2"/>
        </w:numPr>
        <w:spacing w:after="163"/>
        <w:ind w:left="4140" w:hanging="369"/>
        <w:rPr>
          <w:rFonts w:eastAsia="楷体_GB2312"/>
          <w:color w:val="auto"/>
        </w:rPr>
      </w:pPr>
      <w:r>
        <w:rPr>
          <w:rFonts w:eastAsia="楷体_GB2312" w:hint="eastAsia"/>
          <w:color w:val="auto"/>
        </w:rPr>
        <w:t>退出</w:t>
      </w:r>
      <w:r w:rsidR="00357B6B">
        <w:rPr>
          <w:rFonts w:eastAsia="楷体_GB2312" w:hint="eastAsia"/>
          <w:color w:val="auto"/>
        </w:rPr>
        <w:t>节奏适度</w:t>
      </w:r>
      <w:r>
        <w:rPr>
          <w:rFonts w:eastAsia="楷体_GB2312" w:hint="eastAsia"/>
          <w:color w:val="auto"/>
        </w:rPr>
        <w:t>灵活。</w:t>
      </w:r>
      <w:r w:rsidR="001B7585" w:rsidRPr="00D8374B">
        <w:rPr>
          <w:rFonts w:eastAsia="楷体_GB2312" w:hint="eastAsia"/>
          <w:color w:val="auto"/>
        </w:rPr>
        <w:t>美联储主席伯南克在发布会上答记者问时表示，如果通胀和就业维持现在的温和改善势头，缩减量化宽松</w:t>
      </w:r>
      <w:r w:rsidR="001B7585" w:rsidRPr="00D8374B">
        <w:rPr>
          <w:rFonts w:eastAsia="楷体_GB2312" w:hint="eastAsia"/>
          <w:color w:val="auto"/>
        </w:rPr>
        <w:t>(QE)</w:t>
      </w:r>
      <w:r w:rsidR="001B7585" w:rsidRPr="00D8374B">
        <w:rPr>
          <w:rFonts w:eastAsia="楷体_GB2312" w:hint="eastAsia"/>
          <w:color w:val="auto"/>
        </w:rPr>
        <w:t>也将采取相应的步调，在未来的每次会议上均适度缩减，直到明年底最终结束</w:t>
      </w:r>
      <w:r w:rsidR="001B7585" w:rsidRPr="00D8374B">
        <w:rPr>
          <w:rFonts w:eastAsia="楷体_GB2312" w:hint="eastAsia"/>
          <w:color w:val="auto"/>
        </w:rPr>
        <w:t>QE</w:t>
      </w:r>
      <w:r w:rsidR="001B7585" w:rsidRPr="00D8374B">
        <w:rPr>
          <w:rFonts w:eastAsia="楷体_GB2312" w:hint="eastAsia"/>
          <w:color w:val="auto"/>
        </w:rPr>
        <w:t>。</w:t>
      </w:r>
    </w:p>
    <w:p w:rsidR="00752130" w:rsidRDefault="00752130" w:rsidP="00833A44">
      <w:pPr>
        <w:pStyle w:val="ab"/>
        <w:numPr>
          <w:ilvl w:val="5"/>
          <w:numId w:val="2"/>
        </w:numPr>
        <w:spacing w:after="163"/>
        <w:ind w:left="4140" w:hanging="369"/>
        <w:rPr>
          <w:rFonts w:eastAsia="楷体_GB2312"/>
          <w:color w:val="auto"/>
        </w:rPr>
      </w:pPr>
      <w:r>
        <w:rPr>
          <w:rFonts w:eastAsia="楷体_GB2312" w:hint="eastAsia"/>
          <w:color w:val="auto"/>
        </w:rPr>
        <w:t>货币政策将延续。</w:t>
      </w:r>
      <w:r w:rsidRPr="00DD3698">
        <w:rPr>
          <w:rFonts w:eastAsia="楷体_GB2312" w:hint="eastAsia"/>
          <w:color w:val="auto"/>
        </w:rPr>
        <w:t>如不出意外，耶伦作为新一任的美联储主席将于明年一月底上任。作为伯南克近四年来的副手，耶伦的思路是奉行客观中立、略偏宽松的货币政策，耶伦也在前期发表了继续保持美联储宽松政策必要性言论。</w:t>
      </w:r>
      <w:r w:rsidRPr="00D8374B">
        <w:rPr>
          <w:rFonts w:eastAsia="楷体_GB2312" w:hint="eastAsia"/>
          <w:color w:val="auto"/>
        </w:rPr>
        <w:t>伯南克在发布会上</w:t>
      </w:r>
      <w:r>
        <w:rPr>
          <w:rFonts w:eastAsia="楷体_GB2312" w:hint="eastAsia"/>
          <w:color w:val="auto"/>
        </w:rPr>
        <w:t>表示，</w:t>
      </w:r>
      <w:r w:rsidRPr="001B7585">
        <w:rPr>
          <w:rFonts w:eastAsia="楷体_GB2312" w:hint="eastAsia"/>
          <w:color w:val="auto"/>
        </w:rPr>
        <w:t>耶伦完全支持</w:t>
      </w:r>
      <w:r w:rsidR="00A14BCC">
        <w:rPr>
          <w:rFonts w:eastAsia="楷体_GB2312" w:hint="eastAsia"/>
          <w:color w:val="auto"/>
        </w:rPr>
        <w:t>QE</w:t>
      </w:r>
      <w:r w:rsidR="00A14BCC">
        <w:rPr>
          <w:rFonts w:eastAsia="楷体_GB2312" w:hint="eastAsia"/>
          <w:color w:val="auto"/>
        </w:rPr>
        <w:t>缩减方案</w:t>
      </w:r>
      <w:r>
        <w:rPr>
          <w:rFonts w:eastAsia="楷体_GB2312" w:hint="eastAsia"/>
          <w:color w:val="auto"/>
        </w:rPr>
        <w:t>，更加明确的</w:t>
      </w:r>
      <w:r w:rsidRPr="001B7585">
        <w:rPr>
          <w:rFonts w:eastAsia="楷体_GB2312" w:hint="eastAsia"/>
          <w:color w:val="auto"/>
        </w:rPr>
        <w:t>意味着</w:t>
      </w:r>
      <w:r w:rsidR="004547C3">
        <w:rPr>
          <w:rFonts w:eastAsia="楷体_GB2312" w:hint="eastAsia"/>
          <w:color w:val="auto"/>
        </w:rPr>
        <w:t>美</w:t>
      </w:r>
      <w:r w:rsidRPr="001B7585">
        <w:rPr>
          <w:rFonts w:eastAsia="楷体_GB2312" w:hint="eastAsia"/>
          <w:color w:val="auto"/>
        </w:rPr>
        <w:t>联储政策的延续性</w:t>
      </w:r>
      <w:r w:rsidR="00357B6B">
        <w:rPr>
          <w:rFonts w:eastAsia="楷体_GB2312" w:hint="eastAsia"/>
          <w:color w:val="auto"/>
        </w:rPr>
        <w:t>有望</w:t>
      </w:r>
      <w:r w:rsidRPr="001B7585">
        <w:rPr>
          <w:rFonts w:eastAsia="楷体_GB2312" w:hint="eastAsia"/>
          <w:color w:val="auto"/>
        </w:rPr>
        <w:t>得到保证。</w:t>
      </w:r>
    </w:p>
    <w:p w:rsidR="009D3972" w:rsidRPr="009B2201" w:rsidRDefault="008F2347" w:rsidP="00CF75A9">
      <w:pPr>
        <w:pStyle w:val="ab"/>
        <w:numPr>
          <w:ilvl w:val="4"/>
          <w:numId w:val="1"/>
        </w:numPr>
        <w:spacing w:after="163"/>
        <w:rPr>
          <w:rFonts w:eastAsia="楷体_GB2312"/>
          <w:color w:val="auto"/>
        </w:rPr>
      </w:pPr>
      <w:r w:rsidRPr="009B2201">
        <w:rPr>
          <w:rFonts w:eastAsia="楷体_GB2312" w:hint="eastAsia"/>
          <w:color w:val="auto"/>
        </w:rPr>
        <w:t>与</w:t>
      </w:r>
      <w:r w:rsidR="00A568C5" w:rsidRPr="009B2201">
        <w:rPr>
          <w:rFonts w:eastAsia="楷体_GB2312" w:hint="eastAsia"/>
          <w:color w:val="auto"/>
        </w:rPr>
        <w:t>美国</w:t>
      </w:r>
      <w:r w:rsidR="00A568C5" w:rsidRPr="009B2201">
        <w:rPr>
          <w:rFonts w:eastAsia="楷体_GB2312" w:hint="eastAsia"/>
          <w:color w:val="auto"/>
        </w:rPr>
        <w:t>QE</w:t>
      </w:r>
      <w:r w:rsidR="00513D94">
        <w:rPr>
          <w:rFonts w:eastAsia="楷体_GB2312" w:hint="eastAsia"/>
          <w:color w:val="auto"/>
        </w:rPr>
        <w:t>逐步</w:t>
      </w:r>
      <w:r w:rsidR="00A568C5" w:rsidRPr="009B2201">
        <w:rPr>
          <w:rFonts w:eastAsia="楷体_GB2312" w:hint="eastAsia"/>
          <w:color w:val="auto"/>
        </w:rPr>
        <w:t>退出</w:t>
      </w:r>
      <w:r w:rsidRPr="009B2201">
        <w:rPr>
          <w:rFonts w:eastAsia="楷体_GB2312" w:hint="eastAsia"/>
          <w:color w:val="auto"/>
        </w:rPr>
        <w:t>不同</w:t>
      </w:r>
      <w:r w:rsidR="00A568C5" w:rsidRPr="009B2201">
        <w:rPr>
          <w:rFonts w:eastAsia="楷体_GB2312" w:hint="eastAsia"/>
          <w:color w:val="auto"/>
        </w:rPr>
        <w:t>，欧洲</w:t>
      </w:r>
      <w:r w:rsidRPr="009B2201">
        <w:rPr>
          <w:rFonts w:eastAsia="楷体_GB2312" w:hint="eastAsia"/>
          <w:color w:val="auto"/>
        </w:rPr>
        <w:t>、</w:t>
      </w:r>
      <w:r w:rsidR="00A568C5" w:rsidRPr="009B2201">
        <w:rPr>
          <w:rFonts w:eastAsia="楷体_GB2312" w:hint="eastAsia"/>
          <w:color w:val="auto"/>
        </w:rPr>
        <w:t>日本</w:t>
      </w:r>
      <w:r w:rsidRPr="009B2201">
        <w:rPr>
          <w:rFonts w:eastAsia="楷体_GB2312" w:hint="eastAsia"/>
          <w:color w:val="auto"/>
        </w:rPr>
        <w:t>等发达经济体</w:t>
      </w:r>
      <w:r w:rsidR="00A568C5" w:rsidRPr="009B2201">
        <w:rPr>
          <w:rFonts w:eastAsia="楷体_GB2312" w:hint="eastAsia"/>
          <w:color w:val="auto"/>
        </w:rPr>
        <w:t>受制于经济复苏的相对脆弱，仍将维持相对宽松的货币政策</w:t>
      </w:r>
      <w:r w:rsidR="006B7ECA">
        <w:rPr>
          <w:rFonts w:eastAsia="楷体_GB2312" w:hint="eastAsia"/>
          <w:color w:val="auto"/>
        </w:rPr>
        <w:t>（见下节）</w:t>
      </w:r>
      <w:r w:rsidRPr="009B2201">
        <w:rPr>
          <w:rFonts w:eastAsia="楷体_GB2312" w:hint="eastAsia"/>
          <w:color w:val="auto"/>
        </w:rPr>
        <w:t>。经济基本面上，美国经济复苏趋势同样领先于欧洲和日本。在此背景下，</w:t>
      </w:r>
      <w:r w:rsidR="00473775" w:rsidRPr="009B2201">
        <w:rPr>
          <w:rFonts w:eastAsia="楷体_GB2312" w:hint="eastAsia"/>
          <w:color w:val="auto"/>
        </w:rPr>
        <w:t>2014</w:t>
      </w:r>
      <w:r w:rsidR="00473775" w:rsidRPr="009B2201">
        <w:rPr>
          <w:rFonts w:eastAsia="楷体_GB2312" w:hint="eastAsia"/>
          <w:color w:val="auto"/>
        </w:rPr>
        <w:t>年</w:t>
      </w:r>
      <w:r w:rsidRPr="009B2201">
        <w:rPr>
          <w:rFonts w:eastAsia="楷体_GB2312" w:hint="eastAsia"/>
          <w:color w:val="auto"/>
        </w:rPr>
        <w:t>美元</w:t>
      </w:r>
      <w:r w:rsidR="00473775" w:rsidRPr="009B2201">
        <w:rPr>
          <w:rFonts w:eastAsia="楷体_GB2312" w:hint="eastAsia"/>
          <w:color w:val="auto"/>
        </w:rPr>
        <w:t>有望</w:t>
      </w:r>
      <w:r w:rsidR="00CF75A9" w:rsidRPr="009B2201">
        <w:rPr>
          <w:rFonts w:eastAsia="楷体_GB2312" w:hint="eastAsia"/>
          <w:color w:val="auto"/>
        </w:rPr>
        <w:t>小幅震荡上行</w:t>
      </w:r>
      <w:r w:rsidR="009B2201" w:rsidRPr="009B2201">
        <w:rPr>
          <w:rFonts w:eastAsia="楷体_GB2312" w:hint="eastAsia"/>
          <w:color w:val="auto"/>
        </w:rPr>
        <w:t>，并为美国经济及资本市场带来进一步的资金流入</w:t>
      </w:r>
      <w:r w:rsidR="00CF75A9" w:rsidRPr="009B2201">
        <w:rPr>
          <w:rFonts w:eastAsia="楷体_GB2312" w:hint="eastAsia"/>
          <w:color w:val="auto"/>
        </w:rPr>
        <w:t>。</w:t>
      </w:r>
      <w:r w:rsidR="00067124" w:rsidRPr="009B2201">
        <w:rPr>
          <w:rFonts w:eastAsia="楷体_GB2312" w:hint="eastAsia"/>
          <w:color w:val="auto"/>
        </w:rPr>
        <w:t>因此，在基本面和流动性的双重支撑下，美股</w:t>
      </w:r>
      <w:r w:rsidR="000833A9">
        <w:rPr>
          <w:rFonts w:eastAsia="楷体_GB2312" w:hint="eastAsia"/>
          <w:color w:val="auto"/>
        </w:rPr>
        <w:t>及相关产品</w:t>
      </w:r>
      <w:r w:rsidR="00067124" w:rsidRPr="009B2201">
        <w:rPr>
          <w:rFonts w:eastAsia="楷体_GB2312" w:hint="eastAsia"/>
          <w:color w:val="auto"/>
        </w:rPr>
        <w:t>仍是</w:t>
      </w:r>
      <w:r w:rsidR="009B2201">
        <w:rPr>
          <w:rFonts w:eastAsia="楷体_GB2312" w:hint="eastAsia"/>
          <w:color w:val="auto"/>
        </w:rPr>
        <w:t>2014</w:t>
      </w:r>
      <w:r w:rsidR="009B2201">
        <w:rPr>
          <w:rFonts w:eastAsia="楷体_GB2312" w:hint="eastAsia"/>
          <w:color w:val="auto"/>
        </w:rPr>
        <w:t>年</w:t>
      </w:r>
      <w:r w:rsidR="00067124" w:rsidRPr="009B2201">
        <w:rPr>
          <w:rFonts w:eastAsia="楷体_GB2312" w:hint="eastAsia"/>
          <w:color w:val="auto"/>
        </w:rPr>
        <w:t>具有风险收益</w:t>
      </w:r>
      <w:r w:rsidR="0046694D">
        <w:rPr>
          <w:rFonts w:eastAsia="楷体_GB2312" w:hint="eastAsia"/>
          <w:color w:val="auto"/>
        </w:rPr>
        <w:t>比较优势</w:t>
      </w:r>
      <w:r w:rsidR="00067124" w:rsidRPr="009B2201">
        <w:rPr>
          <w:rFonts w:eastAsia="楷体_GB2312" w:hint="eastAsia"/>
          <w:color w:val="auto"/>
        </w:rPr>
        <w:t>的投资标的。</w:t>
      </w:r>
    </w:p>
    <w:p w:rsidR="00023796" w:rsidRPr="00085655" w:rsidRDefault="005F5E5D" w:rsidP="00023796">
      <w:pPr>
        <w:widowControl/>
        <w:spacing w:after="120"/>
        <w:ind w:left="3430"/>
        <w:rPr>
          <w:rFonts w:ascii="Arial" w:eastAsia="楷体_GB2312" w:hAnsi="Arial"/>
          <w:b/>
          <w:bCs/>
          <w:color w:val="0070C0"/>
          <w:kern w:val="0"/>
          <w:szCs w:val="21"/>
          <w:lang w:val="en-GB"/>
        </w:rPr>
      </w:pPr>
      <w:r w:rsidRPr="00085655">
        <w:rPr>
          <w:rFonts w:ascii="Arial" w:eastAsia="楷体_GB2312" w:hAnsi="Arial" w:hint="eastAsia"/>
          <w:b/>
          <w:bCs/>
          <w:color w:val="0070C0"/>
          <w:kern w:val="0"/>
          <w:szCs w:val="21"/>
          <w:lang w:val="en-GB"/>
        </w:rPr>
        <w:t>欧洲</w:t>
      </w:r>
      <w:r w:rsidR="00874E33">
        <w:rPr>
          <w:rFonts w:ascii="Arial" w:eastAsia="楷体_GB2312" w:hAnsi="Arial" w:hint="eastAsia"/>
          <w:b/>
          <w:bCs/>
          <w:color w:val="0070C0"/>
          <w:kern w:val="0"/>
          <w:szCs w:val="21"/>
          <w:lang w:val="en-GB"/>
        </w:rPr>
        <w:t>：</w:t>
      </w:r>
      <w:r w:rsidR="0017077D">
        <w:rPr>
          <w:rFonts w:ascii="Arial" w:eastAsia="楷体_GB2312" w:hAnsi="Arial" w:hint="eastAsia"/>
          <w:b/>
          <w:bCs/>
          <w:color w:val="0070C0"/>
          <w:kern w:val="0"/>
          <w:szCs w:val="21"/>
          <w:lang w:val="en-GB"/>
        </w:rPr>
        <w:t>整体</w:t>
      </w:r>
      <w:r w:rsidR="0015655D">
        <w:rPr>
          <w:rFonts w:ascii="Arial" w:eastAsia="楷体_GB2312" w:hAnsi="Arial" w:hint="eastAsia"/>
          <w:b/>
          <w:bCs/>
          <w:color w:val="0070C0"/>
          <w:kern w:val="0"/>
          <w:szCs w:val="21"/>
          <w:lang w:val="en-GB"/>
        </w:rPr>
        <w:t>有望走出衰退</w:t>
      </w:r>
      <w:r w:rsidR="00023796" w:rsidRPr="00085655">
        <w:rPr>
          <w:rFonts w:ascii="Arial" w:eastAsia="楷体_GB2312" w:hAnsi="Arial" w:hint="eastAsia"/>
          <w:b/>
          <w:bCs/>
          <w:color w:val="0070C0"/>
          <w:kern w:val="0"/>
          <w:szCs w:val="21"/>
          <w:lang w:val="en-GB"/>
        </w:rPr>
        <w:t>，</w:t>
      </w:r>
      <w:r w:rsidRPr="00085655">
        <w:rPr>
          <w:rFonts w:ascii="Arial" w:eastAsia="楷体_GB2312" w:hAnsi="Arial" w:hint="eastAsia"/>
          <w:b/>
          <w:bCs/>
          <w:color w:val="0070C0"/>
          <w:kern w:val="0"/>
          <w:szCs w:val="21"/>
          <w:lang w:val="en-GB"/>
        </w:rPr>
        <w:t>资金推动效用降低</w:t>
      </w:r>
    </w:p>
    <w:p w:rsidR="00FF6210" w:rsidRPr="002B4D9D" w:rsidRDefault="00FF6210" w:rsidP="00385194">
      <w:pPr>
        <w:pStyle w:val="ab"/>
        <w:numPr>
          <w:ilvl w:val="4"/>
          <w:numId w:val="1"/>
        </w:numPr>
        <w:spacing w:after="163"/>
        <w:rPr>
          <w:rFonts w:eastAsia="楷体_GB2312"/>
          <w:color w:val="auto"/>
        </w:rPr>
      </w:pPr>
      <w:r w:rsidRPr="002B4D9D">
        <w:rPr>
          <w:rFonts w:eastAsia="楷体_GB2312" w:hint="eastAsia"/>
          <w:color w:val="auto"/>
        </w:rPr>
        <w:t>2013</w:t>
      </w:r>
      <w:r w:rsidRPr="002B4D9D">
        <w:rPr>
          <w:rFonts w:eastAsia="楷体_GB2312" w:hint="eastAsia"/>
          <w:color w:val="auto"/>
        </w:rPr>
        <w:t>年二季度开始，欧洲经济出现筑底回升的迹象</w:t>
      </w:r>
      <w:r w:rsidR="00D37EE4" w:rsidRPr="002B4D9D">
        <w:rPr>
          <w:rFonts w:eastAsia="楷体_GB2312" w:hint="eastAsia"/>
          <w:color w:val="auto"/>
        </w:rPr>
        <w:t>。欧盟统计局数据显示，</w:t>
      </w:r>
      <w:r w:rsidRPr="002B4D9D">
        <w:rPr>
          <w:rFonts w:eastAsia="楷体_GB2312" w:hint="eastAsia"/>
          <w:color w:val="auto"/>
        </w:rPr>
        <w:t>二季度欧元区经济环比</w:t>
      </w:r>
      <w:r w:rsidR="00305027">
        <w:rPr>
          <w:rFonts w:eastAsia="楷体_GB2312" w:hint="eastAsia"/>
          <w:color w:val="auto"/>
        </w:rPr>
        <w:t>上升</w:t>
      </w:r>
      <w:r w:rsidRPr="002B4D9D">
        <w:rPr>
          <w:rFonts w:eastAsia="楷体_GB2312" w:hint="eastAsia"/>
          <w:color w:val="auto"/>
        </w:rPr>
        <w:t>0.3%</w:t>
      </w:r>
      <w:r w:rsidR="00D37EE4" w:rsidRPr="002B4D9D">
        <w:rPr>
          <w:rFonts w:eastAsia="楷体_GB2312" w:hint="eastAsia"/>
          <w:color w:val="auto"/>
        </w:rPr>
        <w:t>、</w:t>
      </w:r>
      <w:r w:rsidRPr="002B4D9D">
        <w:rPr>
          <w:rFonts w:eastAsia="楷体_GB2312" w:hint="eastAsia"/>
          <w:color w:val="auto"/>
        </w:rPr>
        <w:t>三季度</w:t>
      </w:r>
      <w:r w:rsidR="00D37EE4" w:rsidRPr="002B4D9D">
        <w:rPr>
          <w:rFonts w:eastAsia="楷体_GB2312" w:hint="eastAsia"/>
          <w:color w:val="auto"/>
        </w:rPr>
        <w:t>环比</w:t>
      </w:r>
      <w:r w:rsidR="00305027">
        <w:rPr>
          <w:rFonts w:eastAsia="楷体_GB2312" w:hint="eastAsia"/>
          <w:color w:val="auto"/>
        </w:rPr>
        <w:t>上升</w:t>
      </w:r>
      <w:r w:rsidRPr="002B4D9D">
        <w:rPr>
          <w:rFonts w:eastAsia="楷体_GB2312" w:hint="eastAsia"/>
          <w:color w:val="auto"/>
        </w:rPr>
        <w:t>0.1%</w:t>
      </w:r>
      <w:r w:rsidRPr="002B4D9D">
        <w:rPr>
          <w:rFonts w:eastAsia="楷体_GB2312" w:hint="eastAsia"/>
          <w:color w:val="auto"/>
        </w:rPr>
        <w:t>，</w:t>
      </w:r>
      <w:r w:rsidR="00D37EE4" w:rsidRPr="002B4D9D">
        <w:rPr>
          <w:rFonts w:eastAsia="楷体_GB2312" w:hint="eastAsia"/>
          <w:color w:val="auto"/>
        </w:rPr>
        <w:t>在经过连续</w:t>
      </w:r>
      <w:r w:rsidR="00D37EE4" w:rsidRPr="002B4D9D">
        <w:rPr>
          <w:rFonts w:eastAsia="楷体_GB2312" w:hint="eastAsia"/>
          <w:color w:val="auto"/>
        </w:rPr>
        <w:t>6</w:t>
      </w:r>
      <w:r w:rsidR="00D37EE4" w:rsidRPr="002B4D9D">
        <w:rPr>
          <w:rFonts w:eastAsia="楷体_GB2312" w:hint="eastAsia"/>
          <w:color w:val="auto"/>
        </w:rPr>
        <w:lastRenderedPageBreak/>
        <w:t>个季度的经济萎缩后终于恢复</w:t>
      </w:r>
      <w:r w:rsidR="002C3F13">
        <w:rPr>
          <w:rFonts w:eastAsia="楷体_GB2312" w:hint="eastAsia"/>
          <w:color w:val="auto"/>
        </w:rPr>
        <w:t>弱</w:t>
      </w:r>
      <w:r w:rsidR="00D37EE4" w:rsidRPr="002B4D9D">
        <w:rPr>
          <w:rFonts w:eastAsia="楷体_GB2312" w:hint="eastAsia"/>
          <w:color w:val="auto"/>
        </w:rPr>
        <w:t>增长。</w:t>
      </w:r>
      <w:r w:rsidR="00305027">
        <w:rPr>
          <w:rFonts w:eastAsia="楷体_GB2312" w:hint="eastAsia"/>
          <w:color w:val="auto"/>
        </w:rPr>
        <w:t>其中，</w:t>
      </w:r>
      <w:r w:rsidR="00D37EE4" w:rsidRPr="002B4D9D">
        <w:rPr>
          <w:rFonts w:eastAsia="楷体_GB2312" w:hint="eastAsia"/>
          <w:color w:val="auto"/>
        </w:rPr>
        <w:t>主要驱动力</w:t>
      </w:r>
      <w:r w:rsidR="00305027">
        <w:rPr>
          <w:rFonts w:eastAsia="楷体_GB2312" w:hint="eastAsia"/>
          <w:color w:val="auto"/>
        </w:rPr>
        <w:t>来自</w:t>
      </w:r>
      <w:r w:rsidR="00D37EE4" w:rsidRPr="002B4D9D">
        <w:rPr>
          <w:rFonts w:eastAsia="楷体_GB2312" w:hint="eastAsia"/>
          <w:color w:val="auto"/>
        </w:rPr>
        <w:t>德国、法国，两国经济总量占欧元区经济总量的近</w:t>
      </w:r>
      <w:r w:rsidR="00D37EE4" w:rsidRPr="002B4D9D">
        <w:rPr>
          <w:rFonts w:eastAsia="楷体_GB2312" w:hint="eastAsia"/>
          <w:color w:val="auto"/>
        </w:rPr>
        <w:t>30%</w:t>
      </w:r>
      <w:r w:rsidR="00D37EE4" w:rsidRPr="002B4D9D">
        <w:rPr>
          <w:rFonts w:eastAsia="楷体_GB2312" w:hint="eastAsia"/>
          <w:color w:val="auto"/>
        </w:rPr>
        <w:t>。</w:t>
      </w:r>
      <w:r w:rsidR="007B2E80" w:rsidRPr="002B4D9D">
        <w:rPr>
          <w:rFonts w:eastAsia="楷体_GB2312" w:hint="eastAsia"/>
          <w:color w:val="auto"/>
        </w:rPr>
        <w:t>我们认为，</w:t>
      </w:r>
      <w:r w:rsidR="002B4D9D" w:rsidRPr="002B4D9D">
        <w:rPr>
          <w:rFonts w:eastAsia="楷体_GB2312" w:hint="eastAsia"/>
          <w:color w:val="auto"/>
        </w:rPr>
        <w:t>随着越来越多的领域和成员国摆脱经济衰退困境，欧洲经济复苏的基础越来越广泛，配合宽松的货币政策，</w:t>
      </w:r>
      <w:r w:rsidR="007B2E80" w:rsidRPr="002B4D9D">
        <w:rPr>
          <w:rFonts w:eastAsia="楷体_GB2312" w:hint="eastAsia"/>
          <w:color w:val="auto"/>
        </w:rPr>
        <w:t>欧元区</w:t>
      </w:r>
      <w:r w:rsidR="002B4D9D">
        <w:rPr>
          <w:rFonts w:eastAsia="楷体_GB2312" w:hint="eastAsia"/>
          <w:color w:val="auto"/>
        </w:rPr>
        <w:t>2014</w:t>
      </w:r>
      <w:r w:rsidR="002B4D9D">
        <w:rPr>
          <w:rFonts w:eastAsia="楷体_GB2312" w:hint="eastAsia"/>
          <w:color w:val="auto"/>
        </w:rPr>
        <w:t>年</w:t>
      </w:r>
      <w:r w:rsidR="007B2E80" w:rsidRPr="002B4D9D">
        <w:rPr>
          <w:rFonts w:eastAsia="楷体_GB2312" w:hint="eastAsia"/>
          <w:color w:val="auto"/>
        </w:rPr>
        <w:t>有望</w:t>
      </w:r>
      <w:r w:rsidR="00111020">
        <w:rPr>
          <w:rFonts w:eastAsia="楷体_GB2312" w:hint="eastAsia"/>
          <w:color w:val="auto"/>
        </w:rPr>
        <w:t>彻底摆脱</w:t>
      </w:r>
      <w:r w:rsidR="007B2E80" w:rsidRPr="002B4D9D">
        <w:rPr>
          <w:rFonts w:eastAsia="楷体_GB2312" w:hint="eastAsia"/>
          <w:color w:val="auto"/>
        </w:rPr>
        <w:t>衰退局面，但</w:t>
      </w:r>
      <w:r w:rsidR="00CA14E2" w:rsidRPr="002B4D9D">
        <w:rPr>
          <w:rFonts w:eastAsia="楷体_GB2312" w:hint="eastAsia"/>
          <w:color w:val="auto"/>
        </w:rPr>
        <w:t>由于成员国经济间的不平衡、高失业率</w:t>
      </w:r>
      <w:r w:rsidR="00A32F91" w:rsidRPr="002B4D9D">
        <w:rPr>
          <w:rFonts w:eastAsia="楷体_GB2312" w:hint="eastAsia"/>
          <w:color w:val="auto"/>
        </w:rPr>
        <w:t>等因素制约下，</w:t>
      </w:r>
      <w:r w:rsidR="00A56288">
        <w:rPr>
          <w:rFonts w:eastAsia="楷体_GB2312" w:hint="eastAsia"/>
          <w:color w:val="auto"/>
        </w:rPr>
        <w:t>整体</w:t>
      </w:r>
      <w:r w:rsidR="00F22C8A" w:rsidRPr="002B4D9D">
        <w:rPr>
          <w:rFonts w:eastAsia="楷体_GB2312" w:hint="eastAsia"/>
          <w:color w:val="auto"/>
        </w:rPr>
        <w:t>增长或较为缓慢。</w:t>
      </w:r>
    </w:p>
    <w:p w:rsidR="000A7E4F" w:rsidRDefault="00C43DE3" w:rsidP="006E5F71">
      <w:pPr>
        <w:pStyle w:val="ab"/>
        <w:numPr>
          <w:ilvl w:val="5"/>
          <w:numId w:val="2"/>
        </w:numPr>
        <w:spacing w:after="163"/>
        <w:ind w:left="4140" w:hanging="369"/>
        <w:rPr>
          <w:rFonts w:eastAsia="楷体_GB2312"/>
          <w:color w:val="auto"/>
        </w:rPr>
      </w:pPr>
      <w:r>
        <w:rPr>
          <w:rFonts w:eastAsia="楷体_GB2312" w:hint="eastAsia"/>
          <w:color w:val="auto"/>
        </w:rPr>
        <w:t>从增长趋势看，</w:t>
      </w:r>
      <w:r w:rsidR="000A7E4F" w:rsidRPr="000A7E4F">
        <w:rPr>
          <w:rFonts w:eastAsia="楷体_GB2312" w:hint="eastAsia"/>
          <w:color w:val="auto"/>
        </w:rPr>
        <w:t>经济合作与发展组织</w:t>
      </w:r>
      <w:r w:rsidR="000A7E4F" w:rsidRPr="000A7E4F">
        <w:rPr>
          <w:rFonts w:eastAsia="楷体_GB2312" w:hint="eastAsia"/>
          <w:color w:val="auto"/>
        </w:rPr>
        <w:t>(OECD) 12</w:t>
      </w:r>
      <w:r w:rsidR="000A7E4F" w:rsidRPr="000A7E4F">
        <w:rPr>
          <w:rFonts w:eastAsia="楷体_GB2312" w:hint="eastAsia"/>
          <w:color w:val="auto"/>
        </w:rPr>
        <w:t>月发布</w:t>
      </w:r>
      <w:r w:rsidR="000A7E4F">
        <w:rPr>
          <w:rFonts w:eastAsia="楷体_GB2312" w:hint="eastAsia"/>
          <w:color w:val="auto"/>
        </w:rPr>
        <w:t>的</w:t>
      </w:r>
      <w:r w:rsidR="000A7E4F" w:rsidRPr="000A7E4F">
        <w:rPr>
          <w:rFonts w:eastAsia="楷体_GB2312" w:hint="eastAsia"/>
          <w:color w:val="auto"/>
        </w:rPr>
        <w:t>月度报告</w:t>
      </w:r>
      <w:r w:rsidR="000A7E4F">
        <w:rPr>
          <w:rFonts w:eastAsia="楷体_GB2312" w:hint="eastAsia"/>
          <w:color w:val="auto"/>
        </w:rPr>
        <w:t>显示，</w:t>
      </w:r>
      <w:r w:rsidR="00636287" w:rsidRPr="00085655">
        <w:rPr>
          <w:rFonts w:eastAsia="楷体_GB2312" w:hint="eastAsia"/>
          <w:color w:val="auto"/>
        </w:rPr>
        <w:t>欧元区经济景气指数持续改善，</w:t>
      </w:r>
      <w:r w:rsidR="000A7E4F" w:rsidRPr="000A7E4F">
        <w:rPr>
          <w:rFonts w:eastAsia="楷体_GB2312" w:hint="eastAsia"/>
          <w:color w:val="auto"/>
        </w:rPr>
        <w:t>10</w:t>
      </w:r>
      <w:r w:rsidR="000A7E4F" w:rsidRPr="000A7E4F">
        <w:rPr>
          <w:rFonts w:eastAsia="楷体_GB2312" w:hint="eastAsia"/>
          <w:color w:val="auto"/>
        </w:rPr>
        <w:t>月领先指标自</w:t>
      </w:r>
      <w:r w:rsidR="000A7E4F" w:rsidRPr="000A7E4F">
        <w:rPr>
          <w:rFonts w:eastAsia="楷体_GB2312" w:hint="eastAsia"/>
          <w:color w:val="auto"/>
        </w:rPr>
        <w:t>9</w:t>
      </w:r>
      <w:r w:rsidR="000A7E4F" w:rsidRPr="000A7E4F">
        <w:rPr>
          <w:rFonts w:eastAsia="楷体_GB2312" w:hint="eastAsia"/>
          <w:color w:val="auto"/>
        </w:rPr>
        <w:t>月的</w:t>
      </w:r>
      <w:r w:rsidR="000A7E4F" w:rsidRPr="000A7E4F">
        <w:rPr>
          <w:rFonts w:eastAsia="楷体_GB2312" w:hint="eastAsia"/>
          <w:color w:val="auto"/>
        </w:rPr>
        <w:t>100.7</w:t>
      </w:r>
      <w:r w:rsidR="000A7E4F" w:rsidRPr="000A7E4F">
        <w:rPr>
          <w:rFonts w:eastAsia="楷体_GB2312" w:hint="eastAsia"/>
          <w:color w:val="auto"/>
        </w:rPr>
        <w:t>升至</w:t>
      </w:r>
      <w:r w:rsidR="000A7E4F" w:rsidRPr="000A7E4F">
        <w:rPr>
          <w:rFonts w:eastAsia="楷体_GB2312" w:hint="eastAsia"/>
          <w:color w:val="auto"/>
        </w:rPr>
        <w:t>100.9</w:t>
      </w:r>
      <w:r w:rsidR="000A7E4F" w:rsidRPr="000A7E4F">
        <w:rPr>
          <w:rFonts w:eastAsia="楷体_GB2312" w:hint="eastAsia"/>
          <w:color w:val="auto"/>
        </w:rPr>
        <w:t>。</w:t>
      </w:r>
      <w:r w:rsidR="00636287">
        <w:rPr>
          <w:rFonts w:eastAsia="楷体_GB2312" w:hint="eastAsia"/>
          <w:color w:val="auto"/>
        </w:rPr>
        <w:t>其中，</w:t>
      </w:r>
      <w:r w:rsidR="000A7E4F" w:rsidRPr="000A7E4F">
        <w:rPr>
          <w:rFonts w:eastAsia="楷体_GB2312" w:hint="eastAsia"/>
          <w:color w:val="auto"/>
        </w:rPr>
        <w:t>德国的领先指标自</w:t>
      </w:r>
      <w:r w:rsidR="000A7E4F" w:rsidRPr="000A7E4F">
        <w:rPr>
          <w:rFonts w:eastAsia="楷体_GB2312" w:hint="eastAsia"/>
          <w:color w:val="auto"/>
        </w:rPr>
        <w:t>100.5</w:t>
      </w:r>
      <w:r w:rsidR="000A7E4F" w:rsidRPr="000A7E4F">
        <w:rPr>
          <w:rFonts w:eastAsia="楷体_GB2312" w:hint="eastAsia"/>
          <w:color w:val="auto"/>
        </w:rPr>
        <w:t>升至</w:t>
      </w:r>
      <w:r w:rsidR="000A7E4F" w:rsidRPr="000A7E4F">
        <w:rPr>
          <w:rFonts w:eastAsia="楷体_GB2312" w:hint="eastAsia"/>
          <w:color w:val="auto"/>
        </w:rPr>
        <w:t>100.7</w:t>
      </w:r>
      <w:r w:rsidR="000A7E4F" w:rsidRPr="000A7E4F">
        <w:rPr>
          <w:rFonts w:eastAsia="楷体_GB2312" w:hint="eastAsia"/>
          <w:color w:val="auto"/>
        </w:rPr>
        <w:t>，法国领先指标自</w:t>
      </w:r>
      <w:r w:rsidR="000A7E4F" w:rsidRPr="000A7E4F">
        <w:rPr>
          <w:rFonts w:eastAsia="楷体_GB2312" w:hint="eastAsia"/>
          <w:color w:val="auto"/>
        </w:rPr>
        <w:t>100.0</w:t>
      </w:r>
      <w:r w:rsidR="000A7E4F" w:rsidRPr="000A7E4F">
        <w:rPr>
          <w:rFonts w:eastAsia="楷体_GB2312" w:hint="eastAsia"/>
          <w:color w:val="auto"/>
        </w:rPr>
        <w:t>提高至</w:t>
      </w:r>
      <w:r w:rsidR="000A7E4F" w:rsidRPr="000A7E4F">
        <w:rPr>
          <w:rFonts w:eastAsia="楷体_GB2312" w:hint="eastAsia"/>
          <w:color w:val="auto"/>
        </w:rPr>
        <w:t>100.2</w:t>
      </w:r>
      <w:r w:rsidR="000A7E4F" w:rsidRPr="000A7E4F">
        <w:rPr>
          <w:rFonts w:eastAsia="楷体_GB2312" w:hint="eastAsia"/>
          <w:color w:val="auto"/>
        </w:rPr>
        <w:t>。</w:t>
      </w:r>
    </w:p>
    <w:p w:rsidR="00267DED" w:rsidRDefault="00B8445D" w:rsidP="00267DED">
      <w:pPr>
        <w:pStyle w:val="ab"/>
        <w:numPr>
          <w:ilvl w:val="5"/>
          <w:numId w:val="2"/>
        </w:numPr>
        <w:spacing w:after="163"/>
        <w:ind w:left="4140" w:hanging="369"/>
        <w:rPr>
          <w:rFonts w:eastAsia="楷体_GB2312"/>
          <w:color w:val="auto"/>
        </w:rPr>
      </w:pPr>
      <w:r>
        <w:rPr>
          <w:rFonts w:eastAsia="楷体_GB2312" w:hint="eastAsia"/>
          <w:color w:val="auto"/>
        </w:rPr>
        <w:t>政治局面方面，</w:t>
      </w:r>
      <w:r w:rsidR="00267DED" w:rsidRPr="00267DED">
        <w:rPr>
          <w:rFonts w:eastAsia="楷体_GB2312" w:hint="eastAsia"/>
          <w:color w:val="auto"/>
        </w:rPr>
        <w:t>德国总理默克尔领导的基民盟</w:t>
      </w:r>
      <w:r w:rsidR="00607330" w:rsidRPr="00267DED">
        <w:rPr>
          <w:rFonts w:eastAsia="楷体_GB2312" w:hint="eastAsia"/>
          <w:color w:val="auto"/>
        </w:rPr>
        <w:t>与左翼政党社民党</w:t>
      </w:r>
      <w:r w:rsidR="00607330" w:rsidRPr="00267DED">
        <w:rPr>
          <w:rFonts w:eastAsia="楷体_GB2312" w:hint="eastAsia"/>
          <w:color w:val="auto"/>
        </w:rPr>
        <w:t>11</w:t>
      </w:r>
      <w:r w:rsidR="00607330" w:rsidRPr="00267DED">
        <w:rPr>
          <w:rFonts w:eastAsia="楷体_GB2312" w:hint="eastAsia"/>
          <w:color w:val="auto"/>
        </w:rPr>
        <w:t>月</w:t>
      </w:r>
      <w:r w:rsidR="00D14D0B" w:rsidRPr="00267DED">
        <w:rPr>
          <w:rFonts w:eastAsia="楷体_GB2312" w:hint="eastAsia"/>
          <w:color w:val="auto"/>
        </w:rPr>
        <w:t>底</w:t>
      </w:r>
      <w:r w:rsidR="00607330" w:rsidRPr="00267DED">
        <w:rPr>
          <w:rFonts w:eastAsia="楷体_GB2312" w:hint="eastAsia"/>
          <w:color w:val="auto"/>
        </w:rPr>
        <w:t>草签了联合组阁协议，</w:t>
      </w:r>
      <w:r w:rsidR="00267DED" w:rsidRPr="00267DED">
        <w:rPr>
          <w:rFonts w:eastAsia="楷体_GB2312" w:hint="eastAsia"/>
          <w:color w:val="auto"/>
        </w:rPr>
        <w:t>协议内容包括新一届政府内阁组成及未来</w:t>
      </w:r>
      <w:r w:rsidR="00267DED" w:rsidRPr="00267DED">
        <w:rPr>
          <w:rFonts w:eastAsia="楷体_GB2312" w:hint="eastAsia"/>
          <w:color w:val="auto"/>
        </w:rPr>
        <w:t>4</w:t>
      </w:r>
      <w:r w:rsidR="00267DED" w:rsidRPr="00267DED">
        <w:rPr>
          <w:rFonts w:eastAsia="楷体_GB2312" w:hint="eastAsia"/>
          <w:color w:val="auto"/>
        </w:rPr>
        <w:t>年主要施政纲领。</w:t>
      </w:r>
      <w:r w:rsidR="00267DED" w:rsidRPr="00267DED">
        <w:rPr>
          <w:rFonts w:eastAsia="楷体_GB2312" w:hint="eastAsia"/>
          <w:color w:val="auto"/>
        </w:rPr>
        <w:t>12</w:t>
      </w:r>
      <w:r w:rsidR="00267DED" w:rsidRPr="00267DED">
        <w:rPr>
          <w:rFonts w:eastAsia="楷体_GB2312" w:hint="eastAsia"/>
          <w:color w:val="auto"/>
        </w:rPr>
        <w:t>月份，基民盟和社民党先后表决通过了该协议。</w:t>
      </w:r>
      <w:r w:rsidR="00607330" w:rsidRPr="00267DED">
        <w:rPr>
          <w:rFonts w:eastAsia="楷体_GB2312" w:hint="eastAsia"/>
          <w:color w:val="auto"/>
        </w:rPr>
        <w:t>意味着德国政局将重新步入正轨，这对整个欧洲经济及</w:t>
      </w:r>
      <w:r w:rsidR="00A87896">
        <w:rPr>
          <w:rFonts w:eastAsia="楷体_GB2312" w:hint="eastAsia"/>
          <w:color w:val="auto"/>
        </w:rPr>
        <w:t>资本</w:t>
      </w:r>
      <w:r w:rsidR="00607330" w:rsidRPr="00267DED">
        <w:rPr>
          <w:rFonts w:eastAsia="楷体_GB2312" w:hint="eastAsia"/>
          <w:color w:val="auto"/>
        </w:rPr>
        <w:t>市场均有支撑。</w:t>
      </w:r>
    </w:p>
    <w:p w:rsidR="00402AD8" w:rsidRDefault="00B8445D" w:rsidP="006E5F71">
      <w:pPr>
        <w:pStyle w:val="ab"/>
        <w:numPr>
          <w:ilvl w:val="5"/>
          <w:numId w:val="2"/>
        </w:numPr>
        <w:spacing w:after="163"/>
        <w:ind w:left="4140" w:hanging="369"/>
        <w:rPr>
          <w:rFonts w:eastAsia="楷体_GB2312"/>
          <w:color w:val="auto"/>
        </w:rPr>
      </w:pPr>
      <w:r>
        <w:rPr>
          <w:rFonts w:eastAsia="楷体_GB2312" w:hint="eastAsia"/>
          <w:color w:val="auto"/>
        </w:rPr>
        <w:t>货币政策方面，</w:t>
      </w:r>
      <w:r w:rsidR="00402AD8" w:rsidRPr="00085655">
        <w:rPr>
          <w:rFonts w:eastAsia="楷体_GB2312" w:hint="eastAsia"/>
          <w:color w:val="auto"/>
        </w:rPr>
        <w:t>欧洲央行</w:t>
      </w:r>
      <w:r w:rsidR="00402AD8" w:rsidRPr="00085655">
        <w:rPr>
          <w:rFonts w:eastAsia="楷体_GB2312" w:hint="eastAsia"/>
          <w:color w:val="auto"/>
        </w:rPr>
        <w:t>11</w:t>
      </w:r>
      <w:r w:rsidR="00402AD8" w:rsidRPr="00085655">
        <w:rPr>
          <w:rFonts w:eastAsia="楷体_GB2312" w:hint="eastAsia"/>
          <w:color w:val="auto"/>
        </w:rPr>
        <w:t>月意外下调基准利率</w:t>
      </w:r>
      <w:r w:rsidR="00402AD8" w:rsidRPr="00085655">
        <w:rPr>
          <w:rFonts w:eastAsia="楷体_GB2312"/>
          <w:color w:val="auto"/>
        </w:rPr>
        <w:t>25</w:t>
      </w:r>
      <w:r w:rsidR="00402AD8" w:rsidRPr="00085655">
        <w:rPr>
          <w:rFonts w:eastAsia="楷体_GB2312" w:hint="eastAsia"/>
          <w:color w:val="auto"/>
        </w:rPr>
        <w:t>个基点至</w:t>
      </w:r>
      <w:r w:rsidR="00402AD8" w:rsidRPr="00085655">
        <w:rPr>
          <w:rFonts w:eastAsia="楷体_GB2312"/>
          <w:color w:val="auto"/>
        </w:rPr>
        <w:t>0.25%</w:t>
      </w:r>
      <w:r w:rsidR="00402AD8" w:rsidRPr="00085655">
        <w:rPr>
          <w:rFonts w:eastAsia="楷体_GB2312" w:hint="eastAsia"/>
          <w:color w:val="auto"/>
        </w:rPr>
        <w:t>，同时表示在</w:t>
      </w:r>
      <w:r w:rsidR="00402AD8" w:rsidRPr="00085655">
        <w:rPr>
          <w:rFonts w:eastAsia="楷体_GB2312"/>
          <w:color w:val="auto"/>
        </w:rPr>
        <w:t>2015</w:t>
      </w:r>
      <w:r w:rsidR="00402AD8" w:rsidRPr="00085655">
        <w:rPr>
          <w:rFonts w:eastAsia="楷体_GB2312" w:hint="eastAsia"/>
          <w:color w:val="auto"/>
        </w:rPr>
        <w:t>年</w:t>
      </w:r>
      <w:r w:rsidR="00402AD8" w:rsidRPr="00085655">
        <w:rPr>
          <w:rFonts w:eastAsia="楷体_GB2312"/>
          <w:color w:val="auto"/>
        </w:rPr>
        <w:t>7</w:t>
      </w:r>
      <w:r w:rsidR="00402AD8" w:rsidRPr="00085655">
        <w:rPr>
          <w:rFonts w:eastAsia="楷体_GB2312" w:hint="eastAsia"/>
          <w:color w:val="auto"/>
        </w:rPr>
        <w:t>月之前将继续向银行提供无限量流动性。这</w:t>
      </w:r>
      <w:r w:rsidR="00335ADC">
        <w:rPr>
          <w:rFonts w:eastAsia="楷体_GB2312" w:hint="eastAsia"/>
          <w:color w:val="auto"/>
        </w:rPr>
        <w:t>也就是说</w:t>
      </w:r>
      <w:r w:rsidR="00402AD8" w:rsidRPr="00085655">
        <w:rPr>
          <w:rFonts w:eastAsia="楷体_GB2312" w:hint="eastAsia"/>
          <w:color w:val="auto"/>
        </w:rPr>
        <w:t>未来一年多，欧元区银行只要提供合格抵押品，就能从欧央行获得无限量的流动性。</w:t>
      </w:r>
      <w:r w:rsidR="002D03E8">
        <w:rPr>
          <w:rFonts w:eastAsia="楷体_GB2312" w:hint="eastAsia"/>
          <w:color w:val="auto"/>
        </w:rPr>
        <w:t>在美国</w:t>
      </w:r>
      <w:r w:rsidR="002D03E8">
        <w:rPr>
          <w:rFonts w:eastAsia="楷体_GB2312" w:hint="eastAsia"/>
          <w:color w:val="auto"/>
        </w:rPr>
        <w:t>QE</w:t>
      </w:r>
      <w:r w:rsidR="002D03E8">
        <w:rPr>
          <w:rFonts w:eastAsia="楷体_GB2312" w:hint="eastAsia"/>
          <w:color w:val="auto"/>
        </w:rPr>
        <w:t>退出背景下，不排除欧版“</w:t>
      </w:r>
      <w:r w:rsidR="002D03E8">
        <w:rPr>
          <w:rFonts w:eastAsia="楷体_GB2312" w:hint="eastAsia"/>
          <w:color w:val="auto"/>
        </w:rPr>
        <w:t>QE</w:t>
      </w:r>
      <w:r w:rsidR="002D03E8">
        <w:rPr>
          <w:rFonts w:eastAsia="楷体_GB2312" w:hint="eastAsia"/>
          <w:color w:val="auto"/>
        </w:rPr>
        <w:t>”的可能。</w:t>
      </w:r>
    </w:p>
    <w:p w:rsidR="00381624" w:rsidRPr="00A56288" w:rsidRDefault="00A56288" w:rsidP="001022E0">
      <w:pPr>
        <w:pStyle w:val="ab"/>
        <w:numPr>
          <w:ilvl w:val="5"/>
          <w:numId w:val="2"/>
        </w:numPr>
        <w:spacing w:after="163"/>
        <w:ind w:left="4140" w:hanging="369"/>
        <w:rPr>
          <w:rFonts w:eastAsia="楷体_GB2312"/>
          <w:color w:val="auto"/>
        </w:rPr>
      </w:pPr>
      <w:r w:rsidRPr="00A56288">
        <w:rPr>
          <w:rFonts w:eastAsia="楷体_GB2312" w:hint="eastAsia"/>
          <w:color w:val="auto"/>
        </w:rPr>
        <w:t>但是，欧元区成员国间的复苏并不平衡，德国一枝独秀，法国、西班牙表现尚可，意大利等国则仍压力重重，这将对欧元区的</w:t>
      </w:r>
      <w:r w:rsidR="00641EA5">
        <w:rPr>
          <w:rFonts w:eastAsia="楷体_GB2312" w:hint="eastAsia"/>
          <w:color w:val="auto"/>
        </w:rPr>
        <w:t>统一</w:t>
      </w:r>
      <w:r w:rsidRPr="00A56288">
        <w:rPr>
          <w:rFonts w:eastAsia="楷体_GB2312" w:hint="eastAsia"/>
          <w:color w:val="auto"/>
        </w:rPr>
        <w:t>政策实施带来一定的障碍。另外</w:t>
      </w:r>
      <w:r w:rsidR="00450577" w:rsidRPr="00A56288">
        <w:rPr>
          <w:rFonts w:eastAsia="楷体_GB2312" w:hint="eastAsia"/>
          <w:color w:val="auto"/>
        </w:rPr>
        <w:t>，</w:t>
      </w:r>
      <w:r w:rsidR="00187DCA" w:rsidRPr="00A56288">
        <w:rPr>
          <w:rFonts w:eastAsia="楷体_GB2312" w:hint="eastAsia"/>
          <w:color w:val="auto"/>
        </w:rPr>
        <w:t>由于高失业率以及较低的收入增长</w:t>
      </w:r>
      <w:r w:rsidR="00084317" w:rsidRPr="00A56288">
        <w:rPr>
          <w:rFonts w:eastAsia="楷体_GB2312" w:hint="eastAsia"/>
          <w:color w:val="auto"/>
        </w:rPr>
        <w:t>，欧元区消费处于较低水平，</w:t>
      </w:r>
      <w:r w:rsidR="001022E0" w:rsidRPr="00A56288">
        <w:rPr>
          <w:rFonts w:eastAsia="楷体_GB2312" w:hint="eastAsia"/>
          <w:color w:val="auto"/>
        </w:rPr>
        <w:t>欧元区</w:t>
      </w:r>
      <w:r w:rsidR="001022E0" w:rsidRPr="00A56288">
        <w:rPr>
          <w:rFonts w:eastAsia="楷体_GB2312" w:hint="eastAsia"/>
          <w:color w:val="auto"/>
        </w:rPr>
        <w:t>11</w:t>
      </w:r>
      <w:r w:rsidR="001022E0" w:rsidRPr="00A56288">
        <w:rPr>
          <w:rFonts w:eastAsia="楷体_GB2312" w:hint="eastAsia"/>
          <w:color w:val="auto"/>
        </w:rPr>
        <w:t>月消费者信心指数进一步下滑至</w:t>
      </w:r>
      <w:r w:rsidR="001022E0" w:rsidRPr="00A56288">
        <w:rPr>
          <w:rFonts w:eastAsia="楷体_GB2312" w:hint="eastAsia"/>
          <w:color w:val="auto"/>
        </w:rPr>
        <w:t>-15.4</w:t>
      </w:r>
      <w:r w:rsidR="001022E0" w:rsidRPr="00A56288">
        <w:rPr>
          <w:rFonts w:eastAsia="楷体_GB2312" w:hint="eastAsia"/>
          <w:color w:val="auto"/>
        </w:rPr>
        <w:t>（</w:t>
      </w:r>
      <w:r w:rsidR="001022E0" w:rsidRPr="00A56288">
        <w:rPr>
          <w:rFonts w:eastAsia="楷体_GB2312" w:hint="eastAsia"/>
          <w:color w:val="auto"/>
        </w:rPr>
        <w:t>10</w:t>
      </w:r>
      <w:r w:rsidR="001022E0" w:rsidRPr="00A56288">
        <w:rPr>
          <w:rFonts w:eastAsia="楷体_GB2312" w:hint="eastAsia"/>
          <w:color w:val="auto"/>
        </w:rPr>
        <w:t>月消费者信心指数为</w:t>
      </w:r>
      <w:r w:rsidR="001022E0" w:rsidRPr="00A56288">
        <w:rPr>
          <w:rFonts w:eastAsia="楷体_GB2312" w:hint="eastAsia"/>
          <w:color w:val="auto"/>
        </w:rPr>
        <w:t>-14.5</w:t>
      </w:r>
      <w:r w:rsidR="001022E0" w:rsidRPr="00A56288">
        <w:rPr>
          <w:rFonts w:eastAsia="楷体_GB2312" w:hint="eastAsia"/>
          <w:color w:val="auto"/>
        </w:rPr>
        <w:t>）。</w:t>
      </w:r>
      <w:r w:rsidRPr="00A56288">
        <w:rPr>
          <w:rFonts w:eastAsia="楷体_GB2312" w:hint="eastAsia"/>
          <w:color w:val="auto"/>
        </w:rPr>
        <w:t>而</w:t>
      </w:r>
      <w:r>
        <w:rPr>
          <w:rFonts w:eastAsia="楷体_GB2312" w:hint="eastAsia"/>
          <w:color w:val="auto"/>
        </w:rPr>
        <w:t>且，</w:t>
      </w:r>
      <w:r w:rsidRPr="00A56288">
        <w:rPr>
          <w:rFonts w:eastAsia="楷体_GB2312" w:hint="eastAsia"/>
          <w:color w:val="auto"/>
        </w:rPr>
        <w:t>相对较紧的财政政策，也将对投资生产形成压制。</w:t>
      </w:r>
    </w:p>
    <w:p w:rsidR="00525FCF" w:rsidRDefault="00A710EB" w:rsidP="00AD3C64">
      <w:pPr>
        <w:pStyle w:val="ab"/>
        <w:numPr>
          <w:ilvl w:val="4"/>
          <w:numId w:val="1"/>
        </w:numPr>
        <w:spacing w:after="163"/>
        <w:rPr>
          <w:rFonts w:eastAsia="楷体_GB2312"/>
          <w:color w:val="auto"/>
        </w:rPr>
      </w:pPr>
      <w:r>
        <w:rPr>
          <w:rFonts w:eastAsia="楷体_GB2312" w:hint="eastAsia"/>
          <w:color w:val="auto"/>
        </w:rPr>
        <w:t>2013</w:t>
      </w:r>
      <w:r>
        <w:rPr>
          <w:rFonts w:eastAsia="楷体_GB2312" w:hint="eastAsia"/>
          <w:color w:val="auto"/>
        </w:rPr>
        <w:t>年下半年，</w:t>
      </w:r>
      <w:r w:rsidR="00525FCF" w:rsidRPr="00085655">
        <w:rPr>
          <w:rFonts w:eastAsia="楷体_GB2312" w:hint="eastAsia"/>
          <w:color w:val="auto"/>
        </w:rPr>
        <w:t>全球资金流动呈现从债券资产流向风险资产的特征，其中欧洲市场更是在过去长达五个月的时间内持续获得了资金流入。在</w:t>
      </w:r>
      <w:r>
        <w:rPr>
          <w:rFonts w:eastAsia="楷体_GB2312" w:hint="eastAsia"/>
          <w:color w:val="auto"/>
        </w:rPr>
        <w:t>资本市场</w:t>
      </w:r>
      <w:r w:rsidR="00525FCF" w:rsidRPr="00085655">
        <w:rPr>
          <w:rFonts w:eastAsia="楷体_GB2312" w:hint="eastAsia"/>
          <w:color w:val="auto"/>
        </w:rPr>
        <w:t>指数接近或创出三年高点的情况下，</w:t>
      </w:r>
      <w:r>
        <w:rPr>
          <w:rFonts w:eastAsia="楷体_GB2312" w:hint="eastAsia"/>
          <w:color w:val="auto"/>
        </w:rPr>
        <w:t>后续</w:t>
      </w:r>
      <w:r w:rsidR="00525FCF" w:rsidRPr="00085655">
        <w:rPr>
          <w:rFonts w:eastAsia="楷体_GB2312" w:hint="eastAsia"/>
          <w:color w:val="auto"/>
        </w:rPr>
        <w:t>资金对市场的推动效用或将有所降低</w:t>
      </w:r>
      <w:r w:rsidR="008930F3">
        <w:rPr>
          <w:rFonts w:eastAsia="楷体_GB2312" w:hint="eastAsia"/>
          <w:color w:val="auto"/>
        </w:rPr>
        <w:t>，而欧元相对美元</w:t>
      </w:r>
      <w:r w:rsidR="00F259ED">
        <w:rPr>
          <w:rFonts w:eastAsia="楷体_GB2312" w:hint="eastAsia"/>
          <w:color w:val="auto"/>
        </w:rPr>
        <w:t>贬值风险</w:t>
      </w:r>
      <w:r w:rsidR="007B57FB">
        <w:rPr>
          <w:rFonts w:eastAsia="楷体_GB2312" w:hint="eastAsia"/>
          <w:color w:val="auto"/>
        </w:rPr>
        <w:t>或引发</w:t>
      </w:r>
      <w:r w:rsidR="00F259ED">
        <w:rPr>
          <w:rFonts w:eastAsia="楷体_GB2312" w:hint="eastAsia"/>
          <w:color w:val="auto"/>
        </w:rPr>
        <w:t>欧洲市场</w:t>
      </w:r>
      <w:r w:rsidR="007B57FB">
        <w:rPr>
          <w:rFonts w:eastAsia="楷体_GB2312" w:hint="eastAsia"/>
          <w:color w:val="auto"/>
        </w:rPr>
        <w:t>波动</w:t>
      </w:r>
      <w:r w:rsidR="008930F3" w:rsidRPr="008930F3">
        <w:rPr>
          <w:rFonts w:eastAsia="楷体_GB2312" w:hint="eastAsia"/>
          <w:color w:val="auto"/>
        </w:rPr>
        <w:t>，风险及收益或高于美股。</w:t>
      </w:r>
    </w:p>
    <w:tbl>
      <w:tblPr>
        <w:tblW w:w="10771" w:type="dxa"/>
        <w:tblLayout w:type="fixed"/>
        <w:tblCellMar>
          <w:left w:w="0" w:type="dxa"/>
          <w:right w:w="0" w:type="dxa"/>
        </w:tblCellMar>
        <w:tblLook w:val="0000"/>
      </w:tblPr>
      <w:tblGrid>
        <w:gridCol w:w="5272"/>
        <w:gridCol w:w="227"/>
        <w:gridCol w:w="5272"/>
      </w:tblGrid>
      <w:tr w:rsidR="00076C93" w:rsidRPr="00837084" w:rsidTr="00CF379C">
        <w:trPr>
          <w:cantSplit/>
          <w:trHeight w:val="368"/>
        </w:trPr>
        <w:tc>
          <w:tcPr>
            <w:tcW w:w="5272" w:type="dxa"/>
            <w:tcBorders>
              <w:top w:val="single" w:sz="6" w:space="0" w:color="FF6600"/>
              <w:bottom w:val="single" w:sz="6" w:space="0" w:color="FF6600"/>
            </w:tcBorders>
            <w:shd w:val="clear" w:color="auto" w:fill="auto"/>
            <w:vAlign w:val="center"/>
          </w:tcPr>
          <w:p w:rsidR="00076C93" w:rsidRDefault="00076C93" w:rsidP="00076C93">
            <w:pPr>
              <w:pStyle w:val="SubTitleLargeTable"/>
              <w:pBdr>
                <w:top w:val="none" w:sz="0" w:space="0" w:color="auto"/>
              </w:pBdr>
            </w:pPr>
            <w:r w:rsidRPr="00426354">
              <w:rPr>
                <w:rFonts w:eastAsia="楷体_GB2312"/>
                <w:color w:val="FF6600"/>
              </w:rPr>
              <w:t>图表</w:t>
            </w:r>
            <w:r>
              <w:rPr>
                <w:rFonts w:eastAsia="楷体_GB2312" w:hint="eastAsia"/>
                <w:color w:val="FF6600"/>
              </w:rPr>
              <w:t>6</w:t>
            </w:r>
            <w:r w:rsidRPr="00426354">
              <w:rPr>
                <w:rFonts w:eastAsia="楷体_GB2312" w:hint="eastAsia"/>
                <w:color w:val="FF6600"/>
              </w:rPr>
              <w:t>：</w:t>
            </w:r>
            <w:r w:rsidR="005D5F64">
              <w:rPr>
                <w:rFonts w:eastAsia="楷体_GB2312" w:hint="eastAsia"/>
                <w:color w:val="FF6600"/>
              </w:rPr>
              <w:t>欧元区经济领先指标走势</w:t>
            </w:r>
          </w:p>
        </w:tc>
        <w:tc>
          <w:tcPr>
            <w:tcW w:w="227" w:type="dxa"/>
            <w:vAlign w:val="center"/>
          </w:tcPr>
          <w:p w:rsidR="00076C93" w:rsidRPr="00837084" w:rsidRDefault="00076C93" w:rsidP="00CF379C">
            <w:pPr>
              <w:jc w:val="center"/>
            </w:pPr>
          </w:p>
        </w:tc>
        <w:tc>
          <w:tcPr>
            <w:tcW w:w="5272" w:type="dxa"/>
            <w:tcBorders>
              <w:top w:val="single" w:sz="6" w:space="0" w:color="FF6600"/>
              <w:bottom w:val="single" w:sz="6" w:space="0" w:color="FF6600"/>
            </w:tcBorders>
            <w:shd w:val="clear" w:color="auto" w:fill="auto"/>
            <w:vAlign w:val="center"/>
          </w:tcPr>
          <w:p w:rsidR="00076C93" w:rsidRPr="00F12D44" w:rsidRDefault="00076C93" w:rsidP="00076C93">
            <w:pPr>
              <w:pStyle w:val="SubTitleLargeTable"/>
              <w:pBdr>
                <w:top w:val="none" w:sz="0" w:space="0" w:color="auto"/>
              </w:pBdr>
            </w:pPr>
            <w:r w:rsidRPr="00426354">
              <w:rPr>
                <w:rFonts w:eastAsia="楷体_GB2312"/>
                <w:color w:val="FF6600"/>
              </w:rPr>
              <w:t>图表</w:t>
            </w:r>
            <w:r>
              <w:rPr>
                <w:rFonts w:eastAsia="楷体_GB2312" w:hint="eastAsia"/>
                <w:color w:val="FF6600"/>
              </w:rPr>
              <w:t>7</w:t>
            </w:r>
            <w:r w:rsidRPr="00426354">
              <w:rPr>
                <w:rFonts w:eastAsia="楷体_GB2312" w:hint="eastAsia"/>
                <w:color w:val="FF6600"/>
              </w:rPr>
              <w:t>：</w:t>
            </w:r>
            <w:r w:rsidR="005D5F64">
              <w:rPr>
                <w:rFonts w:eastAsia="楷体_GB2312" w:hint="eastAsia"/>
                <w:color w:val="FF6600"/>
              </w:rPr>
              <w:t>欧元区</w:t>
            </w:r>
            <w:r w:rsidR="005D5F64">
              <w:rPr>
                <w:rFonts w:eastAsia="楷体_GB2312" w:hint="eastAsia"/>
                <w:color w:val="FF6600"/>
              </w:rPr>
              <w:t>CPI</w:t>
            </w:r>
            <w:r w:rsidR="005D5F64">
              <w:rPr>
                <w:rFonts w:eastAsia="楷体_GB2312" w:hint="eastAsia"/>
                <w:color w:val="FF6600"/>
              </w:rPr>
              <w:t>及失业率情况</w:t>
            </w:r>
          </w:p>
        </w:tc>
      </w:tr>
      <w:tr w:rsidR="00076C93" w:rsidRPr="00837084" w:rsidTr="00CF379C">
        <w:trPr>
          <w:cantSplit/>
          <w:trHeight w:val="3016"/>
        </w:trPr>
        <w:tc>
          <w:tcPr>
            <w:tcW w:w="5272" w:type="dxa"/>
            <w:tcBorders>
              <w:top w:val="single" w:sz="6" w:space="0" w:color="FF6600"/>
              <w:bottom w:val="single" w:sz="6" w:space="0" w:color="FF6600"/>
            </w:tcBorders>
            <w:shd w:val="clear" w:color="auto" w:fill="auto"/>
            <w:vAlign w:val="center"/>
          </w:tcPr>
          <w:p w:rsidR="00076C93" w:rsidRDefault="00D52F0E" w:rsidP="00CF379C">
            <w:pPr>
              <w:jc w:val="center"/>
            </w:pPr>
            <w:r>
              <w:rPr>
                <w:noProof/>
              </w:rPr>
              <w:drawing>
                <wp:inline distT="0" distB="0" distL="0" distR="0">
                  <wp:extent cx="3343275" cy="169545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343275" cy="1695450"/>
                          </a:xfrm>
                          <a:prstGeom prst="rect">
                            <a:avLst/>
                          </a:prstGeom>
                          <a:noFill/>
                          <a:ln w="9525">
                            <a:noFill/>
                            <a:miter lim="800000"/>
                            <a:headEnd/>
                            <a:tailEnd/>
                          </a:ln>
                        </pic:spPr>
                      </pic:pic>
                    </a:graphicData>
                  </a:graphic>
                </wp:inline>
              </w:drawing>
            </w:r>
          </w:p>
        </w:tc>
        <w:tc>
          <w:tcPr>
            <w:tcW w:w="227" w:type="dxa"/>
            <w:vAlign w:val="center"/>
          </w:tcPr>
          <w:p w:rsidR="00076C93" w:rsidRPr="00837084" w:rsidRDefault="00076C93" w:rsidP="00CF379C">
            <w:pPr>
              <w:jc w:val="center"/>
            </w:pPr>
          </w:p>
        </w:tc>
        <w:tc>
          <w:tcPr>
            <w:tcW w:w="5272" w:type="dxa"/>
            <w:tcBorders>
              <w:top w:val="single" w:sz="6" w:space="0" w:color="FF6600"/>
              <w:bottom w:val="single" w:sz="6" w:space="0" w:color="FF6600"/>
            </w:tcBorders>
            <w:shd w:val="clear" w:color="auto" w:fill="auto"/>
            <w:vAlign w:val="center"/>
          </w:tcPr>
          <w:p w:rsidR="00076C93" w:rsidRPr="00F12D44" w:rsidRDefault="005374AF" w:rsidP="00CF379C">
            <w:pPr>
              <w:jc w:val="center"/>
            </w:pPr>
            <w:r>
              <w:rPr>
                <w:noProof/>
              </w:rPr>
              <w:drawing>
                <wp:inline distT="0" distB="0" distL="0" distR="0">
                  <wp:extent cx="3343275" cy="1809750"/>
                  <wp:effectExtent l="1905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3343275" cy="1809750"/>
                          </a:xfrm>
                          <a:prstGeom prst="rect">
                            <a:avLst/>
                          </a:prstGeom>
                          <a:noFill/>
                          <a:ln w="9525">
                            <a:noFill/>
                            <a:miter lim="800000"/>
                            <a:headEnd/>
                            <a:tailEnd/>
                          </a:ln>
                        </pic:spPr>
                      </pic:pic>
                    </a:graphicData>
                  </a:graphic>
                </wp:inline>
              </w:drawing>
            </w:r>
          </w:p>
        </w:tc>
      </w:tr>
    </w:tbl>
    <w:p w:rsidR="00076C93" w:rsidRPr="00076C93" w:rsidRDefault="00076C93" w:rsidP="00076C93">
      <w:pPr>
        <w:pStyle w:val="FootnoteNoline"/>
        <w:ind w:left="0"/>
        <w:rPr>
          <w:rFonts w:eastAsia="楷体_GB2312"/>
          <w:color w:val="auto"/>
        </w:rPr>
      </w:pPr>
      <w:r w:rsidRPr="00426354">
        <w:rPr>
          <w:rFonts w:eastAsia="楷体_GB2312" w:hint="eastAsia"/>
          <w:color w:val="FF6600"/>
        </w:rPr>
        <w:t>来源：凯石财富工场</w:t>
      </w:r>
      <w:r w:rsidRPr="00426354">
        <w:rPr>
          <w:rFonts w:eastAsia="楷体_GB2312" w:hint="eastAsia"/>
          <w:color w:val="FF6600"/>
        </w:rPr>
        <w:t xml:space="preserve"> wind </w:t>
      </w:r>
    </w:p>
    <w:p w:rsidR="00A70401" w:rsidRPr="00085655" w:rsidRDefault="00A70401" w:rsidP="00A70401">
      <w:pPr>
        <w:widowControl/>
        <w:spacing w:after="120" w:line="240" w:lineRule="exact"/>
        <w:ind w:left="3430"/>
        <w:rPr>
          <w:rFonts w:ascii="Arial" w:eastAsia="楷体_GB2312" w:hAnsi="Arial" w:cs="Times New Roman"/>
          <w:b/>
          <w:bCs/>
          <w:color w:val="0070C0"/>
          <w:kern w:val="0"/>
          <w:sz w:val="24"/>
          <w:szCs w:val="20"/>
          <w:lang w:val="en-GB"/>
        </w:rPr>
      </w:pPr>
      <w:r w:rsidRPr="00085655">
        <w:rPr>
          <w:rFonts w:ascii="Arial" w:eastAsia="楷体_GB2312" w:hAnsi="Arial" w:cs="Times New Roman" w:hint="eastAsia"/>
          <w:b/>
          <w:bCs/>
          <w:color w:val="0070C0"/>
          <w:kern w:val="0"/>
          <w:sz w:val="24"/>
          <w:szCs w:val="20"/>
          <w:lang w:val="en-GB"/>
        </w:rPr>
        <w:t>新兴市场：</w:t>
      </w:r>
      <w:r w:rsidR="000E63CE" w:rsidRPr="00085655">
        <w:rPr>
          <w:rFonts w:ascii="Arial" w:eastAsia="楷体_GB2312" w:hAnsi="Arial" w:cs="Times New Roman" w:hint="eastAsia"/>
          <w:b/>
          <w:bCs/>
          <w:color w:val="0070C0"/>
          <w:kern w:val="0"/>
          <w:sz w:val="24"/>
          <w:szCs w:val="20"/>
          <w:lang w:val="en-GB"/>
        </w:rPr>
        <w:t>QE</w:t>
      </w:r>
      <w:r w:rsidR="000E63CE" w:rsidRPr="00085655">
        <w:rPr>
          <w:rFonts w:ascii="Arial" w:eastAsia="楷体_GB2312" w:hAnsi="Arial" w:cs="Times New Roman" w:hint="eastAsia"/>
          <w:b/>
          <w:bCs/>
          <w:color w:val="0070C0"/>
          <w:kern w:val="0"/>
          <w:sz w:val="24"/>
          <w:szCs w:val="20"/>
          <w:lang w:val="en-GB"/>
        </w:rPr>
        <w:t>退出</w:t>
      </w:r>
      <w:r w:rsidR="00231D69">
        <w:rPr>
          <w:rFonts w:ascii="Arial" w:eastAsia="楷体_GB2312" w:hAnsi="Arial" w:cs="Times New Roman" w:hint="eastAsia"/>
          <w:b/>
          <w:bCs/>
          <w:color w:val="0070C0"/>
          <w:kern w:val="0"/>
          <w:sz w:val="24"/>
          <w:szCs w:val="20"/>
          <w:lang w:val="en-GB"/>
        </w:rPr>
        <w:t>冲击</w:t>
      </w:r>
      <w:r w:rsidR="000E63CE" w:rsidRPr="00085655">
        <w:rPr>
          <w:rFonts w:ascii="Arial" w:eastAsia="楷体_GB2312" w:hAnsi="Arial" w:cs="Times New Roman" w:hint="eastAsia"/>
          <w:b/>
          <w:bCs/>
          <w:color w:val="0070C0"/>
          <w:kern w:val="0"/>
          <w:sz w:val="24"/>
          <w:szCs w:val="20"/>
          <w:lang w:val="en-GB"/>
        </w:rPr>
        <w:t>不可低估，</w:t>
      </w:r>
      <w:r w:rsidR="00702532">
        <w:rPr>
          <w:rFonts w:ascii="Arial" w:eastAsia="楷体_GB2312" w:hAnsi="Arial" w:cs="Times New Roman" w:hint="eastAsia"/>
          <w:b/>
          <w:bCs/>
          <w:color w:val="0070C0"/>
          <w:kern w:val="0"/>
          <w:sz w:val="24"/>
          <w:szCs w:val="20"/>
          <w:lang w:val="en-GB"/>
        </w:rPr>
        <w:t>港股长期具有比较优势</w:t>
      </w:r>
    </w:p>
    <w:p w:rsidR="004343AF" w:rsidRPr="00085655" w:rsidRDefault="0098541B" w:rsidP="004343AF">
      <w:pPr>
        <w:pStyle w:val="ab"/>
        <w:numPr>
          <w:ilvl w:val="4"/>
          <w:numId w:val="1"/>
        </w:numPr>
        <w:spacing w:after="163"/>
        <w:rPr>
          <w:rFonts w:eastAsia="楷体_GB2312"/>
          <w:color w:val="auto"/>
        </w:rPr>
      </w:pPr>
      <w:r w:rsidRPr="0098541B">
        <w:rPr>
          <w:rFonts w:eastAsia="楷体_GB2312" w:hint="eastAsia"/>
          <w:color w:val="auto"/>
        </w:rPr>
        <w:t>国际货币基金组织（</w:t>
      </w:r>
      <w:r w:rsidRPr="0098541B">
        <w:rPr>
          <w:rFonts w:eastAsia="楷体_GB2312" w:hint="eastAsia"/>
          <w:color w:val="auto"/>
        </w:rPr>
        <w:t>IMF</w:t>
      </w:r>
      <w:r w:rsidRPr="0098541B">
        <w:rPr>
          <w:rFonts w:eastAsia="楷体_GB2312" w:hint="eastAsia"/>
          <w:color w:val="auto"/>
        </w:rPr>
        <w:t>）在最新发表的《世界经济展望》中</w:t>
      </w:r>
      <w:r>
        <w:rPr>
          <w:rFonts w:eastAsia="楷体_GB2312" w:hint="eastAsia"/>
          <w:color w:val="auto"/>
        </w:rPr>
        <w:t>预测，</w:t>
      </w:r>
      <w:r w:rsidR="004343AF" w:rsidRPr="00F642BE">
        <w:rPr>
          <w:rFonts w:eastAsia="楷体_GB2312" w:hint="eastAsia"/>
          <w:color w:val="auto"/>
        </w:rPr>
        <w:t>在强劲内需、出口恢复以及支持性财政、货币和金融条件的支持下，预计新兴市场和发展中国家的经济增长将保持强劲，</w:t>
      </w:r>
      <w:r w:rsidR="004343AF" w:rsidRPr="00F642BE">
        <w:rPr>
          <w:rFonts w:eastAsia="楷体_GB2312" w:hint="eastAsia"/>
          <w:color w:val="auto"/>
        </w:rPr>
        <w:t>2014</w:t>
      </w:r>
      <w:r>
        <w:rPr>
          <w:rFonts w:eastAsia="楷体_GB2312" w:hint="eastAsia"/>
          <w:color w:val="auto"/>
        </w:rPr>
        <w:t>年</w:t>
      </w:r>
      <w:r w:rsidR="004343AF" w:rsidRPr="00F642BE">
        <w:rPr>
          <w:rFonts w:eastAsia="楷体_GB2312" w:hint="eastAsia"/>
          <w:color w:val="auto"/>
        </w:rPr>
        <w:t>增长</w:t>
      </w:r>
      <w:r>
        <w:rPr>
          <w:rFonts w:eastAsia="楷体_GB2312" w:hint="eastAsia"/>
          <w:color w:val="auto"/>
        </w:rPr>
        <w:t>有望接近</w:t>
      </w:r>
      <w:r w:rsidR="004343AF" w:rsidRPr="00F642BE">
        <w:rPr>
          <w:rFonts w:eastAsia="楷体_GB2312" w:hint="eastAsia"/>
          <w:color w:val="auto"/>
        </w:rPr>
        <w:t>5%</w:t>
      </w:r>
      <w:r w:rsidR="004343AF" w:rsidRPr="00F642BE">
        <w:rPr>
          <w:rFonts w:eastAsia="楷体_GB2312" w:hint="eastAsia"/>
          <w:color w:val="auto"/>
        </w:rPr>
        <w:t>。</w:t>
      </w:r>
    </w:p>
    <w:p w:rsidR="004343AF" w:rsidRDefault="002B2023" w:rsidP="004343AF">
      <w:pPr>
        <w:pStyle w:val="ab"/>
        <w:numPr>
          <w:ilvl w:val="4"/>
          <w:numId w:val="1"/>
        </w:numPr>
        <w:spacing w:after="163"/>
        <w:rPr>
          <w:rFonts w:eastAsia="楷体_GB2312"/>
          <w:color w:val="auto"/>
        </w:rPr>
      </w:pPr>
      <w:r>
        <w:rPr>
          <w:rFonts w:eastAsia="楷体_GB2312" w:hint="eastAsia"/>
          <w:color w:val="auto"/>
        </w:rPr>
        <w:t>但是，</w:t>
      </w:r>
      <w:r w:rsidR="00C77E38" w:rsidRPr="00FF096C">
        <w:rPr>
          <w:rFonts w:eastAsia="楷体_GB2312" w:hint="eastAsia"/>
          <w:color w:val="auto"/>
        </w:rPr>
        <w:t>需要注意的是，</w:t>
      </w:r>
      <w:r w:rsidR="00A91CB8" w:rsidRPr="00FF096C">
        <w:rPr>
          <w:rFonts w:eastAsia="楷体_GB2312" w:hint="eastAsia"/>
          <w:color w:val="auto"/>
        </w:rPr>
        <w:t>历史经验显示，美国货币政策收紧都曾对</w:t>
      </w:r>
      <w:r w:rsidR="008E2ED3" w:rsidRPr="00FF096C">
        <w:rPr>
          <w:rFonts w:eastAsia="楷体_GB2312" w:hint="eastAsia"/>
          <w:color w:val="auto"/>
        </w:rPr>
        <w:t>部分</w:t>
      </w:r>
      <w:r w:rsidR="00A91CB8" w:rsidRPr="00FF096C">
        <w:rPr>
          <w:rFonts w:eastAsia="楷体_GB2312" w:hint="eastAsia"/>
          <w:color w:val="auto"/>
        </w:rPr>
        <w:t>新兴市场造成冲击，今年二季度末东南亚各国货币的大幅贬值以及新兴市场的暴跌仅仅是因为美联储缩减</w:t>
      </w:r>
      <w:r w:rsidR="00A91CB8" w:rsidRPr="00FF096C">
        <w:rPr>
          <w:rFonts w:eastAsia="楷体_GB2312" w:hint="eastAsia"/>
          <w:color w:val="auto"/>
        </w:rPr>
        <w:t>QE</w:t>
      </w:r>
      <w:r w:rsidR="00A91CB8" w:rsidRPr="00FF096C">
        <w:rPr>
          <w:rFonts w:eastAsia="楷体_GB2312" w:hint="eastAsia"/>
          <w:color w:val="auto"/>
        </w:rPr>
        <w:t>购债规模的预期所致。尽管</w:t>
      </w:r>
      <w:r w:rsidR="00A91CB8" w:rsidRPr="00FF096C">
        <w:rPr>
          <w:rFonts w:eastAsia="楷体_GB2312" w:hint="eastAsia"/>
          <w:color w:val="auto"/>
        </w:rPr>
        <w:t>QE</w:t>
      </w:r>
      <w:r w:rsidR="00A91CB8" w:rsidRPr="00FF096C">
        <w:rPr>
          <w:rFonts w:eastAsia="楷体_GB2312" w:hint="eastAsia"/>
          <w:color w:val="auto"/>
        </w:rPr>
        <w:t>退出</w:t>
      </w:r>
      <w:r w:rsidR="002E090F" w:rsidRPr="00FF096C">
        <w:rPr>
          <w:rFonts w:eastAsia="楷体_GB2312" w:hint="eastAsia"/>
          <w:color w:val="auto"/>
        </w:rPr>
        <w:t>采取循序渐进的方式，</w:t>
      </w:r>
      <w:r w:rsidR="00A91CB8" w:rsidRPr="00FF096C">
        <w:rPr>
          <w:rFonts w:eastAsia="楷体_GB2312" w:hint="eastAsia"/>
          <w:color w:val="auto"/>
        </w:rPr>
        <w:t>使得新兴经济体短期承受的压力有所缓解，但考虑到美国</w:t>
      </w:r>
      <w:r w:rsidR="00A91CB8" w:rsidRPr="00FF096C">
        <w:rPr>
          <w:rFonts w:eastAsia="楷体_GB2312" w:hint="eastAsia"/>
          <w:color w:val="auto"/>
        </w:rPr>
        <w:t>QE</w:t>
      </w:r>
      <w:r w:rsidR="00A91CB8" w:rsidRPr="00FF096C">
        <w:rPr>
          <w:rFonts w:eastAsia="楷体_GB2312" w:hint="eastAsia"/>
          <w:color w:val="auto"/>
        </w:rPr>
        <w:t>退出</w:t>
      </w:r>
      <w:r w:rsidR="007C20B0" w:rsidRPr="00FF096C">
        <w:rPr>
          <w:rFonts w:eastAsia="楷体_GB2312" w:hint="eastAsia"/>
          <w:color w:val="auto"/>
        </w:rPr>
        <w:t>的必然性</w:t>
      </w:r>
      <w:r w:rsidR="00A91CB8" w:rsidRPr="00FF096C">
        <w:rPr>
          <w:rFonts w:eastAsia="楷体_GB2312" w:hint="eastAsia"/>
          <w:color w:val="auto"/>
        </w:rPr>
        <w:t>，甚至未来将采取加息等一系列货币紧缩政策，新兴市场中</w:t>
      </w:r>
      <w:r w:rsidR="00911C9F">
        <w:rPr>
          <w:rFonts w:eastAsia="楷体_GB2312" w:hint="eastAsia"/>
          <w:color w:val="auto"/>
        </w:rPr>
        <w:t>长</w:t>
      </w:r>
      <w:r w:rsidR="00A91CB8" w:rsidRPr="00FF096C">
        <w:rPr>
          <w:rFonts w:eastAsia="楷体_GB2312" w:hint="eastAsia"/>
          <w:color w:val="auto"/>
        </w:rPr>
        <w:t>期</w:t>
      </w:r>
      <w:r w:rsidR="007C20B0" w:rsidRPr="00FF096C">
        <w:rPr>
          <w:rFonts w:eastAsia="楷体_GB2312" w:hint="eastAsia"/>
          <w:color w:val="auto"/>
        </w:rPr>
        <w:lastRenderedPageBreak/>
        <w:t>看</w:t>
      </w:r>
      <w:r w:rsidR="00635E4C" w:rsidRPr="00FF096C">
        <w:rPr>
          <w:rFonts w:eastAsia="楷体_GB2312" w:hint="eastAsia"/>
          <w:color w:val="auto"/>
        </w:rPr>
        <w:t>将遭受持续的资本流出冲击。</w:t>
      </w:r>
      <w:r w:rsidR="002E090F">
        <w:rPr>
          <w:rFonts w:eastAsia="楷体_GB2312" w:hint="eastAsia"/>
          <w:color w:val="auto"/>
        </w:rPr>
        <w:t>因此，</w:t>
      </w:r>
      <w:r w:rsidR="000A3F69" w:rsidRPr="00FF096C">
        <w:rPr>
          <w:rFonts w:eastAsia="楷体_GB2312" w:hint="eastAsia"/>
          <w:color w:val="auto"/>
        </w:rPr>
        <w:t>新兴市场</w:t>
      </w:r>
      <w:r w:rsidR="006D420B" w:rsidRPr="00FF096C">
        <w:rPr>
          <w:rFonts w:eastAsia="楷体_GB2312" w:hint="eastAsia"/>
          <w:color w:val="auto"/>
        </w:rPr>
        <w:t>2014</w:t>
      </w:r>
      <w:r w:rsidR="006D420B" w:rsidRPr="00FF096C">
        <w:rPr>
          <w:rFonts w:eastAsia="楷体_GB2312" w:hint="eastAsia"/>
          <w:color w:val="auto"/>
        </w:rPr>
        <w:t>年</w:t>
      </w:r>
      <w:r w:rsidR="000A3F69" w:rsidRPr="00FF096C">
        <w:rPr>
          <w:rFonts w:eastAsia="楷体_GB2312" w:hint="eastAsia"/>
          <w:color w:val="auto"/>
        </w:rPr>
        <w:t>表现将分化</w:t>
      </w:r>
      <w:r w:rsidR="002E090F">
        <w:rPr>
          <w:rFonts w:eastAsia="楷体_GB2312" w:hint="eastAsia"/>
          <w:color w:val="auto"/>
        </w:rPr>
        <w:t>，</w:t>
      </w:r>
      <w:r w:rsidR="009E2581" w:rsidRPr="00FF096C">
        <w:rPr>
          <w:rFonts w:eastAsia="楷体_GB2312" w:hint="eastAsia"/>
          <w:color w:val="auto"/>
        </w:rPr>
        <w:t>经济基本面</w:t>
      </w:r>
      <w:r w:rsidR="00635E4C" w:rsidRPr="00FF096C">
        <w:rPr>
          <w:rFonts w:eastAsia="楷体_GB2312" w:hint="eastAsia"/>
          <w:color w:val="auto"/>
        </w:rPr>
        <w:t>较好</w:t>
      </w:r>
      <w:r w:rsidR="009E2581" w:rsidRPr="00FF096C">
        <w:rPr>
          <w:rFonts w:eastAsia="楷体_GB2312" w:hint="eastAsia"/>
          <w:color w:val="auto"/>
        </w:rPr>
        <w:t>的新兴市场国家</w:t>
      </w:r>
      <w:r w:rsidR="001D7EE7" w:rsidRPr="00FF096C">
        <w:rPr>
          <w:rFonts w:eastAsia="楷体_GB2312" w:hint="eastAsia"/>
          <w:color w:val="auto"/>
        </w:rPr>
        <w:t>（如中国、俄罗斯等</w:t>
      </w:r>
      <w:r w:rsidR="006D420B" w:rsidRPr="00FF096C">
        <w:rPr>
          <w:rFonts w:eastAsia="楷体_GB2312" w:hint="eastAsia"/>
          <w:color w:val="auto"/>
        </w:rPr>
        <w:t>金砖国家</w:t>
      </w:r>
      <w:r w:rsidR="001D7EE7" w:rsidRPr="00FF096C">
        <w:rPr>
          <w:rFonts w:eastAsia="楷体_GB2312" w:hint="eastAsia"/>
          <w:color w:val="auto"/>
        </w:rPr>
        <w:t>）</w:t>
      </w:r>
      <w:r w:rsidR="009E2581" w:rsidRPr="00FF096C">
        <w:rPr>
          <w:rFonts w:eastAsia="楷体_GB2312" w:hint="eastAsia"/>
          <w:color w:val="auto"/>
        </w:rPr>
        <w:t>，</w:t>
      </w:r>
      <w:r w:rsidR="00635E4C" w:rsidRPr="00FF096C">
        <w:rPr>
          <w:rFonts w:eastAsia="楷体_GB2312" w:hint="eastAsia"/>
          <w:color w:val="auto"/>
        </w:rPr>
        <w:t>尤其是其中估值相对合理的证券市场，受到的冲击会相对较小，</w:t>
      </w:r>
      <w:r w:rsidR="001D7EE7" w:rsidRPr="00FF096C">
        <w:rPr>
          <w:rFonts w:eastAsia="楷体_GB2312" w:hint="eastAsia"/>
          <w:color w:val="auto"/>
        </w:rPr>
        <w:t>甚至获得一定的资金流入。</w:t>
      </w:r>
    </w:p>
    <w:p w:rsidR="002B2023" w:rsidRPr="00517732" w:rsidRDefault="00517732" w:rsidP="004343AF">
      <w:pPr>
        <w:pStyle w:val="ab"/>
        <w:numPr>
          <w:ilvl w:val="4"/>
          <w:numId w:val="1"/>
        </w:numPr>
        <w:spacing w:after="163"/>
        <w:rPr>
          <w:rFonts w:eastAsia="楷体_GB2312"/>
          <w:color w:val="auto"/>
        </w:rPr>
      </w:pPr>
      <w:r w:rsidRPr="00517732">
        <w:rPr>
          <w:rFonts w:eastAsia="楷体_GB2312" w:hint="eastAsia"/>
          <w:color w:val="auto"/>
        </w:rPr>
        <w:t>中国方面，</w:t>
      </w:r>
      <w:r w:rsidR="003772E3" w:rsidRPr="00517732">
        <w:rPr>
          <w:rFonts w:eastAsia="楷体_GB2312" w:hint="eastAsia"/>
          <w:color w:val="auto"/>
        </w:rPr>
        <w:t>中央经济工作会议则明确了</w:t>
      </w:r>
      <w:r w:rsidR="003772E3" w:rsidRPr="00517732">
        <w:rPr>
          <w:rFonts w:eastAsia="楷体_GB2312" w:hint="eastAsia"/>
          <w:color w:val="auto"/>
        </w:rPr>
        <w:t>2014</w:t>
      </w:r>
      <w:r w:rsidR="003772E3" w:rsidRPr="00517732">
        <w:rPr>
          <w:rFonts w:eastAsia="楷体_GB2312" w:hint="eastAsia"/>
          <w:color w:val="auto"/>
        </w:rPr>
        <w:t>年经济增长的具体路径，核心为兼顾改革推进和风险防范，即坚持稳中求进工作总基调，把改革创新贯穿于经济社会发展各个领域各个环节，保持宏观经济政策连续性和稳定性，努力实现经济发展质量和效益得到提高又不会带来后遗症。预计</w:t>
      </w:r>
      <w:r w:rsidR="003772E3" w:rsidRPr="00517732">
        <w:rPr>
          <w:rFonts w:eastAsia="楷体_GB2312" w:hint="eastAsia"/>
          <w:color w:val="auto"/>
        </w:rPr>
        <w:t>2014</w:t>
      </w:r>
      <w:r w:rsidR="003772E3" w:rsidRPr="00517732">
        <w:rPr>
          <w:rFonts w:eastAsia="楷体_GB2312" w:hint="eastAsia"/>
          <w:color w:val="auto"/>
        </w:rPr>
        <w:t>年中国经济总体增长有望保持稳定，其中改革推动下投资料将放缓，但全球经济复苏有望带来出口温和增长，消费升级下消费增速或将稳重有升，全年</w:t>
      </w:r>
      <w:r w:rsidR="003772E3" w:rsidRPr="00517732">
        <w:rPr>
          <w:rFonts w:eastAsia="楷体_GB2312" w:hint="eastAsia"/>
          <w:color w:val="auto"/>
        </w:rPr>
        <w:t>GDP</w:t>
      </w:r>
      <w:r w:rsidR="003772E3" w:rsidRPr="00517732">
        <w:rPr>
          <w:rFonts w:eastAsia="楷体_GB2312" w:hint="eastAsia"/>
          <w:color w:val="auto"/>
        </w:rPr>
        <w:t>增长或在</w:t>
      </w:r>
      <w:r w:rsidR="003772E3" w:rsidRPr="00517732">
        <w:rPr>
          <w:rFonts w:eastAsia="楷体_GB2312" w:hint="eastAsia"/>
          <w:color w:val="auto"/>
        </w:rPr>
        <w:t>7.5%</w:t>
      </w:r>
      <w:r w:rsidR="003772E3" w:rsidRPr="00517732">
        <w:rPr>
          <w:rFonts w:eastAsia="楷体_GB2312" w:hint="eastAsia"/>
          <w:color w:val="auto"/>
        </w:rPr>
        <w:t>上下，与</w:t>
      </w:r>
      <w:r w:rsidR="003772E3" w:rsidRPr="00517732">
        <w:rPr>
          <w:rFonts w:eastAsia="楷体_GB2312" w:hint="eastAsia"/>
          <w:color w:val="auto"/>
        </w:rPr>
        <w:t>2013</w:t>
      </w:r>
      <w:r w:rsidR="003772E3" w:rsidRPr="00517732">
        <w:rPr>
          <w:rFonts w:eastAsia="楷体_GB2312" w:hint="eastAsia"/>
          <w:color w:val="auto"/>
        </w:rPr>
        <w:t>年基本持平，</w:t>
      </w:r>
      <w:r w:rsidRPr="00517732">
        <w:rPr>
          <w:rFonts w:eastAsia="楷体_GB2312" w:hint="eastAsia"/>
          <w:color w:val="auto"/>
        </w:rPr>
        <w:t>并</w:t>
      </w:r>
      <w:r w:rsidR="003772E3" w:rsidRPr="00517732">
        <w:rPr>
          <w:rFonts w:eastAsia="楷体_GB2312" w:hint="eastAsia"/>
          <w:color w:val="auto"/>
        </w:rPr>
        <w:t>实现</w:t>
      </w:r>
      <w:r w:rsidRPr="00517732">
        <w:rPr>
          <w:rFonts w:eastAsia="楷体_GB2312" w:hint="eastAsia"/>
          <w:color w:val="auto"/>
        </w:rPr>
        <w:t>经济结构的</w:t>
      </w:r>
      <w:r w:rsidR="003772E3" w:rsidRPr="00517732">
        <w:rPr>
          <w:rFonts w:eastAsia="楷体_GB2312" w:hint="eastAsia"/>
          <w:color w:val="auto"/>
        </w:rPr>
        <w:t>适度调整。</w:t>
      </w:r>
    </w:p>
    <w:p w:rsidR="004D4829" w:rsidRDefault="00725597" w:rsidP="00725597">
      <w:pPr>
        <w:pStyle w:val="ab"/>
        <w:numPr>
          <w:ilvl w:val="4"/>
          <w:numId w:val="1"/>
        </w:numPr>
        <w:spacing w:after="163"/>
        <w:rPr>
          <w:rFonts w:eastAsia="楷体_GB2312"/>
          <w:color w:val="auto"/>
        </w:rPr>
      </w:pPr>
      <w:r>
        <w:rPr>
          <w:rFonts w:eastAsia="楷体_GB2312" w:hint="eastAsia"/>
          <w:color w:val="auto"/>
        </w:rPr>
        <w:t>目前，</w:t>
      </w:r>
      <w:r w:rsidR="00CB11ED">
        <w:rPr>
          <w:rFonts w:eastAsia="楷体_GB2312" w:hint="eastAsia"/>
          <w:color w:val="auto"/>
        </w:rPr>
        <w:t>恒生指数估值在</w:t>
      </w:r>
      <w:r w:rsidR="00CB11ED">
        <w:rPr>
          <w:rFonts w:eastAsia="楷体_GB2312" w:hint="eastAsia"/>
          <w:color w:val="auto"/>
        </w:rPr>
        <w:t>11</w:t>
      </w:r>
      <w:r w:rsidR="00CB11ED">
        <w:rPr>
          <w:rFonts w:eastAsia="楷体_GB2312" w:hint="eastAsia"/>
          <w:color w:val="auto"/>
        </w:rPr>
        <w:t>倍上下，低于历史</w:t>
      </w:r>
      <w:r w:rsidR="00CB11ED">
        <w:rPr>
          <w:rFonts w:eastAsia="楷体_GB2312" w:hint="eastAsia"/>
          <w:color w:val="auto"/>
        </w:rPr>
        <w:t>14-15</w:t>
      </w:r>
      <w:r w:rsidR="00CB11ED">
        <w:rPr>
          <w:rFonts w:eastAsia="楷体_GB2312" w:hint="eastAsia"/>
          <w:color w:val="auto"/>
        </w:rPr>
        <w:t>倍的均值水平，与其他资本市场相比具有吸引力</w:t>
      </w:r>
      <w:r>
        <w:rPr>
          <w:rFonts w:eastAsia="楷体_GB2312" w:hint="eastAsia"/>
          <w:color w:val="auto"/>
        </w:rPr>
        <w:t>，</w:t>
      </w:r>
      <w:r w:rsidR="00DE0832">
        <w:rPr>
          <w:rFonts w:eastAsia="楷体_GB2312" w:hint="eastAsia"/>
          <w:color w:val="auto"/>
        </w:rPr>
        <w:t>其中</w:t>
      </w:r>
      <w:r>
        <w:rPr>
          <w:rFonts w:eastAsia="楷体_GB2312" w:hint="eastAsia"/>
          <w:color w:val="auto"/>
        </w:rPr>
        <w:t>恒生</w:t>
      </w:r>
      <w:r>
        <w:rPr>
          <w:rFonts w:eastAsia="楷体_GB2312" w:hint="eastAsia"/>
          <w:color w:val="auto"/>
        </w:rPr>
        <w:t>AH</w:t>
      </w:r>
      <w:r>
        <w:rPr>
          <w:rFonts w:eastAsia="楷体_GB2312" w:hint="eastAsia"/>
          <w:color w:val="auto"/>
        </w:rPr>
        <w:t>股溢价指数亦处于</w:t>
      </w:r>
      <w:r>
        <w:rPr>
          <w:rFonts w:eastAsia="楷体_GB2312" w:hint="eastAsia"/>
          <w:color w:val="auto"/>
        </w:rPr>
        <w:t>95</w:t>
      </w:r>
      <w:r>
        <w:rPr>
          <w:rFonts w:eastAsia="楷体_GB2312" w:hint="eastAsia"/>
          <w:color w:val="auto"/>
        </w:rPr>
        <w:t>上下低位</w:t>
      </w:r>
      <w:r w:rsidR="00192CCD">
        <w:rPr>
          <w:rFonts w:eastAsia="楷体_GB2312" w:hint="eastAsia"/>
          <w:color w:val="auto"/>
        </w:rPr>
        <w:t>。随着</w:t>
      </w:r>
      <w:r w:rsidR="00192CCD">
        <w:rPr>
          <w:rFonts w:eastAsia="楷体_GB2312" w:hint="eastAsia"/>
          <w:color w:val="auto"/>
        </w:rPr>
        <w:t>QE</w:t>
      </w:r>
      <w:r w:rsidR="00192CCD">
        <w:rPr>
          <w:rFonts w:eastAsia="楷体_GB2312" w:hint="eastAsia"/>
          <w:color w:val="auto"/>
        </w:rPr>
        <w:t>退出冲击</w:t>
      </w:r>
      <w:r w:rsidR="00BF6DB3" w:rsidRPr="00BF6DB3">
        <w:rPr>
          <w:rFonts w:eastAsia="楷体_GB2312" w:hint="eastAsia"/>
          <w:color w:val="auto"/>
        </w:rPr>
        <w:t>告一段落</w:t>
      </w:r>
      <w:r w:rsidR="00BF6DB3">
        <w:rPr>
          <w:rFonts w:eastAsia="楷体_GB2312" w:hint="eastAsia"/>
          <w:color w:val="auto"/>
        </w:rPr>
        <w:t>，以及改革红利释放下中国经济以及相关企业业绩的逐步走强，港股的配置价值</w:t>
      </w:r>
      <w:r w:rsidR="000833A9">
        <w:rPr>
          <w:rFonts w:eastAsia="楷体_GB2312" w:hint="eastAsia"/>
          <w:color w:val="auto"/>
        </w:rPr>
        <w:t>将凸显，建议逐步增配港股</w:t>
      </w:r>
      <w:r w:rsidR="000E6661">
        <w:rPr>
          <w:rFonts w:eastAsia="楷体_GB2312" w:hint="eastAsia"/>
          <w:color w:val="auto"/>
        </w:rPr>
        <w:t>以及</w:t>
      </w:r>
      <w:r w:rsidR="000833A9">
        <w:rPr>
          <w:rFonts w:eastAsia="楷体_GB2312" w:hint="eastAsia"/>
          <w:color w:val="auto"/>
        </w:rPr>
        <w:t>相关产品。</w:t>
      </w:r>
    </w:p>
    <w:tbl>
      <w:tblPr>
        <w:tblW w:w="10771" w:type="dxa"/>
        <w:tblLayout w:type="fixed"/>
        <w:tblCellMar>
          <w:left w:w="0" w:type="dxa"/>
          <w:right w:w="0" w:type="dxa"/>
        </w:tblCellMar>
        <w:tblLook w:val="0000"/>
      </w:tblPr>
      <w:tblGrid>
        <w:gridCol w:w="5272"/>
        <w:gridCol w:w="227"/>
        <w:gridCol w:w="5272"/>
      </w:tblGrid>
      <w:tr w:rsidR="007C0F48" w:rsidRPr="00837084" w:rsidTr="002C20B1">
        <w:trPr>
          <w:cantSplit/>
          <w:trHeight w:val="368"/>
        </w:trPr>
        <w:tc>
          <w:tcPr>
            <w:tcW w:w="5272" w:type="dxa"/>
            <w:tcBorders>
              <w:top w:val="single" w:sz="6" w:space="0" w:color="FF6600"/>
              <w:bottom w:val="single" w:sz="6" w:space="0" w:color="FF6600"/>
            </w:tcBorders>
            <w:shd w:val="clear" w:color="auto" w:fill="auto"/>
            <w:vAlign w:val="center"/>
          </w:tcPr>
          <w:p w:rsidR="007C0F48" w:rsidRDefault="007C0F48" w:rsidP="002C20B1">
            <w:pPr>
              <w:pStyle w:val="SubTitleLargeTable"/>
              <w:pBdr>
                <w:top w:val="none" w:sz="0" w:space="0" w:color="auto"/>
              </w:pBdr>
            </w:pPr>
            <w:r w:rsidRPr="00426354">
              <w:rPr>
                <w:rFonts w:eastAsia="楷体_GB2312"/>
                <w:color w:val="FF6600"/>
              </w:rPr>
              <w:t>图表</w:t>
            </w:r>
            <w:r>
              <w:rPr>
                <w:rFonts w:eastAsia="楷体_GB2312" w:hint="eastAsia"/>
                <w:color w:val="FF6600"/>
              </w:rPr>
              <w:t>8</w:t>
            </w:r>
            <w:r w:rsidRPr="00426354">
              <w:rPr>
                <w:rFonts w:eastAsia="楷体_GB2312" w:hint="eastAsia"/>
                <w:color w:val="FF6600"/>
              </w:rPr>
              <w:t>：</w:t>
            </w:r>
            <w:r>
              <w:rPr>
                <w:rFonts w:eastAsia="楷体_GB2312" w:hint="eastAsia"/>
                <w:color w:val="FF6600"/>
              </w:rPr>
              <w:t>中国经济增长相关图表</w:t>
            </w:r>
          </w:p>
        </w:tc>
        <w:tc>
          <w:tcPr>
            <w:tcW w:w="227" w:type="dxa"/>
            <w:vAlign w:val="center"/>
          </w:tcPr>
          <w:p w:rsidR="007C0F48" w:rsidRPr="00837084" w:rsidRDefault="007C0F48" w:rsidP="002C20B1">
            <w:pPr>
              <w:jc w:val="center"/>
            </w:pPr>
          </w:p>
        </w:tc>
        <w:tc>
          <w:tcPr>
            <w:tcW w:w="5272" w:type="dxa"/>
            <w:tcBorders>
              <w:top w:val="single" w:sz="6" w:space="0" w:color="FF6600"/>
              <w:bottom w:val="single" w:sz="6" w:space="0" w:color="FF6600"/>
            </w:tcBorders>
            <w:shd w:val="clear" w:color="auto" w:fill="auto"/>
            <w:vAlign w:val="center"/>
          </w:tcPr>
          <w:p w:rsidR="007C0F48" w:rsidRPr="00F12D44" w:rsidRDefault="007C0F48" w:rsidP="002C20B1">
            <w:pPr>
              <w:pStyle w:val="SubTitleLargeTable"/>
              <w:pBdr>
                <w:top w:val="none" w:sz="0" w:space="0" w:color="auto"/>
              </w:pBdr>
            </w:pPr>
            <w:r w:rsidRPr="00426354">
              <w:rPr>
                <w:rFonts w:eastAsia="楷体_GB2312"/>
                <w:color w:val="FF6600"/>
              </w:rPr>
              <w:t>图表</w:t>
            </w:r>
            <w:r>
              <w:rPr>
                <w:rFonts w:eastAsia="楷体_GB2312" w:hint="eastAsia"/>
                <w:color w:val="FF6600"/>
              </w:rPr>
              <w:t>9</w:t>
            </w:r>
            <w:r w:rsidRPr="00426354">
              <w:rPr>
                <w:rFonts w:eastAsia="楷体_GB2312" w:hint="eastAsia"/>
                <w:color w:val="FF6600"/>
              </w:rPr>
              <w:t>：</w:t>
            </w:r>
            <w:r>
              <w:rPr>
                <w:rFonts w:eastAsia="楷体_GB2312" w:hint="eastAsia"/>
                <w:color w:val="FF6600"/>
              </w:rPr>
              <w:t>全球主要市场指数估值比较</w:t>
            </w:r>
          </w:p>
        </w:tc>
      </w:tr>
      <w:tr w:rsidR="007C0F48" w:rsidRPr="00837084" w:rsidTr="002C20B1">
        <w:trPr>
          <w:cantSplit/>
          <w:trHeight w:val="3016"/>
        </w:trPr>
        <w:tc>
          <w:tcPr>
            <w:tcW w:w="5272" w:type="dxa"/>
            <w:tcBorders>
              <w:top w:val="single" w:sz="6" w:space="0" w:color="FF6600"/>
              <w:bottom w:val="single" w:sz="6" w:space="0" w:color="FF6600"/>
            </w:tcBorders>
            <w:shd w:val="clear" w:color="auto" w:fill="auto"/>
            <w:vAlign w:val="center"/>
          </w:tcPr>
          <w:p w:rsidR="007C0F48" w:rsidRDefault="003772E3" w:rsidP="002C20B1">
            <w:pPr>
              <w:jc w:val="center"/>
            </w:pPr>
            <w:r w:rsidRPr="003772E3">
              <w:drawing>
                <wp:inline distT="0" distB="0" distL="0" distR="0">
                  <wp:extent cx="3343275" cy="1685925"/>
                  <wp:effectExtent l="1905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srcRect/>
                          <a:stretch>
                            <a:fillRect/>
                          </a:stretch>
                        </pic:blipFill>
                        <pic:spPr bwMode="auto">
                          <a:xfrm>
                            <a:off x="0" y="0"/>
                            <a:ext cx="3343275" cy="1685925"/>
                          </a:xfrm>
                          <a:prstGeom prst="rect">
                            <a:avLst/>
                          </a:prstGeom>
                          <a:noFill/>
                          <a:ln w="9525">
                            <a:noFill/>
                            <a:miter lim="800000"/>
                            <a:headEnd/>
                            <a:tailEnd/>
                          </a:ln>
                        </pic:spPr>
                      </pic:pic>
                    </a:graphicData>
                  </a:graphic>
                </wp:inline>
              </w:drawing>
            </w:r>
          </w:p>
        </w:tc>
        <w:tc>
          <w:tcPr>
            <w:tcW w:w="227" w:type="dxa"/>
            <w:vAlign w:val="center"/>
          </w:tcPr>
          <w:p w:rsidR="007C0F48" w:rsidRPr="00837084" w:rsidRDefault="007C0F48" w:rsidP="002C20B1">
            <w:pPr>
              <w:jc w:val="center"/>
            </w:pPr>
          </w:p>
        </w:tc>
        <w:tc>
          <w:tcPr>
            <w:tcW w:w="5272" w:type="dxa"/>
            <w:tcBorders>
              <w:top w:val="single" w:sz="6" w:space="0" w:color="FF6600"/>
              <w:bottom w:val="single" w:sz="6" w:space="0" w:color="FF6600"/>
            </w:tcBorders>
            <w:shd w:val="clear" w:color="auto" w:fill="auto"/>
            <w:vAlign w:val="center"/>
          </w:tcPr>
          <w:p w:rsidR="007C0F48" w:rsidRPr="00F12D44" w:rsidRDefault="007C0F48" w:rsidP="002C20B1">
            <w:pPr>
              <w:jc w:val="center"/>
            </w:pPr>
            <w:r>
              <w:rPr>
                <w:noProof/>
              </w:rPr>
              <w:drawing>
                <wp:inline distT="0" distB="0" distL="0" distR="0">
                  <wp:extent cx="3351853" cy="2015566"/>
                  <wp:effectExtent l="19050" t="0" r="947"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356340" cy="2018264"/>
                          </a:xfrm>
                          <a:prstGeom prst="rect">
                            <a:avLst/>
                          </a:prstGeom>
                          <a:noFill/>
                        </pic:spPr>
                      </pic:pic>
                    </a:graphicData>
                  </a:graphic>
                </wp:inline>
              </w:drawing>
            </w:r>
          </w:p>
        </w:tc>
      </w:tr>
    </w:tbl>
    <w:p w:rsidR="007C0F48" w:rsidRPr="00076C93" w:rsidRDefault="007C0F48" w:rsidP="007C0F48">
      <w:pPr>
        <w:pStyle w:val="FootnoteNoline"/>
        <w:ind w:left="0"/>
        <w:rPr>
          <w:rFonts w:eastAsia="楷体_GB2312"/>
          <w:color w:val="auto"/>
        </w:rPr>
      </w:pPr>
      <w:r w:rsidRPr="00426354">
        <w:rPr>
          <w:rFonts w:eastAsia="楷体_GB2312" w:hint="eastAsia"/>
          <w:color w:val="FF6600"/>
        </w:rPr>
        <w:t>来源：凯石财富工场</w:t>
      </w:r>
      <w:r w:rsidRPr="00426354">
        <w:rPr>
          <w:rFonts w:eastAsia="楷体_GB2312" w:hint="eastAsia"/>
          <w:color w:val="FF6600"/>
        </w:rPr>
        <w:t xml:space="preserve"> wind </w:t>
      </w:r>
      <w:r>
        <w:rPr>
          <w:rFonts w:eastAsia="楷体_GB2312" w:hint="eastAsia"/>
          <w:color w:val="FF6600"/>
        </w:rPr>
        <w:t>汤森路透</w:t>
      </w:r>
    </w:p>
    <w:p w:rsidR="00607330" w:rsidRPr="00085655" w:rsidRDefault="00607330" w:rsidP="00607330">
      <w:pPr>
        <w:widowControl/>
        <w:spacing w:after="120" w:line="240" w:lineRule="exact"/>
        <w:ind w:left="3430"/>
        <w:rPr>
          <w:rFonts w:ascii="Arial" w:eastAsia="楷体_GB2312" w:hAnsi="Arial" w:cs="Times New Roman"/>
          <w:b/>
          <w:bCs/>
          <w:color w:val="0070C0"/>
          <w:kern w:val="0"/>
          <w:sz w:val="24"/>
          <w:szCs w:val="20"/>
          <w:lang w:val="en-GB"/>
        </w:rPr>
      </w:pPr>
      <w:r w:rsidRPr="00085655">
        <w:rPr>
          <w:rFonts w:ascii="Arial" w:eastAsia="楷体_GB2312" w:hAnsi="Arial" w:cs="Times New Roman" w:hint="eastAsia"/>
          <w:b/>
          <w:bCs/>
          <w:color w:val="0070C0"/>
          <w:kern w:val="0"/>
          <w:sz w:val="24"/>
          <w:szCs w:val="20"/>
          <w:lang w:val="en-GB"/>
        </w:rPr>
        <w:t>商品市场：</w:t>
      </w:r>
      <w:r w:rsidR="00B222C6" w:rsidRPr="00085655">
        <w:rPr>
          <w:rFonts w:ascii="Arial" w:eastAsia="楷体_GB2312" w:hAnsi="Arial" w:cs="Times New Roman" w:hint="eastAsia"/>
          <w:b/>
          <w:bCs/>
          <w:color w:val="0070C0"/>
          <w:kern w:val="0"/>
          <w:sz w:val="24"/>
          <w:szCs w:val="20"/>
          <w:lang w:val="en-GB"/>
        </w:rPr>
        <w:t>吸引力</w:t>
      </w:r>
      <w:r w:rsidR="00C15C64">
        <w:rPr>
          <w:rFonts w:ascii="Arial" w:eastAsia="楷体_GB2312" w:hAnsi="Arial" w:cs="Times New Roman" w:hint="eastAsia"/>
          <w:b/>
          <w:bCs/>
          <w:color w:val="0070C0"/>
          <w:kern w:val="0"/>
          <w:sz w:val="24"/>
          <w:szCs w:val="20"/>
          <w:lang w:val="en-GB"/>
        </w:rPr>
        <w:t>仍</w:t>
      </w:r>
      <w:r w:rsidR="00B222C6" w:rsidRPr="00085655">
        <w:rPr>
          <w:rFonts w:ascii="Arial" w:eastAsia="楷体_GB2312" w:hAnsi="Arial" w:cs="Times New Roman" w:hint="eastAsia"/>
          <w:b/>
          <w:bCs/>
          <w:color w:val="0070C0"/>
          <w:kern w:val="0"/>
          <w:sz w:val="24"/>
          <w:szCs w:val="20"/>
          <w:lang w:val="en-GB"/>
        </w:rPr>
        <w:t>不高</w:t>
      </w:r>
      <w:r w:rsidR="00C15C64">
        <w:rPr>
          <w:rFonts w:ascii="Arial" w:eastAsia="楷体_GB2312" w:hAnsi="Arial" w:cs="Times New Roman" w:hint="eastAsia"/>
          <w:b/>
          <w:bCs/>
          <w:color w:val="0070C0"/>
          <w:kern w:val="0"/>
          <w:sz w:val="24"/>
          <w:szCs w:val="20"/>
          <w:lang w:val="en-GB"/>
        </w:rPr>
        <w:t>，总体保持</w:t>
      </w:r>
      <w:r w:rsidR="00AE310F">
        <w:rPr>
          <w:rFonts w:ascii="Arial" w:eastAsia="楷体_GB2312" w:hAnsi="Arial" w:cs="Times New Roman" w:hint="eastAsia"/>
          <w:b/>
          <w:bCs/>
          <w:color w:val="0070C0"/>
          <w:kern w:val="0"/>
          <w:sz w:val="24"/>
          <w:szCs w:val="20"/>
          <w:lang w:val="en-GB"/>
        </w:rPr>
        <w:t>中性</w:t>
      </w:r>
    </w:p>
    <w:p w:rsidR="002C298E" w:rsidRDefault="002C298E" w:rsidP="00607330">
      <w:pPr>
        <w:pStyle w:val="ab"/>
        <w:numPr>
          <w:ilvl w:val="4"/>
          <w:numId w:val="1"/>
        </w:numPr>
        <w:spacing w:after="163"/>
        <w:rPr>
          <w:rFonts w:eastAsia="楷体_GB2312"/>
          <w:color w:val="auto"/>
        </w:rPr>
      </w:pPr>
      <w:r>
        <w:rPr>
          <w:rFonts w:eastAsia="楷体_GB2312" w:hint="eastAsia"/>
          <w:color w:val="auto"/>
        </w:rPr>
        <w:t>结合</w:t>
      </w:r>
      <w:r>
        <w:rPr>
          <w:rFonts w:eastAsia="楷体_GB2312" w:hint="eastAsia"/>
          <w:color w:val="auto"/>
        </w:rPr>
        <w:t>QDII</w:t>
      </w:r>
      <w:r>
        <w:rPr>
          <w:rFonts w:eastAsia="楷体_GB2312" w:hint="eastAsia"/>
          <w:color w:val="auto"/>
        </w:rPr>
        <w:t>产品现状，我们主要从能源（主要原油）、贵金属等</w:t>
      </w:r>
      <w:r w:rsidR="0056688A">
        <w:rPr>
          <w:rFonts w:eastAsia="楷体_GB2312" w:hint="eastAsia"/>
          <w:color w:val="auto"/>
        </w:rPr>
        <w:t>商品</w:t>
      </w:r>
      <w:r>
        <w:rPr>
          <w:rFonts w:eastAsia="楷体_GB2312" w:hint="eastAsia"/>
          <w:color w:val="auto"/>
        </w:rPr>
        <w:t>角度阐述机会与风险</w:t>
      </w:r>
      <w:r w:rsidR="00041663">
        <w:rPr>
          <w:rFonts w:eastAsia="楷体_GB2312" w:hint="eastAsia"/>
          <w:color w:val="auto"/>
        </w:rPr>
        <w:t>。总体看，</w:t>
      </w:r>
      <w:r w:rsidR="00041663">
        <w:rPr>
          <w:rFonts w:eastAsia="楷体_GB2312" w:hint="eastAsia"/>
          <w:color w:val="auto"/>
        </w:rPr>
        <w:t>2014</w:t>
      </w:r>
      <w:r w:rsidR="00041663">
        <w:rPr>
          <w:rFonts w:eastAsia="楷体_GB2312" w:hint="eastAsia"/>
          <w:color w:val="auto"/>
        </w:rPr>
        <w:t>年上述商品市场尚缺乏</w:t>
      </w:r>
      <w:r w:rsidR="002A65DD">
        <w:rPr>
          <w:rFonts w:eastAsia="楷体_GB2312" w:hint="eastAsia"/>
          <w:color w:val="auto"/>
        </w:rPr>
        <w:t>显著</w:t>
      </w:r>
      <w:r w:rsidR="00041663">
        <w:rPr>
          <w:rFonts w:eastAsia="楷体_GB2312" w:hint="eastAsia"/>
          <w:color w:val="auto"/>
        </w:rPr>
        <w:t>投资机会。</w:t>
      </w:r>
    </w:p>
    <w:p w:rsidR="009C684E" w:rsidRPr="009C684E" w:rsidRDefault="009C684E" w:rsidP="002C298E">
      <w:pPr>
        <w:pStyle w:val="ab"/>
        <w:numPr>
          <w:ilvl w:val="5"/>
          <w:numId w:val="2"/>
        </w:numPr>
        <w:spacing w:after="163"/>
        <w:ind w:left="4140" w:hanging="369"/>
        <w:rPr>
          <w:rFonts w:eastAsia="楷体_GB2312"/>
          <w:color w:val="auto"/>
        </w:rPr>
      </w:pPr>
      <w:r>
        <w:rPr>
          <w:rFonts w:eastAsia="楷体_GB2312" w:hint="eastAsia"/>
          <w:color w:val="auto"/>
        </w:rPr>
        <w:t>原油：</w:t>
      </w:r>
      <w:r w:rsidR="005C5809">
        <w:rPr>
          <w:rFonts w:eastAsia="楷体_GB2312" w:hint="eastAsia"/>
          <w:color w:val="auto"/>
        </w:rPr>
        <w:t>中性。</w:t>
      </w:r>
      <w:r w:rsidRPr="009C684E">
        <w:rPr>
          <w:rFonts w:eastAsia="楷体_GB2312" w:hint="eastAsia"/>
          <w:color w:val="auto"/>
        </w:rPr>
        <w:t>短期看，美国本土原油产品持续扩张，原油库存继续增长。长期看，一方面，全球经济复苏温和，原油需求增长有限；另一方面，从美国能源开采相关预测数据看，页岩气产量有望保持较快增长，并继续压制原油、煤炭等能源价格；此外，伊朗与六国达成阶段性协议，承诺停止纯度</w:t>
      </w:r>
      <w:r w:rsidRPr="009C684E">
        <w:rPr>
          <w:rFonts w:eastAsia="楷体_GB2312" w:hint="eastAsia"/>
          <w:color w:val="auto"/>
        </w:rPr>
        <w:t>5%</w:t>
      </w:r>
      <w:r w:rsidRPr="009C684E">
        <w:rPr>
          <w:rFonts w:eastAsia="楷体_GB2312" w:hint="eastAsia"/>
          <w:color w:val="auto"/>
        </w:rPr>
        <w:t>以上浓缩铀活动，美国则相应放宽对伊朗总价约</w:t>
      </w:r>
      <w:r w:rsidRPr="009C684E">
        <w:rPr>
          <w:rFonts w:eastAsia="楷体_GB2312" w:hint="eastAsia"/>
          <w:color w:val="auto"/>
        </w:rPr>
        <w:t>70</w:t>
      </w:r>
      <w:r w:rsidRPr="009C684E">
        <w:rPr>
          <w:rFonts w:eastAsia="楷体_GB2312" w:hint="eastAsia"/>
          <w:color w:val="auto"/>
        </w:rPr>
        <w:t>亿美元的制裁措施，若协议能够最终履行，伊朗原油出口限制的放松，亦将对油价构成压制。</w:t>
      </w:r>
    </w:p>
    <w:p w:rsidR="00624902" w:rsidRPr="00085655" w:rsidRDefault="00624902" w:rsidP="00135D1D">
      <w:pPr>
        <w:pStyle w:val="ab"/>
        <w:numPr>
          <w:ilvl w:val="5"/>
          <w:numId w:val="2"/>
        </w:numPr>
        <w:spacing w:after="163"/>
        <w:ind w:left="4140" w:hanging="369"/>
        <w:rPr>
          <w:rFonts w:eastAsia="楷体_GB2312"/>
          <w:color w:val="auto"/>
        </w:rPr>
      </w:pPr>
      <w:r w:rsidRPr="00085655">
        <w:rPr>
          <w:rFonts w:eastAsia="楷体_GB2312" w:hint="eastAsia"/>
          <w:color w:val="auto"/>
        </w:rPr>
        <w:t>贵金属</w:t>
      </w:r>
      <w:r w:rsidR="009C684E">
        <w:rPr>
          <w:rFonts w:eastAsia="楷体_GB2312" w:hint="eastAsia"/>
          <w:color w:val="auto"/>
        </w:rPr>
        <w:t>：</w:t>
      </w:r>
      <w:r w:rsidR="007C5B38">
        <w:rPr>
          <w:rFonts w:eastAsia="楷体_GB2312" w:hint="eastAsia"/>
          <w:color w:val="auto"/>
        </w:rPr>
        <w:t>中性</w:t>
      </w:r>
      <w:r w:rsidR="005C5809">
        <w:rPr>
          <w:rFonts w:eastAsia="楷体_GB2312" w:hint="eastAsia"/>
          <w:color w:val="auto"/>
        </w:rPr>
        <w:t>。</w:t>
      </w:r>
      <w:r w:rsidR="00A15B84">
        <w:rPr>
          <w:rFonts w:eastAsia="楷体_GB2312" w:hint="eastAsia"/>
          <w:color w:val="auto"/>
        </w:rPr>
        <w:t>随着欧美经济的复苏以及</w:t>
      </w:r>
      <w:r w:rsidR="00A15B84">
        <w:rPr>
          <w:rFonts w:eastAsia="楷体_GB2312" w:hint="eastAsia"/>
          <w:color w:val="auto"/>
        </w:rPr>
        <w:t>QE</w:t>
      </w:r>
      <w:r w:rsidR="003B3B3E">
        <w:rPr>
          <w:rFonts w:eastAsia="楷体_GB2312" w:hint="eastAsia"/>
          <w:color w:val="auto"/>
        </w:rPr>
        <w:t>逐步</w:t>
      </w:r>
      <w:r w:rsidR="00A15B84">
        <w:rPr>
          <w:rFonts w:eastAsia="楷体_GB2312" w:hint="eastAsia"/>
          <w:color w:val="auto"/>
        </w:rPr>
        <w:t>退出，</w:t>
      </w:r>
      <w:r w:rsidR="00A15B84" w:rsidRPr="009B2201">
        <w:rPr>
          <w:rFonts w:eastAsia="楷体_GB2312" w:hint="eastAsia"/>
          <w:color w:val="auto"/>
        </w:rPr>
        <w:t>2014</w:t>
      </w:r>
      <w:r w:rsidR="00A15B84" w:rsidRPr="009B2201">
        <w:rPr>
          <w:rFonts w:eastAsia="楷体_GB2312" w:hint="eastAsia"/>
          <w:color w:val="auto"/>
        </w:rPr>
        <w:t>年美元有望小幅震荡上行，</w:t>
      </w:r>
      <w:r w:rsidR="006B3459">
        <w:rPr>
          <w:rFonts w:eastAsia="楷体_GB2312" w:hint="eastAsia"/>
          <w:color w:val="auto"/>
        </w:rPr>
        <w:t>从而对金价形成压制。不过，新兴经济体</w:t>
      </w:r>
      <w:r w:rsidR="00F5743A">
        <w:rPr>
          <w:rFonts w:eastAsia="楷体_GB2312" w:hint="eastAsia"/>
          <w:color w:val="auto"/>
        </w:rPr>
        <w:t>局部通胀的攀升，或带来对黄金避险需求的上升。综合来看，</w:t>
      </w:r>
      <w:r w:rsidR="007C5B38">
        <w:rPr>
          <w:rFonts w:eastAsia="楷体_GB2312" w:hint="eastAsia"/>
          <w:color w:val="auto"/>
        </w:rPr>
        <w:t>2014</w:t>
      </w:r>
      <w:r w:rsidR="007C5B38">
        <w:rPr>
          <w:rFonts w:eastAsia="楷体_GB2312" w:hint="eastAsia"/>
          <w:color w:val="auto"/>
        </w:rPr>
        <w:t>年以黄金为代表的贵金属价格难有大的起色。</w:t>
      </w:r>
    </w:p>
    <w:p w:rsidR="00A70401" w:rsidRPr="00940A07" w:rsidRDefault="00A70401" w:rsidP="00A70401">
      <w:pPr>
        <w:widowControl/>
        <w:spacing w:after="120" w:line="240" w:lineRule="exact"/>
        <w:ind w:left="3430"/>
        <w:rPr>
          <w:rFonts w:ascii="Arial" w:eastAsia="楷体_GB2312" w:hAnsi="Arial" w:cs="Times New Roman"/>
          <w:b/>
          <w:bCs/>
          <w:color w:val="0070C0"/>
          <w:kern w:val="0"/>
          <w:sz w:val="24"/>
          <w:szCs w:val="20"/>
          <w:lang w:val="en-GB"/>
        </w:rPr>
      </w:pPr>
      <w:r w:rsidRPr="00940A07">
        <w:rPr>
          <w:rFonts w:ascii="Arial" w:eastAsia="楷体_GB2312" w:hAnsi="Arial" w:cs="Times New Roman" w:hint="eastAsia"/>
          <w:b/>
          <w:bCs/>
          <w:color w:val="0070C0"/>
          <w:kern w:val="0"/>
          <w:sz w:val="24"/>
          <w:szCs w:val="20"/>
          <w:lang w:val="en-GB"/>
        </w:rPr>
        <w:t>QDII</w:t>
      </w:r>
      <w:r w:rsidRPr="00940A07">
        <w:rPr>
          <w:rFonts w:ascii="Arial" w:eastAsia="楷体_GB2312" w:hAnsi="Arial" w:cs="Times New Roman" w:hint="eastAsia"/>
          <w:b/>
          <w:bCs/>
          <w:color w:val="0070C0"/>
          <w:kern w:val="0"/>
          <w:sz w:val="24"/>
          <w:szCs w:val="20"/>
          <w:lang w:val="en-GB"/>
        </w:rPr>
        <w:t>投资：</w:t>
      </w:r>
      <w:r w:rsidR="00612436">
        <w:rPr>
          <w:rFonts w:ascii="Arial" w:eastAsia="楷体_GB2312" w:hAnsi="Arial" w:cs="Times New Roman" w:hint="eastAsia"/>
          <w:b/>
          <w:bCs/>
          <w:color w:val="0070C0"/>
          <w:kern w:val="0"/>
          <w:sz w:val="24"/>
          <w:szCs w:val="20"/>
          <w:lang w:val="en-GB"/>
        </w:rPr>
        <w:t>提升风险资产配置，</w:t>
      </w:r>
      <w:r w:rsidR="00B9628C" w:rsidRPr="00940A07">
        <w:rPr>
          <w:rFonts w:ascii="Arial" w:eastAsia="楷体_GB2312" w:hAnsi="Arial" w:cs="Times New Roman" w:hint="eastAsia"/>
          <w:b/>
          <w:bCs/>
          <w:color w:val="0070C0"/>
          <w:kern w:val="0"/>
          <w:sz w:val="24"/>
          <w:szCs w:val="20"/>
          <w:lang w:val="en-GB"/>
        </w:rPr>
        <w:t>美股</w:t>
      </w:r>
      <w:r w:rsidR="006329D2">
        <w:rPr>
          <w:rFonts w:ascii="Arial" w:eastAsia="楷体_GB2312" w:hAnsi="Arial" w:cs="Times New Roman" w:hint="eastAsia"/>
          <w:b/>
          <w:bCs/>
          <w:color w:val="0070C0"/>
          <w:kern w:val="0"/>
          <w:sz w:val="24"/>
          <w:szCs w:val="20"/>
          <w:lang w:val="en-GB"/>
        </w:rPr>
        <w:t>产品先行</w:t>
      </w:r>
      <w:r w:rsidR="001A08F0">
        <w:rPr>
          <w:rFonts w:ascii="Arial" w:eastAsia="楷体_GB2312" w:hAnsi="Arial" w:cs="Times New Roman" w:hint="eastAsia"/>
          <w:b/>
          <w:bCs/>
          <w:color w:val="0070C0"/>
          <w:kern w:val="0"/>
          <w:sz w:val="24"/>
          <w:szCs w:val="20"/>
          <w:lang w:val="en-GB"/>
        </w:rPr>
        <w:t>、</w:t>
      </w:r>
      <w:r w:rsidR="006329D2">
        <w:rPr>
          <w:rFonts w:ascii="Arial" w:eastAsia="楷体_GB2312" w:hAnsi="Arial" w:cs="Times New Roman" w:hint="eastAsia"/>
          <w:b/>
          <w:bCs/>
          <w:color w:val="0070C0"/>
          <w:kern w:val="0"/>
          <w:sz w:val="24"/>
          <w:szCs w:val="20"/>
          <w:lang w:val="en-GB"/>
        </w:rPr>
        <w:t>港股产品</w:t>
      </w:r>
      <w:r w:rsidR="001A08F0">
        <w:rPr>
          <w:rFonts w:ascii="Arial" w:eastAsia="楷体_GB2312" w:hAnsi="Arial" w:cs="Times New Roman" w:hint="eastAsia"/>
          <w:b/>
          <w:bCs/>
          <w:color w:val="0070C0"/>
          <w:kern w:val="0"/>
          <w:sz w:val="24"/>
          <w:szCs w:val="20"/>
          <w:lang w:val="en-GB"/>
        </w:rPr>
        <w:t>后来居上</w:t>
      </w:r>
    </w:p>
    <w:p w:rsidR="00F25274" w:rsidRPr="00940A07" w:rsidRDefault="00A70401" w:rsidP="00DB4327">
      <w:pPr>
        <w:pStyle w:val="ab"/>
        <w:numPr>
          <w:ilvl w:val="4"/>
          <w:numId w:val="1"/>
        </w:numPr>
        <w:spacing w:after="163"/>
        <w:rPr>
          <w:rFonts w:eastAsia="楷体_GB2312"/>
          <w:color w:val="auto"/>
        </w:rPr>
      </w:pPr>
      <w:r w:rsidRPr="001174ED">
        <w:rPr>
          <w:rFonts w:eastAsia="楷体_GB2312" w:hint="eastAsia"/>
          <w:color w:val="auto"/>
        </w:rPr>
        <w:t>综上所述，</w:t>
      </w:r>
      <w:r w:rsidR="001174ED" w:rsidRPr="001174ED">
        <w:rPr>
          <w:rFonts w:eastAsia="楷体_GB2312" w:hint="eastAsia"/>
          <w:color w:val="auto"/>
        </w:rPr>
        <w:t>美国经济在经过四季度初政府停摆事件的短暂冲击后，重新回到温和复苏的轨道上。</w:t>
      </w:r>
      <w:r w:rsidR="001174ED" w:rsidRPr="001174ED">
        <w:rPr>
          <w:rFonts w:eastAsia="楷体_GB2312" w:cs="Arial" w:hint="eastAsia"/>
          <w:color w:val="auto"/>
        </w:rPr>
        <w:t>随着</w:t>
      </w:r>
      <w:r w:rsidR="001174ED" w:rsidRPr="001174ED">
        <w:rPr>
          <w:rFonts w:eastAsia="楷体_GB2312" w:hint="eastAsia"/>
          <w:color w:val="auto"/>
        </w:rPr>
        <w:t>两党达成预算协议，美国经济运行的不确定性降低，预计在住房市场复苏、就业形势改善以及家庭财富增加支持私人需求持续强劲等因素驱动下，美国经济</w:t>
      </w:r>
      <w:r w:rsidR="001174ED" w:rsidRPr="001174ED">
        <w:rPr>
          <w:rFonts w:eastAsia="楷体_GB2312" w:hint="eastAsia"/>
          <w:color w:val="auto"/>
        </w:rPr>
        <w:t>2014</w:t>
      </w:r>
      <w:r w:rsidR="001174ED" w:rsidRPr="001174ED">
        <w:rPr>
          <w:rFonts w:eastAsia="楷体_GB2312" w:hint="eastAsia"/>
          <w:color w:val="auto"/>
        </w:rPr>
        <w:t>年将保持稳步复苏势头。</w:t>
      </w:r>
      <w:r w:rsidR="001174ED" w:rsidRPr="001174ED">
        <w:rPr>
          <w:rFonts w:eastAsia="楷体_GB2312" w:hint="eastAsia"/>
          <w:color w:val="auto"/>
        </w:rPr>
        <w:t>QE</w:t>
      </w:r>
      <w:r w:rsidR="001174ED" w:rsidRPr="001174ED">
        <w:rPr>
          <w:rFonts w:eastAsia="楷体_GB2312" w:hint="eastAsia"/>
          <w:color w:val="auto"/>
        </w:rPr>
        <w:t>退出节奏</w:t>
      </w:r>
      <w:r w:rsidR="005A124E">
        <w:rPr>
          <w:rFonts w:eastAsia="楷体_GB2312" w:hint="eastAsia"/>
          <w:color w:val="auto"/>
        </w:rPr>
        <w:t>灵活</w:t>
      </w:r>
      <w:r w:rsidR="001174ED" w:rsidRPr="001174ED">
        <w:rPr>
          <w:rFonts w:eastAsia="楷体_GB2312" w:hint="eastAsia"/>
          <w:color w:val="auto"/>
        </w:rPr>
        <w:t>温和</w:t>
      </w:r>
      <w:r w:rsidR="001174ED">
        <w:rPr>
          <w:rFonts w:eastAsia="楷体_GB2312" w:hint="eastAsia"/>
          <w:color w:val="auto"/>
        </w:rPr>
        <w:t>，</w:t>
      </w:r>
      <w:r w:rsidR="001174ED" w:rsidRPr="001174ED">
        <w:rPr>
          <w:rFonts w:eastAsia="楷体_GB2312" w:hint="eastAsia"/>
          <w:color w:val="auto"/>
        </w:rPr>
        <w:t>且美国市场对于</w:t>
      </w:r>
      <w:r w:rsidR="001174ED" w:rsidRPr="001174ED">
        <w:rPr>
          <w:rFonts w:eastAsia="楷体_GB2312" w:hint="eastAsia"/>
          <w:color w:val="auto"/>
        </w:rPr>
        <w:t>QE</w:t>
      </w:r>
      <w:r w:rsidR="001174ED" w:rsidRPr="001174ED">
        <w:rPr>
          <w:rFonts w:eastAsia="楷体_GB2312" w:hint="eastAsia"/>
          <w:color w:val="auto"/>
        </w:rPr>
        <w:t>退出的不利冲击逐步消化</w:t>
      </w:r>
      <w:r w:rsidR="00DB4327">
        <w:rPr>
          <w:rFonts w:eastAsia="楷体_GB2312" w:hint="eastAsia"/>
          <w:color w:val="auto"/>
        </w:rPr>
        <w:t>。另外，</w:t>
      </w:r>
      <w:r w:rsidR="001174ED">
        <w:rPr>
          <w:rFonts w:eastAsia="楷体_GB2312" w:hint="eastAsia"/>
          <w:color w:val="auto"/>
        </w:rPr>
        <w:t>美元潜在的</w:t>
      </w:r>
      <w:r w:rsidR="001174ED">
        <w:rPr>
          <w:rFonts w:eastAsia="楷体_GB2312" w:hint="eastAsia"/>
          <w:color w:val="auto"/>
        </w:rPr>
        <w:lastRenderedPageBreak/>
        <w:t>升值预期有望</w:t>
      </w:r>
      <w:r w:rsidR="001174ED" w:rsidRPr="009B2201">
        <w:rPr>
          <w:rFonts w:eastAsia="楷体_GB2312" w:hint="eastAsia"/>
          <w:color w:val="auto"/>
        </w:rPr>
        <w:t>为美国经济及资本市场带来资金流入。因此，在基本面和流动性的双重支撑下，美股</w:t>
      </w:r>
      <w:r w:rsidR="001174ED">
        <w:rPr>
          <w:rFonts w:eastAsia="楷体_GB2312" w:hint="eastAsia"/>
          <w:color w:val="auto"/>
        </w:rPr>
        <w:t>及相关产品</w:t>
      </w:r>
      <w:r w:rsidR="001174ED" w:rsidRPr="009B2201">
        <w:rPr>
          <w:rFonts w:eastAsia="楷体_GB2312" w:hint="eastAsia"/>
          <w:color w:val="auto"/>
        </w:rPr>
        <w:t>仍是</w:t>
      </w:r>
      <w:r w:rsidR="001174ED">
        <w:rPr>
          <w:rFonts w:eastAsia="楷体_GB2312" w:hint="eastAsia"/>
          <w:color w:val="auto"/>
        </w:rPr>
        <w:t>2014</w:t>
      </w:r>
      <w:r w:rsidR="001174ED">
        <w:rPr>
          <w:rFonts w:eastAsia="楷体_GB2312" w:hint="eastAsia"/>
          <w:color w:val="auto"/>
        </w:rPr>
        <w:t>年</w:t>
      </w:r>
      <w:r w:rsidR="00DB4327">
        <w:rPr>
          <w:rFonts w:eastAsia="楷体_GB2312" w:hint="eastAsia"/>
          <w:color w:val="auto"/>
        </w:rPr>
        <w:t>最</w:t>
      </w:r>
      <w:r w:rsidR="001174ED" w:rsidRPr="009B2201">
        <w:rPr>
          <w:rFonts w:eastAsia="楷体_GB2312" w:hint="eastAsia"/>
          <w:color w:val="auto"/>
        </w:rPr>
        <w:t>具风险收益配</w:t>
      </w:r>
      <w:r w:rsidR="00F936EE">
        <w:rPr>
          <w:rFonts w:eastAsia="楷体_GB2312" w:hint="eastAsia"/>
          <w:color w:val="auto"/>
        </w:rPr>
        <w:t>比较优势</w:t>
      </w:r>
      <w:r w:rsidR="001174ED" w:rsidRPr="009B2201">
        <w:rPr>
          <w:rFonts w:eastAsia="楷体_GB2312" w:hint="eastAsia"/>
          <w:color w:val="auto"/>
        </w:rPr>
        <w:t>的投资标的</w:t>
      </w:r>
      <w:r w:rsidR="00DB4327">
        <w:rPr>
          <w:rFonts w:eastAsia="楷体_GB2312" w:hint="eastAsia"/>
          <w:color w:val="auto"/>
        </w:rPr>
        <w:t>之一</w:t>
      </w:r>
      <w:r w:rsidR="001174ED" w:rsidRPr="009B2201">
        <w:rPr>
          <w:rFonts w:eastAsia="楷体_GB2312" w:hint="eastAsia"/>
          <w:color w:val="auto"/>
        </w:rPr>
        <w:t>。</w:t>
      </w:r>
      <w:r w:rsidR="00EC391E" w:rsidRPr="00940A07">
        <w:rPr>
          <w:rFonts w:eastAsia="楷体_GB2312" w:hint="eastAsia"/>
          <w:color w:val="auto"/>
        </w:rPr>
        <w:t>欧洲</w:t>
      </w:r>
      <w:r w:rsidR="00DB4327">
        <w:rPr>
          <w:rFonts w:eastAsia="楷体_GB2312" w:hint="eastAsia"/>
          <w:color w:val="auto"/>
        </w:rPr>
        <w:t>经济有望走出衰退但增长有限，</w:t>
      </w:r>
      <w:r w:rsidR="002D58EB">
        <w:rPr>
          <w:rFonts w:eastAsia="楷体_GB2312" w:hint="eastAsia"/>
          <w:color w:val="auto"/>
        </w:rPr>
        <w:t>但</w:t>
      </w:r>
      <w:r w:rsidR="00F25274" w:rsidRPr="00940A07">
        <w:rPr>
          <w:rFonts w:eastAsia="楷体_GB2312" w:hint="eastAsia"/>
          <w:color w:val="auto"/>
        </w:rPr>
        <w:t>在过去长达五个月的时间内持续获得资金流入</w:t>
      </w:r>
      <w:r w:rsidR="00EC391E" w:rsidRPr="00940A07">
        <w:rPr>
          <w:rFonts w:eastAsia="楷体_GB2312" w:hint="eastAsia"/>
          <w:color w:val="auto"/>
        </w:rPr>
        <w:t>背景下</w:t>
      </w:r>
      <w:r w:rsidR="00F25274" w:rsidRPr="00940A07">
        <w:rPr>
          <w:rFonts w:eastAsia="楷体_GB2312" w:hint="eastAsia"/>
          <w:color w:val="auto"/>
        </w:rPr>
        <w:t>，</w:t>
      </w:r>
      <w:r w:rsidR="00DB4327">
        <w:rPr>
          <w:rFonts w:eastAsia="楷体_GB2312" w:hint="eastAsia"/>
          <w:color w:val="auto"/>
        </w:rPr>
        <w:t>欧洲股市</w:t>
      </w:r>
      <w:r w:rsidR="00F25274" w:rsidRPr="00940A07">
        <w:rPr>
          <w:rFonts w:eastAsia="楷体_GB2312" w:hint="eastAsia"/>
          <w:color w:val="auto"/>
        </w:rPr>
        <w:t>资金推动效用或将有所降低</w:t>
      </w:r>
      <w:r w:rsidR="00493777">
        <w:rPr>
          <w:rFonts w:eastAsia="楷体_GB2312" w:hint="eastAsia"/>
          <w:color w:val="auto"/>
        </w:rPr>
        <w:t>，而欧元相对美元的贬值风险</w:t>
      </w:r>
      <w:r w:rsidR="002D03E8">
        <w:rPr>
          <w:rFonts w:eastAsia="楷体_GB2312" w:hint="eastAsia"/>
          <w:color w:val="auto"/>
        </w:rPr>
        <w:t>或引发</w:t>
      </w:r>
      <w:r w:rsidR="00493777">
        <w:rPr>
          <w:rFonts w:eastAsia="楷体_GB2312" w:hint="eastAsia"/>
          <w:color w:val="auto"/>
        </w:rPr>
        <w:t>欧洲市场</w:t>
      </w:r>
      <w:r w:rsidR="002D03E8">
        <w:rPr>
          <w:rFonts w:eastAsia="楷体_GB2312" w:hint="eastAsia"/>
          <w:color w:val="auto"/>
        </w:rPr>
        <w:t>波动</w:t>
      </w:r>
      <w:r w:rsidR="008930F3" w:rsidRPr="008930F3">
        <w:rPr>
          <w:rFonts w:eastAsia="楷体_GB2312" w:hint="eastAsia"/>
          <w:color w:val="auto"/>
        </w:rPr>
        <w:t>，风险及收益或高于美股。</w:t>
      </w:r>
    </w:p>
    <w:p w:rsidR="00D44A82" w:rsidRPr="00940A07" w:rsidRDefault="009E7AD5" w:rsidP="00535E88">
      <w:pPr>
        <w:pStyle w:val="ab"/>
        <w:numPr>
          <w:ilvl w:val="4"/>
          <w:numId w:val="1"/>
        </w:numPr>
        <w:spacing w:after="163"/>
        <w:rPr>
          <w:rFonts w:eastAsia="楷体_GB2312"/>
          <w:color w:val="auto"/>
        </w:rPr>
      </w:pPr>
      <w:r w:rsidRPr="00F97F76">
        <w:rPr>
          <w:rFonts w:eastAsia="楷体_GB2312" w:hint="eastAsia"/>
          <w:color w:val="auto"/>
        </w:rPr>
        <w:t>新兴市场和发展中国家经济增长将保持强劲，但</w:t>
      </w:r>
      <w:r w:rsidRPr="00F97F76">
        <w:rPr>
          <w:rFonts w:eastAsia="楷体_GB2312" w:hint="eastAsia"/>
          <w:color w:val="auto"/>
        </w:rPr>
        <w:t>QE</w:t>
      </w:r>
      <w:r w:rsidRPr="00F97F76">
        <w:rPr>
          <w:rFonts w:eastAsia="楷体_GB2312" w:hint="eastAsia"/>
          <w:color w:val="auto"/>
        </w:rPr>
        <w:t>退出引发的</w:t>
      </w:r>
      <w:r w:rsidR="00D44A82" w:rsidRPr="00F97F76">
        <w:rPr>
          <w:rFonts w:eastAsia="楷体_GB2312" w:hint="eastAsia"/>
          <w:color w:val="auto"/>
        </w:rPr>
        <w:t>资本流出冲击</w:t>
      </w:r>
      <w:r w:rsidRPr="00F97F76">
        <w:rPr>
          <w:rFonts w:eastAsia="楷体_GB2312" w:hint="eastAsia"/>
          <w:color w:val="auto"/>
        </w:rPr>
        <w:t>不可低估</w:t>
      </w:r>
      <w:r w:rsidR="00F97F76" w:rsidRPr="00F97F76">
        <w:rPr>
          <w:rFonts w:eastAsia="楷体_GB2312" w:hint="eastAsia"/>
          <w:color w:val="auto"/>
        </w:rPr>
        <w:t>，新兴市场</w:t>
      </w:r>
      <w:r w:rsidR="00F97F76" w:rsidRPr="00F97F76">
        <w:rPr>
          <w:rFonts w:eastAsia="楷体_GB2312" w:hint="eastAsia"/>
          <w:color w:val="auto"/>
        </w:rPr>
        <w:t>2014</w:t>
      </w:r>
      <w:r w:rsidR="00F97F76" w:rsidRPr="00F97F76">
        <w:rPr>
          <w:rFonts w:eastAsia="楷体_GB2312" w:hint="eastAsia"/>
          <w:color w:val="auto"/>
        </w:rPr>
        <w:t>年表现将分化</w:t>
      </w:r>
      <w:r w:rsidR="00D44A82" w:rsidRPr="00F97F76">
        <w:rPr>
          <w:rFonts w:eastAsia="楷体_GB2312" w:hint="eastAsia"/>
          <w:color w:val="auto"/>
        </w:rPr>
        <w:t>。</w:t>
      </w:r>
      <w:r w:rsidR="004D4564">
        <w:rPr>
          <w:rFonts w:eastAsia="楷体_GB2312" w:hint="eastAsia"/>
          <w:color w:val="auto"/>
        </w:rPr>
        <w:t>其中，</w:t>
      </w:r>
      <w:r w:rsidR="00F97F76" w:rsidRPr="00F97F76">
        <w:rPr>
          <w:rFonts w:eastAsia="楷体_GB2312" w:hint="eastAsia"/>
          <w:color w:val="auto"/>
        </w:rPr>
        <w:t>香港市场估值处于低位，随着</w:t>
      </w:r>
      <w:r w:rsidR="00F97F76" w:rsidRPr="00F97F76">
        <w:rPr>
          <w:rFonts w:eastAsia="楷体_GB2312" w:hint="eastAsia"/>
          <w:color w:val="auto"/>
        </w:rPr>
        <w:t>QE</w:t>
      </w:r>
      <w:r w:rsidR="00F97F76" w:rsidRPr="00F97F76">
        <w:rPr>
          <w:rFonts w:eastAsia="楷体_GB2312" w:hint="eastAsia"/>
          <w:color w:val="auto"/>
        </w:rPr>
        <w:t>退出冲击告一段落，以及改革红利释放下中国经济以及相关企业业绩的逐步走强，</w:t>
      </w:r>
      <w:r w:rsidR="005C19DC">
        <w:rPr>
          <w:rFonts w:eastAsia="楷体_GB2312" w:hint="eastAsia"/>
          <w:color w:val="auto"/>
        </w:rPr>
        <w:t>香港市场（含</w:t>
      </w:r>
      <w:r w:rsidR="005B6164">
        <w:rPr>
          <w:rFonts w:eastAsia="楷体_GB2312" w:hint="eastAsia"/>
          <w:color w:val="auto"/>
        </w:rPr>
        <w:t>其他市场</w:t>
      </w:r>
      <w:r w:rsidR="005C19DC">
        <w:rPr>
          <w:rFonts w:eastAsia="楷体_GB2312" w:hint="eastAsia"/>
          <w:color w:val="auto"/>
        </w:rPr>
        <w:t>中国相关</w:t>
      </w:r>
      <w:r w:rsidR="005B6164">
        <w:rPr>
          <w:rFonts w:eastAsia="楷体_GB2312" w:hint="eastAsia"/>
          <w:color w:val="auto"/>
        </w:rPr>
        <w:t>板块</w:t>
      </w:r>
      <w:r w:rsidR="005C19DC">
        <w:rPr>
          <w:rFonts w:eastAsia="楷体_GB2312" w:hint="eastAsia"/>
          <w:color w:val="auto"/>
        </w:rPr>
        <w:t>）</w:t>
      </w:r>
      <w:r w:rsidR="00F97F76" w:rsidRPr="00F97F76">
        <w:rPr>
          <w:rFonts w:eastAsia="楷体_GB2312" w:hint="eastAsia"/>
          <w:color w:val="auto"/>
        </w:rPr>
        <w:t>配置价值将凸显，建议逐步增配相关产品</w:t>
      </w:r>
      <w:r w:rsidR="00A420B3">
        <w:rPr>
          <w:rFonts w:eastAsia="楷体_GB2312" w:hint="eastAsia"/>
          <w:color w:val="auto"/>
        </w:rPr>
        <w:t>，并择机</w:t>
      </w:r>
      <w:r w:rsidR="005B6164">
        <w:rPr>
          <w:rFonts w:eastAsia="楷体_GB2312" w:hint="eastAsia"/>
          <w:color w:val="auto"/>
        </w:rPr>
        <w:t>升</w:t>
      </w:r>
      <w:r w:rsidR="00A420B3">
        <w:rPr>
          <w:rFonts w:eastAsia="楷体_GB2312" w:hint="eastAsia"/>
          <w:color w:val="auto"/>
        </w:rPr>
        <w:t>为主要配置。</w:t>
      </w:r>
      <w:r w:rsidR="0018379B" w:rsidRPr="00940A07">
        <w:rPr>
          <w:rFonts w:eastAsia="楷体_GB2312" w:hint="eastAsia"/>
          <w:color w:val="auto"/>
        </w:rPr>
        <w:t>商品相关基金</w:t>
      </w:r>
      <w:r w:rsidR="00535E88">
        <w:rPr>
          <w:rFonts w:eastAsia="楷体_GB2312" w:hint="eastAsia"/>
          <w:color w:val="auto"/>
        </w:rPr>
        <w:t>尚缺乏投资机会。</w:t>
      </w:r>
    </w:p>
    <w:p w:rsidR="00202C2B" w:rsidRPr="00416864" w:rsidRDefault="00FB511F" w:rsidP="00A70401">
      <w:pPr>
        <w:pStyle w:val="ab"/>
        <w:numPr>
          <w:ilvl w:val="4"/>
          <w:numId w:val="1"/>
        </w:numPr>
        <w:spacing w:after="163"/>
        <w:rPr>
          <w:rFonts w:eastAsia="楷体_GB2312"/>
          <w:color w:val="auto"/>
        </w:rPr>
      </w:pPr>
      <w:r>
        <w:rPr>
          <w:rFonts w:eastAsia="楷体_GB2312" w:hint="eastAsia"/>
          <w:color w:val="auto"/>
        </w:rPr>
        <w:t>因此</w:t>
      </w:r>
      <w:r w:rsidR="00A70401" w:rsidRPr="00416864">
        <w:rPr>
          <w:rFonts w:eastAsia="楷体_GB2312" w:hint="eastAsia"/>
          <w:color w:val="auto"/>
        </w:rPr>
        <w:t>，</w:t>
      </w:r>
      <w:r w:rsidR="00C6707E" w:rsidRPr="00416864">
        <w:rPr>
          <w:rFonts w:eastAsia="楷体_GB2312" w:hint="eastAsia"/>
          <w:color w:val="auto"/>
        </w:rPr>
        <w:t>2014</w:t>
      </w:r>
      <w:r w:rsidR="00C6707E" w:rsidRPr="00416864">
        <w:rPr>
          <w:rFonts w:eastAsia="楷体_GB2312" w:hint="eastAsia"/>
          <w:color w:val="auto"/>
        </w:rPr>
        <w:t>年</w:t>
      </w:r>
      <w:r w:rsidR="00A70401" w:rsidRPr="00416864">
        <w:rPr>
          <w:rFonts w:eastAsia="楷体_GB2312" w:hint="eastAsia"/>
          <w:color w:val="auto"/>
        </w:rPr>
        <w:t>QDII</w:t>
      </w:r>
      <w:r w:rsidR="00A70401" w:rsidRPr="00416864">
        <w:rPr>
          <w:rFonts w:eastAsia="楷体_GB2312" w:hint="eastAsia"/>
          <w:color w:val="auto"/>
        </w:rPr>
        <w:t>投资建议</w:t>
      </w:r>
      <w:r w:rsidR="00337E7C">
        <w:rPr>
          <w:rFonts w:eastAsia="楷体_GB2312" w:hint="eastAsia"/>
          <w:color w:val="auto"/>
        </w:rPr>
        <w:t>采取积极的操作策略</w:t>
      </w:r>
      <w:r w:rsidR="00A627F5" w:rsidRPr="00416864">
        <w:rPr>
          <w:rFonts w:eastAsia="楷体_GB2312" w:hint="eastAsia"/>
          <w:color w:val="auto"/>
        </w:rPr>
        <w:t>，</w:t>
      </w:r>
      <w:r w:rsidR="00D35681">
        <w:rPr>
          <w:rFonts w:eastAsia="楷体_GB2312" w:hint="eastAsia"/>
          <w:color w:val="auto"/>
        </w:rPr>
        <w:t>降低固定收益类资产，</w:t>
      </w:r>
      <w:r w:rsidR="00135D43">
        <w:rPr>
          <w:rFonts w:eastAsia="楷体_GB2312" w:hint="eastAsia"/>
          <w:color w:val="auto"/>
        </w:rPr>
        <w:t>而</w:t>
      </w:r>
      <w:r w:rsidR="00F673EA" w:rsidRPr="00416864">
        <w:rPr>
          <w:rFonts w:eastAsia="楷体_GB2312" w:hint="eastAsia"/>
          <w:color w:val="auto"/>
        </w:rPr>
        <w:t>提升风险资产</w:t>
      </w:r>
      <w:r w:rsidR="00135D43">
        <w:rPr>
          <w:rFonts w:eastAsia="楷体_GB2312" w:hint="eastAsia"/>
          <w:color w:val="auto"/>
        </w:rPr>
        <w:t>的</w:t>
      </w:r>
      <w:r w:rsidR="00F673EA" w:rsidRPr="00416864">
        <w:rPr>
          <w:rFonts w:eastAsia="楷体_GB2312" w:hint="eastAsia"/>
          <w:color w:val="auto"/>
        </w:rPr>
        <w:t>配置</w:t>
      </w:r>
      <w:r w:rsidR="00A627F5" w:rsidRPr="00416864">
        <w:rPr>
          <w:rFonts w:eastAsia="楷体_GB2312" w:hint="eastAsia"/>
          <w:color w:val="auto"/>
        </w:rPr>
        <w:t>比例</w:t>
      </w:r>
      <w:r w:rsidR="00D35681">
        <w:rPr>
          <w:rFonts w:eastAsia="楷体_GB2312" w:hint="eastAsia"/>
          <w:color w:val="auto"/>
        </w:rPr>
        <w:t>。</w:t>
      </w:r>
      <w:r w:rsidR="00135D43">
        <w:rPr>
          <w:rFonts w:eastAsia="楷体_GB2312" w:hint="eastAsia"/>
          <w:color w:val="auto"/>
        </w:rPr>
        <w:t>初期（一季度）</w:t>
      </w:r>
      <w:r w:rsidR="00D35681">
        <w:rPr>
          <w:rFonts w:eastAsia="楷体_GB2312" w:hint="eastAsia"/>
          <w:color w:val="auto"/>
        </w:rPr>
        <w:t>建议以美</w:t>
      </w:r>
      <w:r w:rsidR="008930F3">
        <w:rPr>
          <w:rFonts w:eastAsia="楷体_GB2312" w:hint="eastAsia"/>
          <w:color w:val="auto"/>
        </w:rPr>
        <w:t>欧</w:t>
      </w:r>
      <w:r w:rsidR="00D35681">
        <w:rPr>
          <w:rFonts w:eastAsia="楷体_GB2312" w:hint="eastAsia"/>
          <w:color w:val="auto"/>
        </w:rPr>
        <w:t>为代表的发达市场</w:t>
      </w:r>
      <w:r w:rsidR="00135D43">
        <w:rPr>
          <w:rFonts w:eastAsia="楷体_GB2312" w:hint="eastAsia"/>
          <w:color w:val="auto"/>
        </w:rPr>
        <w:t>相关</w:t>
      </w:r>
      <w:r w:rsidR="00D35681">
        <w:rPr>
          <w:rFonts w:eastAsia="楷体_GB2312" w:hint="eastAsia"/>
          <w:color w:val="auto"/>
        </w:rPr>
        <w:t>基金产品为主要</w:t>
      </w:r>
      <w:r w:rsidR="00A6625D">
        <w:rPr>
          <w:rFonts w:eastAsia="楷体_GB2312" w:hint="eastAsia"/>
          <w:color w:val="auto"/>
        </w:rPr>
        <w:t>配置</w:t>
      </w:r>
      <w:r w:rsidR="00D35681">
        <w:rPr>
          <w:rFonts w:eastAsia="楷体_GB2312" w:hint="eastAsia"/>
          <w:color w:val="auto"/>
        </w:rPr>
        <w:t>对象，适当搭配香港市场（含其他市场中国相关板块）相关基金产品</w:t>
      </w:r>
      <w:r w:rsidR="00A6625D">
        <w:rPr>
          <w:rFonts w:eastAsia="楷体_GB2312" w:hint="eastAsia"/>
          <w:color w:val="auto"/>
        </w:rPr>
        <w:t>；</w:t>
      </w:r>
      <w:r w:rsidR="00135D43">
        <w:rPr>
          <w:rFonts w:eastAsia="楷体_GB2312" w:hint="eastAsia"/>
          <w:color w:val="auto"/>
        </w:rPr>
        <w:t>随着</w:t>
      </w:r>
      <w:r w:rsidR="00135D43">
        <w:rPr>
          <w:rFonts w:eastAsia="楷体_GB2312" w:hint="eastAsia"/>
          <w:color w:val="auto"/>
        </w:rPr>
        <w:t>QE</w:t>
      </w:r>
      <w:r w:rsidR="00135D43">
        <w:rPr>
          <w:rFonts w:eastAsia="楷体_GB2312" w:hint="eastAsia"/>
          <w:color w:val="auto"/>
        </w:rPr>
        <w:t>退出的</w:t>
      </w:r>
      <w:r w:rsidR="0054148D">
        <w:rPr>
          <w:rFonts w:eastAsia="楷体_GB2312" w:hint="eastAsia"/>
          <w:color w:val="auto"/>
        </w:rPr>
        <w:t>进一步</w:t>
      </w:r>
      <w:r w:rsidR="00135D43">
        <w:rPr>
          <w:rFonts w:eastAsia="楷体_GB2312" w:hint="eastAsia"/>
          <w:color w:val="auto"/>
        </w:rPr>
        <w:t>消化，</w:t>
      </w:r>
      <w:r w:rsidR="00135D43" w:rsidRPr="00F97F76">
        <w:rPr>
          <w:rFonts w:eastAsia="楷体_GB2312" w:hint="eastAsia"/>
          <w:color w:val="auto"/>
        </w:rPr>
        <w:t>逐步增配</w:t>
      </w:r>
      <w:r w:rsidR="00A6625D">
        <w:rPr>
          <w:rFonts w:eastAsia="楷体_GB2312" w:hint="eastAsia"/>
          <w:color w:val="auto"/>
        </w:rPr>
        <w:t>香港市场（含其他市场中国相关板块）相关基金产品</w:t>
      </w:r>
      <w:r w:rsidR="00135D43">
        <w:rPr>
          <w:rFonts w:eastAsia="楷体_GB2312" w:hint="eastAsia"/>
          <w:color w:val="auto"/>
        </w:rPr>
        <w:t>，并择机升为主要配置。</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06328D" w:rsidTr="003D1000">
        <w:trPr>
          <w:cantSplit/>
          <w:trHeight w:val="65"/>
        </w:trPr>
        <w:tc>
          <w:tcPr>
            <w:tcW w:w="7442" w:type="dxa"/>
            <w:shd w:val="clear" w:color="auto" w:fill="auto"/>
            <w:vAlign w:val="center"/>
          </w:tcPr>
          <w:p w:rsidR="0006328D" w:rsidRPr="00656031" w:rsidRDefault="0006328D" w:rsidP="003D1000">
            <w:pPr>
              <w:pStyle w:val="SubTitleLargeTable"/>
              <w:pBdr>
                <w:top w:val="none" w:sz="0" w:space="0" w:color="auto"/>
              </w:pBdr>
              <w:rPr>
                <w:rFonts w:ascii="宋体" w:eastAsia="宋体" w:hAnsi="宋体"/>
                <w:b w:val="0"/>
                <w:color w:val="FF6600"/>
              </w:rPr>
            </w:pPr>
            <w:r w:rsidRPr="00940A07">
              <w:rPr>
                <w:rFonts w:eastAsia="楷体_GB2312"/>
                <w:color w:val="FF6600"/>
              </w:rPr>
              <w:t>图表</w:t>
            </w:r>
            <w:r w:rsidRPr="00940A07">
              <w:rPr>
                <w:rFonts w:eastAsia="楷体_GB2312" w:hint="eastAsia"/>
                <w:color w:val="FF6600"/>
              </w:rPr>
              <w:t>1</w:t>
            </w:r>
            <w:r w:rsidR="00DD20A4">
              <w:rPr>
                <w:rFonts w:eastAsia="楷体_GB2312" w:hint="eastAsia"/>
                <w:color w:val="FF6600"/>
              </w:rPr>
              <w:t>0</w:t>
            </w:r>
            <w:r w:rsidRPr="00940A07">
              <w:rPr>
                <w:rFonts w:eastAsia="楷体_GB2312" w:hint="eastAsia"/>
                <w:color w:val="FF6600"/>
              </w:rPr>
              <w:t>：近三年以来全球主要股指走势比较</w:t>
            </w:r>
          </w:p>
        </w:tc>
      </w:tr>
      <w:tr w:rsidR="0006328D" w:rsidTr="003D1000">
        <w:trPr>
          <w:cantSplit/>
          <w:trHeight w:val="3534"/>
        </w:trPr>
        <w:tc>
          <w:tcPr>
            <w:tcW w:w="7442" w:type="dxa"/>
            <w:shd w:val="clear" w:color="auto" w:fill="auto"/>
            <w:vAlign w:val="center"/>
          </w:tcPr>
          <w:p w:rsidR="0006328D" w:rsidRPr="00921371" w:rsidRDefault="0006328D" w:rsidP="003D1000">
            <w:pPr>
              <w:snapToGrid w:val="0"/>
              <w:spacing w:line="10" w:lineRule="atLeast"/>
              <w:jc w:val="center"/>
              <w:rPr>
                <w:rFonts w:ascii="宋体" w:eastAsia="宋体" w:hAnsi="宋体"/>
                <w:b/>
              </w:rPr>
            </w:pPr>
            <w:r>
              <w:rPr>
                <w:rFonts w:ascii="宋体" w:eastAsia="宋体" w:hAnsi="宋体"/>
                <w:b/>
                <w:noProof/>
              </w:rPr>
              <w:drawing>
                <wp:inline distT="0" distB="0" distL="0" distR="0">
                  <wp:extent cx="4724400" cy="2038350"/>
                  <wp:effectExtent l="19050" t="0" r="0" b="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4724400" cy="2038350"/>
                          </a:xfrm>
                          <a:prstGeom prst="rect">
                            <a:avLst/>
                          </a:prstGeom>
                          <a:noFill/>
                          <a:ln w="9525">
                            <a:noFill/>
                            <a:miter lim="800000"/>
                            <a:headEnd/>
                            <a:tailEnd/>
                          </a:ln>
                        </pic:spPr>
                      </pic:pic>
                    </a:graphicData>
                  </a:graphic>
                </wp:inline>
              </w:drawing>
            </w:r>
          </w:p>
        </w:tc>
      </w:tr>
    </w:tbl>
    <w:p w:rsidR="0006328D" w:rsidRPr="00940A07" w:rsidRDefault="0006328D" w:rsidP="0006328D">
      <w:pPr>
        <w:pStyle w:val="FootnoteNoline"/>
        <w:rPr>
          <w:rFonts w:eastAsia="楷体_GB2312"/>
          <w:color w:val="FF6600"/>
          <w:lang w:val="en-US"/>
        </w:rPr>
      </w:pPr>
      <w:r w:rsidRPr="00940A07">
        <w:rPr>
          <w:rFonts w:eastAsia="楷体_GB2312" w:hint="eastAsia"/>
          <w:color w:val="FF6600"/>
          <w:lang w:val="en-US"/>
        </w:rPr>
        <w:t>来源：凯石财富工场</w:t>
      </w:r>
      <w:r w:rsidRPr="00940A07">
        <w:rPr>
          <w:rFonts w:eastAsia="楷体_GB2312" w:hint="eastAsia"/>
          <w:color w:val="FF6600"/>
          <w:lang w:val="en-US"/>
        </w:rPr>
        <w:t xml:space="preserve"> </w:t>
      </w:r>
      <w:r w:rsidRPr="00940A07">
        <w:rPr>
          <w:rFonts w:eastAsia="楷体_GB2312" w:hint="eastAsia"/>
          <w:color w:val="FF6600"/>
          <w:lang w:val="en-US"/>
        </w:rPr>
        <w:t>财汇数据</w:t>
      </w:r>
    </w:p>
    <w:p w:rsidR="00A70401" w:rsidRPr="00940A07" w:rsidRDefault="00AA29B7" w:rsidP="00A70401">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2014</w:t>
      </w:r>
      <w:r>
        <w:rPr>
          <w:rFonts w:ascii="Arial" w:eastAsia="楷体_GB2312" w:hAnsi="Arial" w:cs="Times New Roman" w:hint="eastAsia"/>
          <w:b/>
          <w:bCs/>
          <w:color w:val="0070C0"/>
          <w:kern w:val="0"/>
          <w:sz w:val="24"/>
          <w:szCs w:val="20"/>
          <w:lang w:val="en-GB"/>
        </w:rPr>
        <w:t>年重点关注</w:t>
      </w:r>
      <w:r w:rsidR="00415CB9">
        <w:rPr>
          <w:rFonts w:ascii="Arial" w:eastAsia="楷体_GB2312" w:hAnsi="Arial" w:cs="Times New Roman" w:hint="eastAsia"/>
          <w:b/>
          <w:bCs/>
          <w:color w:val="0070C0"/>
          <w:kern w:val="0"/>
          <w:sz w:val="24"/>
          <w:szCs w:val="20"/>
          <w:lang w:val="en-GB"/>
        </w:rPr>
        <w:t>五大</w:t>
      </w:r>
      <w:r>
        <w:rPr>
          <w:rFonts w:ascii="Arial" w:eastAsia="楷体_GB2312" w:hAnsi="Arial" w:cs="Times New Roman" w:hint="eastAsia"/>
          <w:b/>
          <w:bCs/>
          <w:color w:val="0070C0"/>
          <w:kern w:val="0"/>
          <w:sz w:val="24"/>
          <w:szCs w:val="20"/>
          <w:lang w:val="en-GB"/>
        </w:rPr>
        <w:t>QDII</w:t>
      </w:r>
      <w:r w:rsidR="00415CB9">
        <w:rPr>
          <w:rFonts w:ascii="Arial" w:eastAsia="楷体_GB2312" w:hAnsi="Arial" w:cs="Times New Roman" w:hint="eastAsia"/>
          <w:b/>
          <w:bCs/>
          <w:color w:val="0070C0"/>
          <w:kern w:val="0"/>
          <w:sz w:val="24"/>
          <w:szCs w:val="20"/>
          <w:lang w:val="en-GB"/>
        </w:rPr>
        <w:t>产品推荐</w:t>
      </w:r>
    </w:p>
    <w:p w:rsidR="007901D0" w:rsidRDefault="00A903D9" w:rsidP="003F6CBD">
      <w:pPr>
        <w:pStyle w:val="ab"/>
        <w:numPr>
          <w:ilvl w:val="4"/>
          <w:numId w:val="1"/>
        </w:numPr>
        <w:spacing w:after="163"/>
        <w:rPr>
          <w:rFonts w:eastAsia="楷体_GB2312"/>
          <w:color w:val="auto"/>
        </w:rPr>
      </w:pPr>
      <w:r>
        <w:rPr>
          <w:rFonts w:eastAsia="楷体_GB2312" w:hint="eastAsia"/>
          <w:color w:val="auto"/>
        </w:rPr>
        <w:t>结合上述投资操作策略，我们选择五只</w:t>
      </w:r>
      <w:r>
        <w:rPr>
          <w:rFonts w:eastAsia="楷体_GB2312" w:hint="eastAsia"/>
          <w:color w:val="auto"/>
        </w:rPr>
        <w:t>QDII</w:t>
      </w:r>
      <w:r>
        <w:rPr>
          <w:rFonts w:eastAsia="楷体_GB2312" w:hint="eastAsia"/>
          <w:color w:val="auto"/>
        </w:rPr>
        <w:t>产品，供</w:t>
      </w:r>
      <w:r w:rsidR="007E1C31">
        <w:rPr>
          <w:rFonts w:eastAsia="楷体_GB2312" w:hint="eastAsia"/>
          <w:color w:val="auto"/>
        </w:rPr>
        <w:t>投资者在</w:t>
      </w:r>
      <w:r>
        <w:rPr>
          <w:rFonts w:eastAsia="楷体_GB2312" w:hint="eastAsia"/>
          <w:color w:val="auto"/>
        </w:rPr>
        <w:t>2014</w:t>
      </w:r>
      <w:r>
        <w:rPr>
          <w:rFonts w:eastAsia="楷体_GB2312" w:hint="eastAsia"/>
          <w:color w:val="auto"/>
        </w:rPr>
        <w:t>年进行选择</w:t>
      </w:r>
      <w:r w:rsidR="004F1BEE">
        <w:rPr>
          <w:rFonts w:eastAsia="楷体_GB2312" w:hint="eastAsia"/>
          <w:color w:val="auto"/>
        </w:rPr>
        <w:t>配置</w:t>
      </w:r>
      <w:r>
        <w:rPr>
          <w:rFonts w:eastAsia="楷体_GB2312" w:hint="eastAsia"/>
          <w:color w:val="auto"/>
        </w:rPr>
        <w:t>时参考。</w:t>
      </w:r>
    </w:p>
    <w:p w:rsidR="003F6CBD" w:rsidRPr="008971C7" w:rsidRDefault="00111800" w:rsidP="007901D0">
      <w:pPr>
        <w:pStyle w:val="ab"/>
        <w:numPr>
          <w:ilvl w:val="5"/>
          <w:numId w:val="2"/>
        </w:numPr>
        <w:spacing w:after="163"/>
        <w:ind w:left="4140" w:hanging="369"/>
        <w:rPr>
          <w:rFonts w:eastAsia="楷体_GB2312"/>
          <w:color w:val="auto"/>
        </w:rPr>
      </w:pPr>
      <w:r w:rsidRPr="00940A07">
        <w:rPr>
          <w:rFonts w:eastAsia="楷体_GB2312" w:hint="eastAsia"/>
          <w:color w:val="auto"/>
        </w:rPr>
        <w:t>国泰纳斯达克</w:t>
      </w:r>
      <w:r w:rsidRPr="00940A07">
        <w:rPr>
          <w:rFonts w:eastAsia="楷体_GB2312" w:hint="eastAsia"/>
          <w:color w:val="auto"/>
        </w:rPr>
        <w:t>100</w:t>
      </w:r>
      <w:r w:rsidRPr="00940A07">
        <w:rPr>
          <w:rFonts w:eastAsia="楷体_GB2312" w:hint="eastAsia"/>
          <w:color w:val="auto"/>
        </w:rPr>
        <w:t>指数基金</w:t>
      </w:r>
      <w:r w:rsidR="003F6CBD" w:rsidRPr="00940A07">
        <w:rPr>
          <w:rFonts w:eastAsia="楷体_GB2312" w:hint="eastAsia"/>
          <w:color w:val="auto"/>
        </w:rPr>
        <w:t>：该基金跟踪</w:t>
      </w:r>
      <w:r w:rsidR="005F0D58">
        <w:rPr>
          <w:rFonts w:eastAsia="楷体_GB2312" w:hint="eastAsia"/>
          <w:color w:val="auto"/>
        </w:rPr>
        <w:t>美国</w:t>
      </w:r>
      <w:r w:rsidR="007560E1" w:rsidRPr="00940A07">
        <w:rPr>
          <w:rFonts w:eastAsia="楷体_GB2312" w:hint="eastAsia"/>
          <w:color w:val="auto"/>
        </w:rPr>
        <w:t>纳斯达克</w:t>
      </w:r>
      <w:r w:rsidR="007560E1" w:rsidRPr="00940A07">
        <w:rPr>
          <w:rFonts w:eastAsia="楷体_GB2312" w:hint="eastAsia"/>
          <w:color w:val="auto"/>
        </w:rPr>
        <w:t>100</w:t>
      </w:r>
      <w:r w:rsidR="007560E1" w:rsidRPr="00940A07">
        <w:rPr>
          <w:rFonts w:eastAsia="楷体_GB2312" w:hint="eastAsia"/>
          <w:color w:val="auto"/>
        </w:rPr>
        <w:t>指数</w:t>
      </w:r>
      <w:r w:rsidR="003F6CBD" w:rsidRPr="00940A07">
        <w:rPr>
          <w:rFonts w:eastAsia="楷体_GB2312" w:hint="eastAsia"/>
          <w:color w:val="auto"/>
        </w:rPr>
        <w:t>，股票资产主要采取完全复制法，</w:t>
      </w:r>
      <w:r w:rsidR="007560E1" w:rsidRPr="00940A07">
        <w:rPr>
          <w:rFonts w:eastAsia="楷体_GB2312" w:hint="eastAsia"/>
          <w:color w:val="auto"/>
        </w:rPr>
        <w:t>即过严格的投资程序约束和数量化风险管理手段，以低成本、低换手率实现对纳斯达克</w:t>
      </w:r>
      <w:r w:rsidR="007560E1" w:rsidRPr="00940A07">
        <w:rPr>
          <w:rFonts w:eastAsia="楷体_GB2312" w:hint="eastAsia"/>
          <w:color w:val="auto"/>
        </w:rPr>
        <w:t>100</w:t>
      </w:r>
      <w:r w:rsidR="007560E1" w:rsidRPr="00940A07">
        <w:rPr>
          <w:rFonts w:eastAsia="楷体_GB2312" w:hint="eastAsia"/>
          <w:color w:val="auto"/>
        </w:rPr>
        <w:t>指数的有效跟踪，追求跟踪误差最小化。纳斯达克</w:t>
      </w:r>
      <w:r w:rsidR="007560E1" w:rsidRPr="00940A07">
        <w:rPr>
          <w:rFonts w:eastAsia="楷体_GB2312" w:hint="eastAsia"/>
          <w:color w:val="auto"/>
        </w:rPr>
        <w:t>100</w:t>
      </w:r>
      <w:r w:rsidR="007560E1" w:rsidRPr="00940A07">
        <w:rPr>
          <w:rFonts w:eastAsia="楷体_GB2312" w:hint="eastAsia"/>
          <w:color w:val="auto"/>
        </w:rPr>
        <w:t>指数成分股均具有高科技、高成长和非金融的特点，是美国科技股的代表，</w:t>
      </w:r>
      <w:r w:rsidR="007560E1" w:rsidRPr="008971C7">
        <w:rPr>
          <w:rFonts w:eastAsia="楷体_GB2312" w:hint="eastAsia"/>
          <w:color w:val="auto"/>
        </w:rPr>
        <w:t>权重最大的为苹果电脑，另外包括微软、谷歌、英特尔等诸多知名公司。</w:t>
      </w:r>
      <w:r w:rsidR="003F6CBD" w:rsidRPr="008971C7">
        <w:rPr>
          <w:rFonts w:eastAsia="楷体_GB2312" w:hint="eastAsia"/>
          <w:color w:val="auto"/>
        </w:rPr>
        <w:t>该基金</w:t>
      </w:r>
      <w:r w:rsidR="005F0D58" w:rsidRPr="008971C7">
        <w:rPr>
          <w:rFonts w:eastAsia="楷体_GB2312" w:hint="eastAsia"/>
          <w:color w:val="auto"/>
        </w:rPr>
        <w:t>2013</w:t>
      </w:r>
      <w:r w:rsidR="003F6CBD" w:rsidRPr="008971C7">
        <w:rPr>
          <w:rFonts w:eastAsia="楷体_GB2312" w:hint="eastAsia"/>
          <w:color w:val="auto"/>
        </w:rPr>
        <w:t>年</w:t>
      </w:r>
      <w:r w:rsidR="005F0D58" w:rsidRPr="008971C7">
        <w:rPr>
          <w:rFonts w:eastAsia="楷体_GB2312" w:hint="eastAsia"/>
          <w:color w:val="auto"/>
        </w:rPr>
        <w:t>来</w:t>
      </w:r>
      <w:r w:rsidR="003F6CBD" w:rsidRPr="008971C7">
        <w:rPr>
          <w:rFonts w:eastAsia="楷体_GB2312" w:hint="eastAsia"/>
          <w:color w:val="auto"/>
        </w:rPr>
        <w:t>收益率达到</w:t>
      </w:r>
      <w:r w:rsidR="003F6CBD" w:rsidRPr="008971C7">
        <w:rPr>
          <w:rFonts w:eastAsia="楷体_GB2312" w:hint="eastAsia"/>
          <w:color w:val="auto"/>
        </w:rPr>
        <w:t>2</w:t>
      </w:r>
      <w:r w:rsidR="007560E1" w:rsidRPr="008971C7">
        <w:rPr>
          <w:rFonts w:eastAsia="楷体_GB2312" w:hint="eastAsia"/>
          <w:color w:val="auto"/>
        </w:rPr>
        <w:t>5</w:t>
      </w:r>
      <w:r w:rsidR="003F6CBD" w:rsidRPr="008971C7">
        <w:rPr>
          <w:rFonts w:eastAsia="楷体_GB2312" w:hint="eastAsia"/>
          <w:color w:val="auto"/>
        </w:rPr>
        <w:t>%</w:t>
      </w:r>
      <w:r w:rsidR="003F6CBD" w:rsidRPr="008971C7">
        <w:rPr>
          <w:rFonts w:eastAsia="楷体_GB2312" w:hint="eastAsia"/>
          <w:color w:val="auto"/>
        </w:rPr>
        <w:t>。</w:t>
      </w:r>
    </w:p>
    <w:p w:rsidR="007D43A9" w:rsidRPr="008971C7" w:rsidRDefault="007D43A9" w:rsidP="007901D0">
      <w:pPr>
        <w:pStyle w:val="ab"/>
        <w:numPr>
          <w:ilvl w:val="5"/>
          <w:numId w:val="2"/>
        </w:numPr>
        <w:spacing w:after="163"/>
        <w:ind w:left="4140" w:hanging="369"/>
        <w:rPr>
          <w:rFonts w:eastAsia="楷体_GB2312"/>
          <w:color w:val="auto"/>
        </w:rPr>
      </w:pPr>
      <w:r w:rsidRPr="008971C7">
        <w:rPr>
          <w:rFonts w:eastAsia="楷体_GB2312" w:hint="eastAsia"/>
          <w:color w:val="auto"/>
        </w:rPr>
        <w:t>博时标普</w:t>
      </w:r>
      <w:r w:rsidRPr="008971C7">
        <w:rPr>
          <w:rFonts w:eastAsia="楷体_GB2312" w:hint="eastAsia"/>
          <w:color w:val="auto"/>
        </w:rPr>
        <w:t>500</w:t>
      </w:r>
      <w:r w:rsidRPr="008971C7">
        <w:rPr>
          <w:rFonts w:eastAsia="楷体_GB2312" w:hint="eastAsia"/>
          <w:color w:val="auto"/>
        </w:rPr>
        <w:t>指数基金：该基金跟踪</w:t>
      </w:r>
      <w:r w:rsidR="005F0D58" w:rsidRPr="008971C7">
        <w:rPr>
          <w:rFonts w:eastAsia="楷体_GB2312" w:hint="eastAsia"/>
          <w:color w:val="auto"/>
        </w:rPr>
        <w:t>美国</w:t>
      </w:r>
      <w:r w:rsidRPr="008971C7">
        <w:rPr>
          <w:rFonts w:eastAsia="楷体_GB2312" w:hint="eastAsia"/>
          <w:color w:val="auto"/>
        </w:rPr>
        <w:t>标普</w:t>
      </w:r>
      <w:r w:rsidRPr="008971C7">
        <w:rPr>
          <w:rFonts w:eastAsia="楷体_GB2312" w:hint="eastAsia"/>
          <w:color w:val="auto"/>
        </w:rPr>
        <w:t>500</w:t>
      </w:r>
      <w:r w:rsidRPr="008971C7">
        <w:rPr>
          <w:rFonts w:eastAsia="楷体_GB2312" w:hint="eastAsia"/>
          <w:color w:val="auto"/>
        </w:rPr>
        <w:t>净总收益指数，股票资产主要采取完全复制法，即完全按照标的指数成份股的构成及其权重构建基金股票组合，并根据标的指数成份股及其权重的变动而进行相应地调整，力争控制基金份额净值增长率与业绩比较基准之间的年跟踪误差不超过</w:t>
      </w:r>
      <w:r w:rsidRPr="008971C7">
        <w:rPr>
          <w:rFonts w:eastAsia="楷体_GB2312" w:hint="eastAsia"/>
          <w:color w:val="auto"/>
        </w:rPr>
        <w:t>5%</w:t>
      </w:r>
      <w:r w:rsidRPr="008971C7">
        <w:rPr>
          <w:rFonts w:eastAsia="楷体_GB2312" w:hint="eastAsia"/>
          <w:color w:val="auto"/>
        </w:rPr>
        <w:t>（以美元资产计价）。该基金</w:t>
      </w:r>
      <w:r w:rsidR="005F0D58" w:rsidRPr="008971C7">
        <w:rPr>
          <w:rFonts w:eastAsia="楷体_GB2312" w:hint="eastAsia"/>
          <w:color w:val="auto"/>
        </w:rPr>
        <w:t>2013</w:t>
      </w:r>
      <w:r w:rsidR="005F0D58" w:rsidRPr="008971C7">
        <w:rPr>
          <w:rFonts w:eastAsia="楷体_GB2312" w:hint="eastAsia"/>
          <w:color w:val="auto"/>
        </w:rPr>
        <w:t>年</w:t>
      </w:r>
      <w:r w:rsidRPr="008971C7">
        <w:rPr>
          <w:rFonts w:eastAsia="楷体_GB2312" w:hint="eastAsia"/>
          <w:color w:val="auto"/>
        </w:rPr>
        <w:t>来收益率达到</w:t>
      </w:r>
      <w:r w:rsidRPr="008971C7">
        <w:rPr>
          <w:rFonts w:eastAsia="楷体_GB2312" w:hint="eastAsia"/>
          <w:color w:val="auto"/>
        </w:rPr>
        <w:t>20%</w:t>
      </w:r>
      <w:r w:rsidRPr="008971C7">
        <w:rPr>
          <w:rFonts w:eastAsia="楷体_GB2312" w:hint="eastAsia"/>
          <w:color w:val="auto"/>
        </w:rPr>
        <w:t>。</w:t>
      </w:r>
    </w:p>
    <w:p w:rsidR="00A70401" w:rsidRPr="008971C7" w:rsidRDefault="00A70401" w:rsidP="007901D0">
      <w:pPr>
        <w:pStyle w:val="ab"/>
        <w:numPr>
          <w:ilvl w:val="5"/>
          <w:numId w:val="2"/>
        </w:numPr>
        <w:spacing w:after="163"/>
        <w:ind w:left="4140" w:hanging="369"/>
        <w:rPr>
          <w:rFonts w:eastAsia="楷体_GB2312"/>
          <w:color w:val="auto"/>
        </w:rPr>
      </w:pPr>
      <w:r w:rsidRPr="008971C7">
        <w:rPr>
          <w:rFonts w:eastAsia="楷体_GB2312" w:hint="eastAsia"/>
          <w:color w:val="auto"/>
        </w:rPr>
        <w:t>易方达标普全球高端消费品指数增强基金：该基金跟踪标普全球高端消费品指数，</w:t>
      </w:r>
      <w:r w:rsidR="002D03E8">
        <w:rPr>
          <w:rFonts w:eastAsia="楷体_GB2312" w:hint="eastAsia"/>
          <w:color w:val="auto"/>
        </w:rPr>
        <w:t>在欧美市场配置相对均衡，</w:t>
      </w:r>
      <w:r w:rsidR="00F80E6F">
        <w:rPr>
          <w:rFonts w:eastAsia="楷体_GB2312" w:hint="eastAsia"/>
          <w:color w:val="auto"/>
        </w:rPr>
        <w:t>且有一定的主动操作灵活度</w:t>
      </w:r>
      <w:r w:rsidR="002D03E8">
        <w:rPr>
          <w:rFonts w:eastAsia="楷体_GB2312" w:hint="eastAsia"/>
          <w:color w:val="auto"/>
        </w:rPr>
        <w:t>。</w:t>
      </w:r>
      <w:r w:rsidR="00F80E6F">
        <w:rPr>
          <w:rFonts w:eastAsia="楷体_GB2312" w:hint="eastAsia"/>
          <w:color w:val="auto"/>
        </w:rPr>
        <w:t>标的</w:t>
      </w:r>
      <w:r w:rsidRPr="008971C7">
        <w:rPr>
          <w:rFonts w:eastAsia="楷体_GB2312" w:hint="eastAsia"/>
          <w:color w:val="auto"/>
        </w:rPr>
        <w:t>指数样本包含欧美市场领先的奢侈品消费品牌，重点板块包括服装服饰及奢侈品、酿酒与葡萄酒商、豪华汽车等等。经验显示，高端消费品行业</w:t>
      </w:r>
      <w:r w:rsidR="002D03E8" w:rsidRPr="008971C7">
        <w:rPr>
          <w:rFonts w:eastAsia="楷体_GB2312" w:hint="eastAsia"/>
          <w:color w:val="auto"/>
        </w:rPr>
        <w:t>具有高毛利率和高股本回报率特点</w:t>
      </w:r>
      <w:r w:rsidRPr="008971C7">
        <w:rPr>
          <w:rFonts w:eastAsia="楷体_GB2312" w:hint="eastAsia"/>
          <w:color w:val="auto"/>
        </w:rPr>
        <w:t>。该基金</w:t>
      </w:r>
      <w:r w:rsidR="005F0D58" w:rsidRPr="008971C7">
        <w:rPr>
          <w:rFonts w:eastAsia="楷体_GB2312" w:hint="eastAsia"/>
          <w:color w:val="auto"/>
        </w:rPr>
        <w:t>2013</w:t>
      </w:r>
      <w:r w:rsidR="005F0D58" w:rsidRPr="008971C7">
        <w:rPr>
          <w:rFonts w:eastAsia="楷体_GB2312" w:hint="eastAsia"/>
          <w:color w:val="auto"/>
        </w:rPr>
        <w:t>年</w:t>
      </w:r>
      <w:r w:rsidRPr="008971C7">
        <w:rPr>
          <w:rFonts w:eastAsia="楷体_GB2312" w:hint="eastAsia"/>
          <w:color w:val="auto"/>
        </w:rPr>
        <w:t>来收益率</w:t>
      </w:r>
      <w:r w:rsidR="00354067" w:rsidRPr="008971C7">
        <w:rPr>
          <w:rFonts w:eastAsia="楷体_GB2312" w:hint="eastAsia"/>
          <w:color w:val="auto"/>
        </w:rPr>
        <w:t>达到</w:t>
      </w:r>
      <w:r w:rsidRPr="008971C7">
        <w:rPr>
          <w:rFonts w:eastAsia="楷体_GB2312" w:hint="eastAsia"/>
          <w:color w:val="auto"/>
        </w:rPr>
        <w:t>2</w:t>
      </w:r>
      <w:r w:rsidR="00354067" w:rsidRPr="008971C7">
        <w:rPr>
          <w:rFonts w:eastAsia="楷体_GB2312" w:hint="eastAsia"/>
          <w:color w:val="auto"/>
        </w:rPr>
        <w:t>7</w:t>
      </w:r>
      <w:r w:rsidRPr="008971C7">
        <w:rPr>
          <w:rFonts w:eastAsia="楷体_GB2312" w:hint="eastAsia"/>
          <w:color w:val="auto"/>
        </w:rPr>
        <w:t>%</w:t>
      </w:r>
      <w:r w:rsidRPr="008971C7">
        <w:rPr>
          <w:rFonts w:eastAsia="楷体_GB2312" w:hint="eastAsia"/>
          <w:color w:val="auto"/>
        </w:rPr>
        <w:t>，设立一年多来收益率</w:t>
      </w:r>
      <w:r w:rsidR="00354067" w:rsidRPr="008971C7">
        <w:rPr>
          <w:rFonts w:eastAsia="楷体_GB2312" w:hint="eastAsia"/>
          <w:color w:val="auto"/>
        </w:rPr>
        <w:t>超过</w:t>
      </w:r>
      <w:r w:rsidR="00FB544C" w:rsidRPr="008971C7">
        <w:rPr>
          <w:rFonts w:eastAsia="楷体_GB2312" w:hint="eastAsia"/>
          <w:color w:val="auto"/>
        </w:rPr>
        <w:t>3</w:t>
      </w:r>
      <w:r w:rsidR="00354067" w:rsidRPr="008971C7">
        <w:rPr>
          <w:rFonts w:eastAsia="楷体_GB2312" w:hint="eastAsia"/>
          <w:color w:val="auto"/>
        </w:rPr>
        <w:t>7</w:t>
      </w:r>
      <w:r w:rsidRPr="008971C7">
        <w:rPr>
          <w:rFonts w:eastAsia="楷体_GB2312" w:hint="eastAsia"/>
          <w:color w:val="auto"/>
        </w:rPr>
        <w:t>%</w:t>
      </w:r>
      <w:r w:rsidRPr="008971C7">
        <w:rPr>
          <w:rFonts w:eastAsia="楷体_GB2312" w:hint="eastAsia"/>
          <w:color w:val="auto"/>
        </w:rPr>
        <w:t>，且保持较低的波动与回撤幅度。</w:t>
      </w:r>
    </w:p>
    <w:p w:rsidR="00133B72" w:rsidRPr="008971C7" w:rsidRDefault="007D43A9" w:rsidP="007901D0">
      <w:pPr>
        <w:pStyle w:val="ab"/>
        <w:numPr>
          <w:ilvl w:val="5"/>
          <w:numId w:val="2"/>
        </w:numPr>
        <w:spacing w:after="163"/>
        <w:ind w:left="4140" w:hanging="369"/>
        <w:rPr>
          <w:rFonts w:eastAsia="楷体_GB2312"/>
          <w:color w:val="auto"/>
        </w:rPr>
      </w:pPr>
      <w:r w:rsidRPr="008971C7">
        <w:rPr>
          <w:rFonts w:eastAsia="楷体_GB2312" w:hint="eastAsia"/>
          <w:color w:val="auto"/>
        </w:rPr>
        <w:lastRenderedPageBreak/>
        <w:t>富国中国中小盘</w:t>
      </w:r>
      <w:r w:rsidRPr="008971C7">
        <w:rPr>
          <w:rFonts w:eastAsia="楷体_GB2312" w:hint="eastAsia"/>
          <w:color w:val="auto"/>
        </w:rPr>
        <w:t>(</w:t>
      </w:r>
      <w:r w:rsidRPr="008971C7">
        <w:rPr>
          <w:rFonts w:eastAsia="楷体_GB2312" w:hint="eastAsia"/>
          <w:color w:val="auto"/>
        </w:rPr>
        <w:t>香港上市</w:t>
      </w:r>
      <w:r w:rsidRPr="008971C7">
        <w:rPr>
          <w:rFonts w:eastAsia="楷体_GB2312" w:hint="eastAsia"/>
          <w:color w:val="auto"/>
        </w:rPr>
        <w:t>)</w:t>
      </w:r>
      <w:r w:rsidRPr="008971C7">
        <w:rPr>
          <w:rFonts w:eastAsia="楷体_GB2312" w:hint="eastAsia"/>
          <w:color w:val="auto"/>
        </w:rPr>
        <w:t>股票型基金：该基金以通过积极主动的投资，重点投资香港市场中具有中国概念的优质中小盘股票进行投资。中小盘股票成长空间大，且香港市场上往往存在估值洼地，因此往往能为长期投资者带来超额收益。基金经理自下而上选股能力表现出色，重点投资标的符合中国经济转型和改革方向。该基金</w:t>
      </w:r>
      <w:r w:rsidR="005F0D58" w:rsidRPr="008971C7">
        <w:rPr>
          <w:rFonts w:eastAsia="楷体_GB2312" w:hint="eastAsia"/>
          <w:color w:val="auto"/>
        </w:rPr>
        <w:t>2013</w:t>
      </w:r>
      <w:r w:rsidR="005F0D58" w:rsidRPr="008971C7">
        <w:rPr>
          <w:rFonts w:eastAsia="楷体_GB2312" w:hint="eastAsia"/>
          <w:color w:val="auto"/>
        </w:rPr>
        <w:t>年</w:t>
      </w:r>
      <w:r w:rsidRPr="008971C7">
        <w:rPr>
          <w:rFonts w:eastAsia="楷体_GB2312" w:hint="eastAsia"/>
          <w:color w:val="auto"/>
        </w:rPr>
        <w:t>来收益率达到</w:t>
      </w:r>
      <w:r w:rsidR="008971C7" w:rsidRPr="008971C7">
        <w:rPr>
          <w:rFonts w:eastAsia="楷体_GB2312" w:hint="eastAsia"/>
          <w:color w:val="auto"/>
        </w:rPr>
        <w:t>37</w:t>
      </w:r>
      <w:r w:rsidRPr="008971C7">
        <w:rPr>
          <w:rFonts w:eastAsia="楷体_GB2312" w:hint="eastAsia"/>
          <w:color w:val="auto"/>
        </w:rPr>
        <w:t>%</w:t>
      </w:r>
      <w:r w:rsidRPr="008971C7">
        <w:rPr>
          <w:rFonts w:eastAsia="楷体_GB2312" w:hint="eastAsia"/>
          <w:color w:val="auto"/>
        </w:rPr>
        <w:t>。</w:t>
      </w:r>
    </w:p>
    <w:p w:rsidR="00FB50E2" w:rsidRPr="002D1C41" w:rsidRDefault="00FB50E2" w:rsidP="007901D0">
      <w:pPr>
        <w:pStyle w:val="ab"/>
        <w:numPr>
          <w:ilvl w:val="5"/>
          <w:numId w:val="2"/>
        </w:numPr>
        <w:spacing w:after="163"/>
        <w:ind w:left="4140" w:hanging="369"/>
        <w:rPr>
          <w:rFonts w:eastAsia="楷体_GB2312"/>
          <w:color w:val="auto"/>
        </w:rPr>
      </w:pPr>
      <w:r w:rsidRPr="002D1C41">
        <w:rPr>
          <w:rFonts w:eastAsia="楷体_GB2312" w:hint="eastAsia"/>
          <w:color w:val="auto"/>
        </w:rPr>
        <w:t>华夏恒生交易型基金联接基金：该基金</w:t>
      </w:r>
      <w:r w:rsidR="00A543C7" w:rsidRPr="002D1C41">
        <w:rPr>
          <w:rFonts w:eastAsia="楷体_GB2312" w:hint="eastAsia"/>
          <w:color w:val="auto"/>
        </w:rPr>
        <w:t>间接投资于香港恒生指数，关联基金主要采用组合复制策略及适当的替代性策略以更好的实现跟踪恒生指数的目标</w:t>
      </w:r>
      <w:r w:rsidRPr="002D1C41">
        <w:rPr>
          <w:rFonts w:eastAsia="楷体_GB2312" w:hint="eastAsia"/>
          <w:color w:val="auto"/>
        </w:rPr>
        <w:t>。该基金</w:t>
      </w:r>
      <w:r w:rsidRPr="002D1C41">
        <w:rPr>
          <w:rFonts w:eastAsia="楷体_GB2312" w:hint="eastAsia"/>
          <w:color w:val="auto"/>
        </w:rPr>
        <w:t>2013</w:t>
      </w:r>
      <w:r w:rsidRPr="002D1C41">
        <w:rPr>
          <w:rFonts w:eastAsia="楷体_GB2312" w:hint="eastAsia"/>
          <w:color w:val="auto"/>
        </w:rPr>
        <w:t>年来收益</w:t>
      </w:r>
      <w:r w:rsidR="000D2CCD" w:rsidRPr="002D1C41">
        <w:rPr>
          <w:rFonts w:eastAsia="楷体_GB2312" w:hint="eastAsia"/>
          <w:color w:val="auto"/>
        </w:rPr>
        <w:t>基本持平</w:t>
      </w:r>
      <w:r w:rsidRPr="002D1C41">
        <w:rPr>
          <w:rFonts w:eastAsia="楷体_GB2312" w:hint="eastAsia"/>
          <w:color w:val="auto"/>
        </w:rPr>
        <w:t>。</w:t>
      </w:r>
    </w:p>
    <w:tbl>
      <w:tblPr>
        <w:tblW w:w="10771" w:type="dxa"/>
        <w:tblLayout w:type="fixed"/>
        <w:tblCellMar>
          <w:left w:w="0" w:type="dxa"/>
          <w:right w:w="0" w:type="dxa"/>
        </w:tblCellMar>
        <w:tblLook w:val="0000"/>
      </w:tblPr>
      <w:tblGrid>
        <w:gridCol w:w="5272"/>
        <w:gridCol w:w="227"/>
        <w:gridCol w:w="5272"/>
      </w:tblGrid>
      <w:tr w:rsidR="00656031" w:rsidRPr="00837084" w:rsidTr="003629A1">
        <w:trPr>
          <w:cantSplit/>
          <w:trHeight w:val="368"/>
        </w:trPr>
        <w:tc>
          <w:tcPr>
            <w:tcW w:w="5272" w:type="dxa"/>
            <w:tcBorders>
              <w:top w:val="single" w:sz="6" w:space="0" w:color="FF6600"/>
              <w:bottom w:val="single" w:sz="6" w:space="0" w:color="FF6600"/>
            </w:tcBorders>
            <w:shd w:val="clear" w:color="auto" w:fill="auto"/>
            <w:vAlign w:val="center"/>
          </w:tcPr>
          <w:p w:rsidR="00656031" w:rsidRDefault="003629A1" w:rsidP="00AA29B7">
            <w:pPr>
              <w:pStyle w:val="SubTitleLargeTable"/>
              <w:pBdr>
                <w:top w:val="none" w:sz="0" w:space="0" w:color="auto"/>
              </w:pBdr>
            </w:pPr>
            <w:r w:rsidRPr="00940A07">
              <w:rPr>
                <w:rFonts w:eastAsia="楷体_GB2312"/>
                <w:color w:val="FF6600"/>
              </w:rPr>
              <w:t>图表</w:t>
            </w:r>
            <w:r w:rsidR="00AA29B7">
              <w:rPr>
                <w:rFonts w:eastAsia="楷体_GB2312" w:hint="eastAsia"/>
                <w:color w:val="FF6600"/>
              </w:rPr>
              <w:t>11</w:t>
            </w:r>
            <w:r w:rsidRPr="00940A07">
              <w:rPr>
                <w:rFonts w:eastAsia="楷体_GB2312" w:hint="eastAsia"/>
                <w:color w:val="FF6600"/>
              </w:rPr>
              <w:t>：</w:t>
            </w:r>
            <w:r w:rsidR="006D7395" w:rsidRPr="00940A07">
              <w:rPr>
                <w:rFonts w:eastAsia="楷体_GB2312" w:hint="eastAsia"/>
                <w:color w:val="FF6600"/>
              </w:rPr>
              <w:t>国泰纳斯达克</w:t>
            </w:r>
            <w:r w:rsidR="006D7395" w:rsidRPr="00940A07">
              <w:rPr>
                <w:rFonts w:eastAsia="楷体_GB2312" w:hint="eastAsia"/>
                <w:color w:val="FF6600"/>
              </w:rPr>
              <w:t>100</w:t>
            </w:r>
            <w:r w:rsidR="006D7395" w:rsidRPr="00940A07">
              <w:rPr>
                <w:rFonts w:eastAsia="楷体_GB2312" w:hint="eastAsia"/>
                <w:color w:val="FF6600"/>
              </w:rPr>
              <w:t>指数基金</w:t>
            </w:r>
          </w:p>
        </w:tc>
        <w:tc>
          <w:tcPr>
            <w:tcW w:w="227" w:type="dxa"/>
            <w:vAlign w:val="center"/>
          </w:tcPr>
          <w:p w:rsidR="00656031" w:rsidRPr="00837084" w:rsidRDefault="00656031" w:rsidP="00705C81">
            <w:pPr>
              <w:jc w:val="center"/>
            </w:pPr>
          </w:p>
        </w:tc>
        <w:tc>
          <w:tcPr>
            <w:tcW w:w="5272" w:type="dxa"/>
            <w:tcBorders>
              <w:top w:val="single" w:sz="6" w:space="0" w:color="FF6600"/>
              <w:bottom w:val="single" w:sz="6" w:space="0" w:color="FF6600"/>
            </w:tcBorders>
            <w:shd w:val="clear" w:color="auto" w:fill="auto"/>
            <w:vAlign w:val="center"/>
          </w:tcPr>
          <w:p w:rsidR="00656031" w:rsidRPr="00F12D44" w:rsidRDefault="003629A1" w:rsidP="009608E0">
            <w:pPr>
              <w:pStyle w:val="SubTitleLargeTable"/>
              <w:pBdr>
                <w:top w:val="none" w:sz="0" w:space="0" w:color="auto"/>
              </w:pBdr>
            </w:pPr>
            <w:r w:rsidRPr="00940A07">
              <w:rPr>
                <w:rFonts w:eastAsia="楷体_GB2312"/>
                <w:color w:val="FF6600"/>
              </w:rPr>
              <w:t>图表</w:t>
            </w:r>
            <w:r w:rsidR="00AA29B7">
              <w:rPr>
                <w:rFonts w:eastAsia="楷体_GB2312" w:hint="eastAsia"/>
                <w:color w:val="FF6600"/>
              </w:rPr>
              <w:t>12</w:t>
            </w:r>
            <w:r w:rsidRPr="00940A07">
              <w:rPr>
                <w:rFonts w:eastAsia="楷体_GB2312" w:hint="eastAsia"/>
                <w:color w:val="FF6600"/>
              </w:rPr>
              <w:t>：</w:t>
            </w:r>
            <w:r w:rsidR="009608E0" w:rsidRPr="006471EE">
              <w:rPr>
                <w:rFonts w:eastAsia="楷体_GB2312"/>
                <w:color w:val="FF6600"/>
              </w:rPr>
              <w:t xml:space="preserve"> </w:t>
            </w:r>
            <w:r w:rsidR="006471EE" w:rsidRPr="006471EE">
              <w:rPr>
                <w:rFonts w:eastAsia="楷体_GB2312"/>
                <w:color w:val="FF6600"/>
              </w:rPr>
              <w:t>博时标普</w:t>
            </w:r>
            <w:r w:rsidR="006471EE">
              <w:rPr>
                <w:rFonts w:eastAsia="楷体_GB2312" w:hint="eastAsia"/>
                <w:color w:val="FF6600"/>
              </w:rPr>
              <w:t>500</w:t>
            </w:r>
            <w:r w:rsidR="006471EE">
              <w:rPr>
                <w:rFonts w:eastAsia="楷体_GB2312" w:hint="eastAsia"/>
                <w:color w:val="FF6600"/>
              </w:rPr>
              <w:t>指数基金</w:t>
            </w:r>
          </w:p>
        </w:tc>
      </w:tr>
      <w:tr w:rsidR="008840A4" w:rsidRPr="00837084" w:rsidTr="00656031">
        <w:trPr>
          <w:cantSplit/>
          <w:trHeight w:val="3016"/>
        </w:trPr>
        <w:tc>
          <w:tcPr>
            <w:tcW w:w="5272" w:type="dxa"/>
            <w:tcBorders>
              <w:top w:val="single" w:sz="6" w:space="0" w:color="FF6600"/>
              <w:bottom w:val="single" w:sz="6" w:space="0" w:color="FF6600"/>
            </w:tcBorders>
            <w:shd w:val="clear" w:color="auto" w:fill="auto"/>
            <w:vAlign w:val="center"/>
          </w:tcPr>
          <w:p w:rsidR="008840A4" w:rsidRDefault="008430F9" w:rsidP="00705C81">
            <w:pPr>
              <w:jc w:val="center"/>
            </w:pPr>
            <w:r>
              <w:rPr>
                <w:noProof/>
              </w:rPr>
              <w:drawing>
                <wp:inline distT="0" distB="0" distL="0" distR="0">
                  <wp:extent cx="3343275" cy="1495425"/>
                  <wp:effectExtent l="1905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3343275" cy="1495425"/>
                          </a:xfrm>
                          <a:prstGeom prst="rect">
                            <a:avLst/>
                          </a:prstGeom>
                          <a:noFill/>
                          <a:ln w="9525">
                            <a:noFill/>
                            <a:miter lim="800000"/>
                            <a:headEnd/>
                            <a:tailEnd/>
                          </a:ln>
                        </pic:spPr>
                      </pic:pic>
                    </a:graphicData>
                  </a:graphic>
                </wp:inline>
              </w:drawing>
            </w:r>
          </w:p>
        </w:tc>
        <w:tc>
          <w:tcPr>
            <w:tcW w:w="227" w:type="dxa"/>
            <w:vAlign w:val="center"/>
          </w:tcPr>
          <w:p w:rsidR="008840A4" w:rsidRPr="00837084" w:rsidRDefault="008840A4" w:rsidP="00705C81">
            <w:pPr>
              <w:jc w:val="center"/>
            </w:pPr>
          </w:p>
        </w:tc>
        <w:tc>
          <w:tcPr>
            <w:tcW w:w="5272" w:type="dxa"/>
            <w:tcBorders>
              <w:top w:val="single" w:sz="6" w:space="0" w:color="FF6600"/>
              <w:bottom w:val="single" w:sz="6" w:space="0" w:color="FF6600"/>
            </w:tcBorders>
            <w:shd w:val="clear" w:color="auto" w:fill="auto"/>
            <w:vAlign w:val="center"/>
          </w:tcPr>
          <w:p w:rsidR="008840A4" w:rsidRPr="00F12D44" w:rsidRDefault="006471EE" w:rsidP="00705C81">
            <w:pPr>
              <w:jc w:val="center"/>
            </w:pPr>
            <w:r>
              <w:rPr>
                <w:noProof/>
              </w:rPr>
              <w:drawing>
                <wp:inline distT="0" distB="0" distL="0" distR="0">
                  <wp:extent cx="3343275" cy="1466850"/>
                  <wp:effectExtent l="19050" t="0" r="952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3343275" cy="1466850"/>
                          </a:xfrm>
                          <a:prstGeom prst="rect">
                            <a:avLst/>
                          </a:prstGeom>
                          <a:noFill/>
                          <a:ln w="9525">
                            <a:noFill/>
                            <a:miter lim="800000"/>
                            <a:headEnd/>
                            <a:tailEnd/>
                          </a:ln>
                        </pic:spPr>
                      </pic:pic>
                    </a:graphicData>
                  </a:graphic>
                </wp:inline>
              </w:drawing>
            </w:r>
          </w:p>
        </w:tc>
      </w:tr>
    </w:tbl>
    <w:p w:rsidR="00BE7059" w:rsidRDefault="008840A4" w:rsidP="003F6CBD">
      <w:pPr>
        <w:pStyle w:val="FootnoteNoline"/>
        <w:ind w:left="0"/>
        <w:rPr>
          <w:rFonts w:eastAsia="楷体_GB2312"/>
          <w:color w:val="FF6600"/>
        </w:rPr>
      </w:pPr>
      <w:r w:rsidRPr="00940A07">
        <w:rPr>
          <w:rFonts w:eastAsia="楷体_GB2312" w:hint="eastAsia"/>
          <w:color w:val="FF6600"/>
        </w:rPr>
        <w:t>来源：</w:t>
      </w:r>
      <w:r w:rsidR="00C806CE" w:rsidRPr="00940A07">
        <w:rPr>
          <w:rFonts w:eastAsia="楷体_GB2312" w:hint="eastAsia"/>
          <w:color w:val="FF6600"/>
        </w:rPr>
        <w:t>凯石财富工场</w:t>
      </w:r>
      <w:r w:rsidRPr="00940A07">
        <w:rPr>
          <w:rFonts w:eastAsia="楷体_GB2312" w:hint="eastAsia"/>
          <w:color w:val="FF6600"/>
        </w:rPr>
        <w:t xml:space="preserve"> </w:t>
      </w:r>
      <w:r w:rsidR="00D019E8" w:rsidRPr="00940A07">
        <w:rPr>
          <w:rFonts w:eastAsia="楷体_GB2312" w:hint="eastAsia"/>
          <w:color w:val="FF6600"/>
        </w:rPr>
        <w:t>wind</w:t>
      </w:r>
      <w:r w:rsidR="00BE7059" w:rsidRPr="00940A07">
        <w:rPr>
          <w:rFonts w:eastAsia="楷体_GB2312" w:hint="eastAsia"/>
          <w:color w:val="FF6600"/>
        </w:rPr>
        <w:t xml:space="preserve"> </w:t>
      </w:r>
    </w:p>
    <w:tbl>
      <w:tblPr>
        <w:tblW w:w="10771" w:type="dxa"/>
        <w:tblLayout w:type="fixed"/>
        <w:tblCellMar>
          <w:left w:w="0" w:type="dxa"/>
          <w:right w:w="0" w:type="dxa"/>
        </w:tblCellMar>
        <w:tblLook w:val="0000"/>
      </w:tblPr>
      <w:tblGrid>
        <w:gridCol w:w="5272"/>
        <w:gridCol w:w="227"/>
        <w:gridCol w:w="5272"/>
      </w:tblGrid>
      <w:tr w:rsidR="001C6BCF" w:rsidRPr="00837084" w:rsidTr="00072DDA">
        <w:trPr>
          <w:cantSplit/>
          <w:trHeight w:val="368"/>
        </w:trPr>
        <w:tc>
          <w:tcPr>
            <w:tcW w:w="5272" w:type="dxa"/>
            <w:tcBorders>
              <w:top w:val="single" w:sz="6" w:space="0" w:color="FF6600"/>
              <w:bottom w:val="single" w:sz="6" w:space="0" w:color="FF6600"/>
            </w:tcBorders>
            <w:shd w:val="clear" w:color="auto" w:fill="auto"/>
            <w:vAlign w:val="center"/>
          </w:tcPr>
          <w:p w:rsidR="001C6BCF" w:rsidRDefault="001C6BCF" w:rsidP="00AA29B7">
            <w:pPr>
              <w:pStyle w:val="SubTitleLargeTable"/>
              <w:pBdr>
                <w:top w:val="none" w:sz="0" w:space="0" w:color="auto"/>
              </w:pBdr>
            </w:pPr>
            <w:r w:rsidRPr="00940A07">
              <w:rPr>
                <w:rFonts w:eastAsia="楷体_GB2312"/>
                <w:color w:val="FF6600"/>
              </w:rPr>
              <w:t>图表</w:t>
            </w:r>
            <w:r w:rsidR="00AA29B7">
              <w:rPr>
                <w:rFonts w:eastAsia="楷体_GB2312" w:hint="eastAsia"/>
                <w:color w:val="FF6600"/>
              </w:rPr>
              <w:t>13</w:t>
            </w:r>
            <w:r w:rsidRPr="00940A07">
              <w:rPr>
                <w:rFonts w:eastAsia="楷体_GB2312" w:hint="eastAsia"/>
                <w:color w:val="FF6600"/>
              </w:rPr>
              <w:t>：</w:t>
            </w:r>
            <w:r w:rsidR="009608E0" w:rsidRPr="00940A07">
              <w:rPr>
                <w:rFonts w:eastAsia="楷体_GB2312" w:hint="eastAsia"/>
                <w:color w:val="FF6600"/>
              </w:rPr>
              <w:t>易方达标普全球高端消费品指数增强基金</w:t>
            </w:r>
          </w:p>
        </w:tc>
        <w:tc>
          <w:tcPr>
            <w:tcW w:w="227" w:type="dxa"/>
            <w:vAlign w:val="center"/>
          </w:tcPr>
          <w:p w:rsidR="001C6BCF" w:rsidRPr="00837084" w:rsidRDefault="001C6BCF" w:rsidP="00072DDA">
            <w:pPr>
              <w:jc w:val="center"/>
            </w:pPr>
          </w:p>
        </w:tc>
        <w:tc>
          <w:tcPr>
            <w:tcW w:w="5272" w:type="dxa"/>
            <w:tcBorders>
              <w:top w:val="single" w:sz="6" w:space="0" w:color="FF6600"/>
              <w:bottom w:val="single" w:sz="6" w:space="0" w:color="FF6600"/>
            </w:tcBorders>
            <w:shd w:val="clear" w:color="auto" w:fill="auto"/>
            <w:vAlign w:val="center"/>
          </w:tcPr>
          <w:p w:rsidR="001C6BCF" w:rsidRPr="00F12D44" w:rsidRDefault="001C6BCF" w:rsidP="002671F9">
            <w:pPr>
              <w:pStyle w:val="SubTitleLargeTable"/>
              <w:pBdr>
                <w:top w:val="none" w:sz="0" w:space="0" w:color="auto"/>
              </w:pBdr>
            </w:pPr>
            <w:r w:rsidRPr="00940A07">
              <w:rPr>
                <w:rFonts w:eastAsia="楷体_GB2312"/>
                <w:color w:val="FF6600"/>
              </w:rPr>
              <w:t>图表</w:t>
            </w:r>
            <w:r w:rsidR="00AA29B7">
              <w:rPr>
                <w:rFonts w:eastAsia="楷体_GB2312" w:hint="eastAsia"/>
                <w:color w:val="FF6600"/>
              </w:rPr>
              <w:t>14</w:t>
            </w:r>
            <w:r w:rsidRPr="00940A07">
              <w:rPr>
                <w:rFonts w:eastAsia="楷体_GB2312" w:hint="eastAsia"/>
                <w:color w:val="FF6600"/>
              </w:rPr>
              <w:t>：</w:t>
            </w:r>
            <w:r w:rsidR="002671F9" w:rsidRPr="000A11D0">
              <w:rPr>
                <w:rFonts w:eastAsia="楷体_GB2312"/>
                <w:color w:val="FF6600"/>
              </w:rPr>
              <w:t>富国中国中小盘</w:t>
            </w:r>
            <w:r w:rsidR="002671F9">
              <w:rPr>
                <w:rFonts w:eastAsia="楷体_GB2312"/>
                <w:color w:val="FF6600"/>
              </w:rPr>
              <w:t>（香港上市）股票基金</w:t>
            </w:r>
          </w:p>
        </w:tc>
      </w:tr>
      <w:tr w:rsidR="001C6BCF" w:rsidRPr="00837084" w:rsidTr="00072DDA">
        <w:trPr>
          <w:cantSplit/>
          <w:trHeight w:val="3016"/>
        </w:trPr>
        <w:tc>
          <w:tcPr>
            <w:tcW w:w="5272" w:type="dxa"/>
            <w:tcBorders>
              <w:top w:val="single" w:sz="6" w:space="0" w:color="FF6600"/>
              <w:bottom w:val="single" w:sz="6" w:space="0" w:color="FF6600"/>
            </w:tcBorders>
            <w:shd w:val="clear" w:color="auto" w:fill="auto"/>
            <w:vAlign w:val="center"/>
          </w:tcPr>
          <w:p w:rsidR="001C6BCF" w:rsidRDefault="00993288" w:rsidP="00072DDA">
            <w:pPr>
              <w:jc w:val="center"/>
            </w:pPr>
            <w:r>
              <w:rPr>
                <w:noProof/>
              </w:rPr>
              <w:drawing>
                <wp:inline distT="0" distB="0" distL="0" distR="0">
                  <wp:extent cx="3343275" cy="1457325"/>
                  <wp:effectExtent l="1905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3343275" cy="1457325"/>
                          </a:xfrm>
                          <a:prstGeom prst="rect">
                            <a:avLst/>
                          </a:prstGeom>
                          <a:noFill/>
                          <a:ln w="9525">
                            <a:noFill/>
                            <a:miter lim="800000"/>
                            <a:headEnd/>
                            <a:tailEnd/>
                          </a:ln>
                        </pic:spPr>
                      </pic:pic>
                    </a:graphicData>
                  </a:graphic>
                </wp:inline>
              </w:drawing>
            </w:r>
          </w:p>
        </w:tc>
        <w:tc>
          <w:tcPr>
            <w:tcW w:w="227" w:type="dxa"/>
            <w:vAlign w:val="center"/>
          </w:tcPr>
          <w:p w:rsidR="001C6BCF" w:rsidRPr="00837084" w:rsidRDefault="001C6BCF" w:rsidP="00072DDA">
            <w:pPr>
              <w:jc w:val="center"/>
            </w:pPr>
          </w:p>
        </w:tc>
        <w:tc>
          <w:tcPr>
            <w:tcW w:w="5272" w:type="dxa"/>
            <w:tcBorders>
              <w:top w:val="single" w:sz="6" w:space="0" w:color="FF6600"/>
              <w:bottom w:val="single" w:sz="6" w:space="0" w:color="FF6600"/>
            </w:tcBorders>
            <w:shd w:val="clear" w:color="auto" w:fill="auto"/>
            <w:vAlign w:val="center"/>
          </w:tcPr>
          <w:p w:rsidR="001C6BCF" w:rsidRPr="00F12D44" w:rsidRDefault="002671F9" w:rsidP="00072DDA">
            <w:pPr>
              <w:jc w:val="center"/>
            </w:pPr>
            <w:r>
              <w:rPr>
                <w:noProof/>
              </w:rPr>
              <w:drawing>
                <wp:inline distT="0" distB="0" distL="0" distR="0">
                  <wp:extent cx="3343275" cy="1466850"/>
                  <wp:effectExtent l="19050" t="0" r="9525" b="0"/>
                  <wp:docPr id="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srcRect/>
                          <a:stretch>
                            <a:fillRect/>
                          </a:stretch>
                        </pic:blipFill>
                        <pic:spPr bwMode="auto">
                          <a:xfrm>
                            <a:off x="0" y="0"/>
                            <a:ext cx="3343275" cy="1466850"/>
                          </a:xfrm>
                          <a:prstGeom prst="rect">
                            <a:avLst/>
                          </a:prstGeom>
                          <a:noFill/>
                          <a:ln w="9525">
                            <a:noFill/>
                            <a:miter lim="800000"/>
                            <a:headEnd/>
                            <a:tailEnd/>
                          </a:ln>
                        </pic:spPr>
                      </pic:pic>
                    </a:graphicData>
                  </a:graphic>
                </wp:inline>
              </w:drawing>
            </w:r>
          </w:p>
        </w:tc>
      </w:tr>
    </w:tbl>
    <w:p w:rsidR="001C6BCF" w:rsidRPr="00940A07" w:rsidRDefault="001C6BCF" w:rsidP="001C6BCF">
      <w:pPr>
        <w:pStyle w:val="FootnoteNoline"/>
        <w:ind w:left="0"/>
        <w:rPr>
          <w:rFonts w:eastAsia="楷体_GB2312"/>
          <w:color w:val="FF6600"/>
        </w:rPr>
      </w:pPr>
      <w:r w:rsidRPr="00940A07">
        <w:rPr>
          <w:rFonts w:eastAsia="楷体_GB2312" w:hint="eastAsia"/>
          <w:color w:val="FF6600"/>
        </w:rPr>
        <w:t>来源：凯石财富工场</w:t>
      </w:r>
      <w:r w:rsidRPr="00940A07">
        <w:rPr>
          <w:rFonts w:eastAsia="楷体_GB2312" w:hint="eastAsia"/>
          <w:color w:val="FF6600"/>
        </w:rPr>
        <w:t xml:space="preserve"> wind </w:t>
      </w:r>
    </w:p>
    <w:tbl>
      <w:tblPr>
        <w:tblW w:w="5272" w:type="dxa"/>
        <w:tblLayout w:type="fixed"/>
        <w:tblCellMar>
          <w:left w:w="0" w:type="dxa"/>
          <w:right w:w="0" w:type="dxa"/>
        </w:tblCellMar>
        <w:tblLook w:val="0000"/>
      </w:tblPr>
      <w:tblGrid>
        <w:gridCol w:w="5272"/>
      </w:tblGrid>
      <w:tr w:rsidR="008039CB" w:rsidRPr="00837084" w:rsidTr="008039CB">
        <w:trPr>
          <w:cantSplit/>
          <w:trHeight w:val="368"/>
        </w:trPr>
        <w:tc>
          <w:tcPr>
            <w:tcW w:w="5272" w:type="dxa"/>
            <w:tcBorders>
              <w:top w:val="single" w:sz="6" w:space="0" w:color="FF6600"/>
              <w:bottom w:val="single" w:sz="6" w:space="0" w:color="FF6600"/>
            </w:tcBorders>
            <w:shd w:val="clear" w:color="auto" w:fill="auto"/>
            <w:vAlign w:val="center"/>
          </w:tcPr>
          <w:p w:rsidR="008039CB" w:rsidRDefault="008039CB" w:rsidP="002671F9">
            <w:pPr>
              <w:pStyle w:val="SubTitleLargeTable"/>
              <w:pBdr>
                <w:top w:val="none" w:sz="0" w:space="0" w:color="auto"/>
              </w:pBdr>
            </w:pPr>
            <w:r w:rsidRPr="00940A07">
              <w:rPr>
                <w:rFonts w:eastAsia="楷体_GB2312"/>
                <w:color w:val="FF6600"/>
              </w:rPr>
              <w:t>图表</w:t>
            </w:r>
            <w:r>
              <w:rPr>
                <w:rFonts w:eastAsia="楷体_GB2312" w:hint="eastAsia"/>
                <w:color w:val="FF6600"/>
              </w:rPr>
              <w:t>15</w:t>
            </w:r>
            <w:r w:rsidRPr="00940A07">
              <w:rPr>
                <w:rFonts w:eastAsia="楷体_GB2312" w:hint="eastAsia"/>
                <w:color w:val="FF6600"/>
              </w:rPr>
              <w:t>：</w:t>
            </w:r>
            <w:r w:rsidRPr="00A46177">
              <w:rPr>
                <w:rFonts w:eastAsia="楷体_GB2312"/>
                <w:color w:val="FF6600"/>
              </w:rPr>
              <w:t>华夏恒生</w:t>
            </w:r>
            <w:r w:rsidRPr="00A46177">
              <w:rPr>
                <w:rFonts w:eastAsia="楷体_GB2312" w:hint="eastAsia"/>
                <w:color w:val="FF6600"/>
              </w:rPr>
              <w:t>交易型</w:t>
            </w:r>
            <w:r w:rsidRPr="00A46177">
              <w:rPr>
                <w:rFonts w:eastAsia="楷体_GB2312"/>
                <w:color w:val="FF6600"/>
              </w:rPr>
              <w:t>基金联接基金</w:t>
            </w:r>
          </w:p>
        </w:tc>
      </w:tr>
      <w:tr w:rsidR="008039CB" w:rsidRPr="00837084" w:rsidTr="008039CB">
        <w:trPr>
          <w:cantSplit/>
          <w:trHeight w:val="3016"/>
        </w:trPr>
        <w:tc>
          <w:tcPr>
            <w:tcW w:w="5272" w:type="dxa"/>
            <w:tcBorders>
              <w:top w:val="single" w:sz="6" w:space="0" w:color="FF6600"/>
              <w:bottom w:val="single" w:sz="6" w:space="0" w:color="FF6600"/>
            </w:tcBorders>
            <w:shd w:val="clear" w:color="auto" w:fill="auto"/>
            <w:vAlign w:val="center"/>
          </w:tcPr>
          <w:p w:rsidR="008039CB" w:rsidRDefault="008039CB" w:rsidP="00072DDA">
            <w:pPr>
              <w:jc w:val="center"/>
            </w:pPr>
            <w:r>
              <w:rPr>
                <w:noProof/>
              </w:rPr>
              <w:drawing>
                <wp:inline distT="0" distB="0" distL="0" distR="0">
                  <wp:extent cx="3343275" cy="1485900"/>
                  <wp:effectExtent l="19050" t="0" r="9525" b="0"/>
                  <wp:docPr id="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srcRect/>
                          <a:stretch>
                            <a:fillRect/>
                          </a:stretch>
                        </pic:blipFill>
                        <pic:spPr bwMode="auto">
                          <a:xfrm>
                            <a:off x="0" y="0"/>
                            <a:ext cx="3343275" cy="1485900"/>
                          </a:xfrm>
                          <a:prstGeom prst="rect">
                            <a:avLst/>
                          </a:prstGeom>
                          <a:noFill/>
                          <a:ln w="9525">
                            <a:noFill/>
                            <a:miter lim="800000"/>
                            <a:headEnd/>
                            <a:tailEnd/>
                          </a:ln>
                        </pic:spPr>
                      </pic:pic>
                    </a:graphicData>
                  </a:graphic>
                </wp:inline>
              </w:drawing>
            </w:r>
          </w:p>
        </w:tc>
      </w:tr>
    </w:tbl>
    <w:p w:rsidR="00B10000" w:rsidRPr="00365E58" w:rsidRDefault="001C6BCF" w:rsidP="00365E58">
      <w:pPr>
        <w:pStyle w:val="FootnoteNoline"/>
        <w:ind w:left="0"/>
        <w:rPr>
          <w:rFonts w:cs="Times New Roman"/>
          <w:b/>
          <w:sz w:val="10"/>
          <w:szCs w:val="10"/>
        </w:rPr>
      </w:pPr>
      <w:r w:rsidRPr="00940A07">
        <w:rPr>
          <w:rFonts w:eastAsia="楷体_GB2312" w:hint="eastAsia"/>
          <w:color w:val="FF6600"/>
        </w:rPr>
        <w:t>来源：凯石财富工场</w:t>
      </w:r>
      <w:r w:rsidRPr="00940A07">
        <w:rPr>
          <w:rFonts w:eastAsia="楷体_GB2312" w:hint="eastAsia"/>
          <w:color w:val="FF6600"/>
        </w:rPr>
        <w:t xml:space="preserve"> wind </w:t>
      </w:r>
    </w:p>
    <w:p w:rsidR="00B10000" w:rsidRPr="003C7EF4" w:rsidRDefault="00B10000" w:rsidP="00B10000">
      <w:pPr>
        <w:pStyle w:val="aa"/>
        <w:spacing w:after="312"/>
        <w:rPr>
          <w:rFonts w:ascii="Arial" w:eastAsia="楷体_GB2312" w:hAnsi="Arial"/>
          <w:b/>
          <w:kern w:val="0"/>
          <w:sz w:val="21"/>
          <w:szCs w:val="20"/>
          <w:lang w:val="en-GB"/>
        </w:rPr>
      </w:pPr>
      <w:r w:rsidRPr="003C7EF4">
        <w:rPr>
          <w:rFonts w:ascii="Arial" w:eastAsia="楷体_GB2312" w:hAnsi="Arial" w:hint="eastAsia"/>
          <w:b/>
          <w:kern w:val="0"/>
          <w:sz w:val="21"/>
          <w:szCs w:val="20"/>
          <w:lang w:val="en-GB"/>
        </w:rPr>
        <w:lastRenderedPageBreak/>
        <w:t>特别声明：</w:t>
      </w:r>
    </w:p>
    <w:p w:rsidR="00B10000" w:rsidRPr="003C7EF4" w:rsidRDefault="00B10000" w:rsidP="003772E3">
      <w:pPr>
        <w:pStyle w:val="aa"/>
        <w:spacing w:beforeLines="50" w:after="312"/>
        <w:rPr>
          <w:rFonts w:ascii="Arial" w:eastAsia="楷体_GB2312" w:hAnsi="Arial"/>
          <w:kern w:val="0"/>
          <w:sz w:val="21"/>
          <w:szCs w:val="20"/>
          <w:lang w:val="en-GB"/>
        </w:rPr>
      </w:pPr>
      <w:r w:rsidRPr="003C7EF4">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3C7EF4" w:rsidRDefault="00B10000" w:rsidP="003772E3">
      <w:pPr>
        <w:pStyle w:val="aa"/>
        <w:spacing w:beforeLines="50" w:after="312"/>
        <w:rPr>
          <w:rFonts w:ascii="Arial" w:eastAsia="楷体_GB2312" w:hAnsi="Arial"/>
          <w:kern w:val="0"/>
          <w:sz w:val="21"/>
          <w:szCs w:val="20"/>
          <w:lang w:val="en-GB"/>
        </w:rPr>
      </w:pPr>
      <w:r w:rsidRPr="003C7EF4">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3C7EF4" w:rsidRDefault="00B10000" w:rsidP="003772E3">
      <w:pPr>
        <w:pStyle w:val="aa"/>
        <w:spacing w:beforeLines="50" w:after="312"/>
        <w:rPr>
          <w:rFonts w:ascii="Arial" w:eastAsia="楷体_GB2312" w:hAnsi="Arial"/>
          <w:kern w:val="0"/>
          <w:sz w:val="21"/>
          <w:szCs w:val="20"/>
          <w:lang w:val="en-GB"/>
        </w:rPr>
      </w:pPr>
      <w:r w:rsidRPr="003C7EF4">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23"/>
      <w:footerReference w:type="default" r:id="rId24"/>
      <w:headerReference w:type="first" r:id="rId25"/>
      <w:footerReference w:type="first" r:id="rId26"/>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552" w:rsidRDefault="00D54552" w:rsidP="00B10000">
      <w:r>
        <w:separator/>
      </w:r>
    </w:p>
  </w:endnote>
  <w:endnote w:type="continuationSeparator" w:id="1">
    <w:p w:rsidR="00D54552" w:rsidRDefault="00D54552"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KaiTi_GB2312">
    <w:altName w:val="MS Gothic"/>
    <w:panose1 w:val="0201060906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7D6F86">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365E58">
              <w:rPr>
                <w:b/>
                <w:noProof/>
              </w:rPr>
              <w:t>6</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365E58">
              <w:rPr>
                <w:b/>
                <w:noProof/>
              </w:rPr>
              <w:t>8</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B10000" w:rsidRDefault="007D6F86">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517732">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517732">
              <w:rPr>
                <w:b/>
                <w:noProof/>
              </w:rPr>
              <w:t>9</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552" w:rsidRDefault="00D54552" w:rsidP="00B10000">
      <w:r>
        <w:separator/>
      </w:r>
    </w:p>
  </w:footnote>
  <w:footnote w:type="continuationSeparator" w:id="1">
    <w:p w:rsidR="00D54552" w:rsidRDefault="00D54552"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7D6F86"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7D6F86" w:rsidP="00B10000">
                  <w:pPr>
                    <w:pStyle w:val="12"/>
                  </w:pPr>
                  <w:r w:rsidRPr="007D6F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050CB3" w:rsidP="00B10000">
                  <w:pPr>
                    <w:pStyle w:val="2"/>
                  </w:pPr>
                  <w:r w:rsidRPr="00050CB3">
                    <w:rPr>
                      <w:rFonts w:hint="eastAsia"/>
                    </w:rPr>
                    <w:t>2014年QDII基金投资策略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7D6F86" w:rsidP="003772E3">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3772E3" w:rsidP="00B10000">
                  <w:pPr>
                    <w:pStyle w:val="a6"/>
                  </w:pPr>
                  <w:r w:rsidRPr="007D6F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B10000" w:rsidP="00B10000">
                  <w:pPr>
                    <w:pStyle w:val="a7"/>
                    <w:jc w:val="right"/>
                  </w:pPr>
                  <w:r w:rsidRPr="006E0F3C">
                    <w:rPr>
                      <w:rFonts w:hint="eastAsia"/>
                    </w:rPr>
                    <w:t>2013年</w:t>
                  </w:r>
                  <w:r w:rsidR="008F3050">
                    <w:rPr>
                      <w:rFonts w:hint="eastAsia"/>
                    </w:rPr>
                    <w:t>12</w:t>
                  </w:r>
                  <w:r w:rsidRPr="006E0F3C">
                    <w:rPr>
                      <w:rFonts w:hint="eastAsia"/>
                    </w:rPr>
                    <w:t>月</w:t>
                  </w:r>
                  <w:r w:rsidR="008F3050">
                    <w:rPr>
                      <w:rFonts w:hint="eastAsia"/>
                    </w:rPr>
                    <w:t>20</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B10000" w:rsidRDefault="007E3F03" w:rsidP="00B10000">
                  <w:pPr>
                    <w:pStyle w:val="a8"/>
                    <w:jc w:val="right"/>
                  </w:pPr>
                  <w:r>
                    <w:rPr>
                      <w:rFonts w:hint="eastAsia"/>
                    </w:rPr>
                    <w:t>2014</w:t>
                  </w:r>
                  <w:r w:rsidR="00B10000" w:rsidRPr="006E0F3C">
                    <w:rPr>
                      <w:rFonts w:hint="eastAsia"/>
                    </w:rPr>
                    <w:t>年</w:t>
                  </w:r>
                  <w:r w:rsidR="00727788">
                    <w:rPr>
                      <w:rFonts w:hint="eastAsia"/>
                    </w:rPr>
                    <w:t>QDII</w:t>
                  </w:r>
                  <w:r w:rsidR="00B10000" w:rsidRPr="006E0F3C">
                    <w:rPr>
                      <w:rFonts w:hint="eastAsia"/>
                    </w:rPr>
                    <w:t>基金投资策略</w:t>
                  </w:r>
                </w:p>
                <w:p w:rsidR="00B10000" w:rsidRPr="00624366" w:rsidRDefault="008930F3" w:rsidP="00B10000">
                  <w:pPr>
                    <w:pStyle w:val="a8"/>
                    <w:jc w:val="right"/>
                    <w:rPr>
                      <w:sz w:val="28"/>
                      <w:szCs w:val="28"/>
                    </w:rPr>
                  </w:pPr>
                  <w:r>
                    <w:rPr>
                      <w:rFonts w:hint="eastAsia"/>
                      <w:sz w:val="28"/>
                      <w:szCs w:val="28"/>
                    </w:rPr>
                    <w:t>提升风险资产配置，美欧</w:t>
                  </w:r>
                  <w:r w:rsidR="00961C63">
                    <w:rPr>
                      <w:rFonts w:hint="eastAsia"/>
                      <w:sz w:val="28"/>
                      <w:szCs w:val="28"/>
                    </w:rPr>
                    <w:t>产品先行、港股</w:t>
                  </w:r>
                  <w:r w:rsidR="001A08F0" w:rsidRPr="001A08F0">
                    <w:rPr>
                      <w:rFonts w:hint="eastAsia"/>
                      <w:sz w:val="28"/>
                      <w:szCs w:val="28"/>
                    </w:rPr>
                    <w:t>后来居上</w:t>
                  </w:r>
                </w:p>
              </w:txbxContent>
            </v:textbox>
          </v:shape>
          <v:shape id="_x0000_s1030" type="#_x0000_t202" style="position:absolute;left:3246;top:2578;width:7993;height:627" strokecolor="white">
            <v:textbox style="mso-next-textbox:#_x0000_s1030">
              <w:txbxContent>
                <w:p w:rsidR="00B10000" w:rsidRPr="006E0F3C" w:rsidRDefault="00B10000" w:rsidP="00B10000">
                  <w:pPr>
                    <w:pStyle w:val="a9"/>
                  </w:pPr>
                  <w:r w:rsidRPr="006E0F3C">
                    <w:rPr>
                      <w:rFonts w:hint="eastAsia"/>
                    </w:rPr>
                    <w:t xml:space="preserve">张剑辉 首席分析师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39CF"/>
    <w:rsid w:val="000231D8"/>
    <w:rsid w:val="00023796"/>
    <w:rsid w:val="000265D8"/>
    <w:rsid w:val="000328B6"/>
    <w:rsid w:val="00034C20"/>
    <w:rsid w:val="00037CEE"/>
    <w:rsid w:val="00041663"/>
    <w:rsid w:val="00042511"/>
    <w:rsid w:val="00043F19"/>
    <w:rsid w:val="00045C62"/>
    <w:rsid w:val="00050023"/>
    <w:rsid w:val="00050CB3"/>
    <w:rsid w:val="00050E4D"/>
    <w:rsid w:val="0005277F"/>
    <w:rsid w:val="000557B6"/>
    <w:rsid w:val="00055A94"/>
    <w:rsid w:val="0006310E"/>
    <w:rsid w:val="0006328D"/>
    <w:rsid w:val="00066AE4"/>
    <w:rsid w:val="00067124"/>
    <w:rsid w:val="000673AB"/>
    <w:rsid w:val="000701BA"/>
    <w:rsid w:val="00071EEE"/>
    <w:rsid w:val="00076C93"/>
    <w:rsid w:val="00077C83"/>
    <w:rsid w:val="000833A9"/>
    <w:rsid w:val="00084317"/>
    <w:rsid w:val="000843F2"/>
    <w:rsid w:val="00085598"/>
    <w:rsid w:val="00085655"/>
    <w:rsid w:val="00090EDA"/>
    <w:rsid w:val="000944C8"/>
    <w:rsid w:val="0009555A"/>
    <w:rsid w:val="000A11D0"/>
    <w:rsid w:val="000A3F69"/>
    <w:rsid w:val="000A4129"/>
    <w:rsid w:val="000A7E4F"/>
    <w:rsid w:val="000B1973"/>
    <w:rsid w:val="000C0F39"/>
    <w:rsid w:val="000C1903"/>
    <w:rsid w:val="000C7B7F"/>
    <w:rsid w:val="000D2CCD"/>
    <w:rsid w:val="000D6608"/>
    <w:rsid w:val="000E3D39"/>
    <w:rsid w:val="000E3E62"/>
    <w:rsid w:val="000E4058"/>
    <w:rsid w:val="000E4372"/>
    <w:rsid w:val="000E456D"/>
    <w:rsid w:val="000E5477"/>
    <w:rsid w:val="000E63CE"/>
    <w:rsid w:val="000E6661"/>
    <w:rsid w:val="000F0414"/>
    <w:rsid w:val="000F0644"/>
    <w:rsid w:val="000F0E1C"/>
    <w:rsid w:val="000F1B1F"/>
    <w:rsid w:val="000F5835"/>
    <w:rsid w:val="000F61AF"/>
    <w:rsid w:val="001022E0"/>
    <w:rsid w:val="00104D78"/>
    <w:rsid w:val="00105047"/>
    <w:rsid w:val="00106AE1"/>
    <w:rsid w:val="00111020"/>
    <w:rsid w:val="00111800"/>
    <w:rsid w:val="001129A7"/>
    <w:rsid w:val="0011362B"/>
    <w:rsid w:val="00116CE6"/>
    <w:rsid w:val="001174ED"/>
    <w:rsid w:val="00121796"/>
    <w:rsid w:val="00121D01"/>
    <w:rsid w:val="001303DF"/>
    <w:rsid w:val="00132D06"/>
    <w:rsid w:val="00133B72"/>
    <w:rsid w:val="00134C7D"/>
    <w:rsid w:val="00135D1D"/>
    <w:rsid w:val="00135D43"/>
    <w:rsid w:val="001375D6"/>
    <w:rsid w:val="00137BB5"/>
    <w:rsid w:val="00137F76"/>
    <w:rsid w:val="001410E9"/>
    <w:rsid w:val="00141972"/>
    <w:rsid w:val="0014367C"/>
    <w:rsid w:val="00143D49"/>
    <w:rsid w:val="0014690B"/>
    <w:rsid w:val="00150E9C"/>
    <w:rsid w:val="001538B5"/>
    <w:rsid w:val="00154EF6"/>
    <w:rsid w:val="0015655D"/>
    <w:rsid w:val="00165A67"/>
    <w:rsid w:val="0017077D"/>
    <w:rsid w:val="001724A7"/>
    <w:rsid w:val="001805D8"/>
    <w:rsid w:val="001808A5"/>
    <w:rsid w:val="0018379B"/>
    <w:rsid w:val="00185269"/>
    <w:rsid w:val="00187A6C"/>
    <w:rsid w:val="00187DCA"/>
    <w:rsid w:val="00191ED7"/>
    <w:rsid w:val="00192636"/>
    <w:rsid w:val="00192CCD"/>
    <w:rsid w:val="001A08F0"/>
    <w:rsid w:val="001A1E27"/>
    <w:rsid w:val="001A22C5"/>
    <w:rsid w:val="001B199A"/>
    <w:rsid w:val="001B515B"/>
    <w:rsid w:val="001B7585"/>
    <w:rsid w:val="001B7CE9"/>
    <w:rsid w:val="001C0B27"/>
    <w:rsid w:val="001C6BCF"/>
    <w:rsid w:val="001C73E7"/>
    <w:rsid w:val="001D207F"/>
    <w:rsid w:val="001D25E4"/>
    <w:rsid w:val="001D5CA8"/>
    <w:rsid w:val="001D61DA"/>
    <w:rsid w:val="001D7205"/>
    <w:rsid w:val="001D7AA2"/>
    <w:rsid w:val="001D7EE7"/>
    <w:rsid w:val="001E368C"/>
    <w:rsid w:val="001F1D4C"/>
    <w:rsid w:val="001F643C"/>
    <w:rsid w:val="001F675C"/>
    <w:rsid w:val="00200AB4"/>
    <w:rsid w:val="00202133"/>
    <w:rsid w:val="002024F7"/>
    <w:rsid w:val="00202C2B"/>
    <w:rsid w:val="00213E5B"/>
    <w:rsid w:val="00214BB0"/>
    <w:rsid w:val="00216121"/>
    <w:rsid w:val="002255EF"/>
    <w:rsid w:val="00231D69"/>
    <w:rsid w:val="00231F40"/>
    <w:rsid w:val="00234E87"/>
    <w:rsid w:val="00235BFC"/>
    <w:rsid w:val="002361A7"/>
    <w:rsid w:val="002407A6"/>
    <w:rsid w:val="00245441"/>
    <w:rsid w:val="002517F4"/>
    <w:rsid w:val="002552AA"/>
    <w:rsid w:val="002554A2"/>
    <w:rsid w:val="00256A3A"/>
    <w:rsid w:val="002573A7"/>
    <w:rsid w:val="00257DC7"/>
    <w:rsid w:val="002601D3"/>
    <w:rsid w:val="00260A5C"/>
    <w:rsid w:val="00262C91"/>
    <w:rsid w:val="002630FB"/>
    <w:rsid w:val="0026533F"/>
    <w:rsid w:val="0026680A"/>
    <w:rsid w:val="00266A21"/>
    <w:rsid w:val="002671F9"/>
    <w:rsid w:val="00267CF8"/>
    <w:rsid w:val="00267DED"/>
    <w:rsid w:val="00270864"/>
    <w:rsid w:val="00272E74"/>
    <w:rsid w:val="00276646"/>
    <w:rsid w:val="00281FBC"/>
    <w:rsid w:val="002845EC"/>
    <w:rsid w:val="002853DC"/>
    <w:rsid w:val="002858BB"/>
    <w:rsid w:val="00291242"/>
    <w:rsid w:val="0029365B"/>
    <w:rsid w:val="00294162"/>
    <w:rsid w:val="00294643"/>
    <w:rsid w:val="0029726E"/>
    <w:rsid w:val="002A40AC"/>
    <w:rsid w:val="002A43A5"/>
    <w:rsid w:val="002A65DD"/>
    <w:rsid w:val="002A6888"/>
    <w:rsid w:val="002B2023"/>
    <w:rsid w:val="002B3483"/>
    <w:rsid w:val="002B4D9D"/>
    <w:rsid w:val="002C298E"/>
    <w:rsid w:val="002C3736"/>
    <w:rsid w:val="002C3F13"/>
    <w:rsid w:val="002C7CF5"/>
    <w:rsid w:val="002D00FC"/>
    <w:rsid w:val="002D03E8"/>
    <w:rsid w:val="002D1C41"/>
    <w:rsid w:val="002D58EB"/>
    <w:rsid w:val="002D7507"/>
    <w:rsid w:val="002E07CF"/>
    <w:rsid w:val="002E090F"/>
    <w:rsid w:val="002E794A"/>
    <w:rsid w:val="002F032B"/>
    <w:rsid w:val="002F3A75"/>
    <w:rsid w:val="002F4BE8"/>
    <w:rsid w:val="002F4E5A"/>
    <w:rsid w:val="002F5052"/>
    <w:rsid w:val="0030479E"/>
    <w:rsid w:val="00304CE2"/>
    <w:rsid w:val="00305027"/>
    <w:rsid w:val="003055F3"/>
    <w:rsid w:val="00305C2C"/>
    <w:rsid w:val="00306191"/>
    <w:rsid w:val="00310654"/>
    <w:rsid w:val="003138FF"/>
    <w:rsid w:val="00313A3F"/>
    <w:rsid w:val="00313D2F"/>
    <w:rsid w:val="00313F55"/>
    <w:rsid w:val="00316E11"/>
    <w:rsid w:val="003204D2"/>
    <w:rsid w:val="00324B13"/>
    <w:rsid w:val="00326A6A"/>
    <w:rsid w:val="003270E5"/>
    <w:rsid w:val="00327CFE"/>
    <w:rsid w:val="00331F30"/>
    <w:rsid w:val="0033245F"/>
    <w:rsid w:val="00333E93"/>
    <w:rsid w:val="00333EF1"/>
    <w:rsid w:val="00335ADC"/>
    <w:rsid w:val="00337589"/>
    <w:rsid w:val="00337E7C"/>
    <w:rsid w:val="003417A8"/>
    <w:rsid w:val="00343F99"/>
    <w:rsid w:val="003466B1"/>
    <w:rsid w:val="003479A6"/>
    <w:rsid w:val="00347B08"/>
    <w:rsid w:val="00351DD0"/>
    <w:rsid w:val="00354067"/>
    <w:rsid w:val="00356A17"/>
    <w:rsid w:val="00357B6B"/>
    <w:rsid w:val="003617DB"/>
    <w:rsid w:val="003629A1"/>
    <w:rsid w:val="003648A6"/>
    <w:rsid w:val="00364DD0"/>
    <w:rsid w:val="00365E58"/>
    <w:rsid w:val="00367B9E"/>
    <w:rsid w:val="00371190"/>
    <w:rsid w:val="0037480E"/>
    <w:rsid w:val="003772E3"/>
    <w:rsid w:val="00381624"/>
    <w:rsid w:val="0038355F"/>
    <w:rsid w:val="00385194"/>
    <w:rsid w:val="00391A99"/>
    <w:rsid w:val="00397E0D"/>
    <w:rsid w:val="003A17E4"/>
    <w:rsid w:val="003A3BE2"/>
    <w:rsid w:val="003A40CC"/>
    <w:rsid w:val="003A6147"/>
    <w:rsid w:val="003B1AE5"/>
    <w:rsid w:val="003B3B3E"/>
    <w:rsid w:val="003B7474"/>
    <w:rsid w:val="003C7EF4"/>
    <w:rsid w:val="003D0F26"/>
    <w:rsid w:val="003D0F9D"/>
    <w:rsid w:val="003E06B9"/>
    <w:rsid w:val="003E07BE"/>
    <w:rsid w:val="003E595A"/>
    <w:rsid w:val="003E5D02"/>
    <w:rsid w:val="003E72F7"/>
    <w:rsid w:val="003F0418"/>
    <w:rsid w:val="003F4869"/>
    <w:rsid w:val="003F4996"/>
    <w:rsid w:val="003F4F7D"/>
    <w:rsid w:val="003F5C3B"/>
    <w:rsid w:val="003F6CBD"/>
    <w:rsid w:val="003F6FBC"/>
    <w:rsid w:val="003F7539"/>
    <w:rsid w:val="00402AD8"/>
    <w:rsid w:val="00403345"/>
    <w:rsid w:val="004074F4"/>
    <w:rsid w:val="00413BF4"/>
    <w:rsid w:val="00415138"/>
    <w:rsid w:val="00415CB9"/>
    <w:rsid w:val="00416864"/>
    <w:rsid w:val="004169E6"/>
    <w:rsid w:val="00423D9D"/>
    <w:rsid w:val="00424971"/>
    <w:rsid w:val="00426354"/>
    <w:rsid w:val="00427188"/>
    <w:rsid w:val="00431666"/>
    <w:rsid w:val="00432EE0"/>
    <w:rsid w:val="0043361C"/>
    <w:rsid w:val="004343AF"/>
    <w:rsid w:val="0043757C"/>
    <w:rsid w:val="00440EAF"/>
    <w:rsid w:val="00444099"/>
    <w:rsid w:val="0044427B"/>
    <w:rsid w:val="00450577"/>
    <w:rsid w:val="00453CD2"/>
    <w:rsid w:val="004547C3"/>
    <w:rsid w:val="004563F6"/>
    <w:rsid w:val="00457391"/>
    <w:rsid w:val="00457D8F"/>
    <w:rsid w:val="004606A5"/>
    <w:rsid w:val="00462717"/>
    <w:rsid w:val="0046694D"/>
    <w:rsid w:val="00470271"/>
    <w:rsid w:val="004707A6"/>
    <w:rsid w:val="00471193"/>
    <w:rsid w:val="00473775"/>
    <w:rsid w:val="004746A0"/>
    <w:rsid w:val="00475C3E"/>
    <w:rsid w:val="004766E1"/>
    <w:rsid w:val="0048428F"/>
    <w:rsid w:val="00484937"/>
    <w:rsid w:val="00485021"/>
    <w:rsid w:val="004854C2"/>
    <w:rsid w:val="00486443"/>
    <w:rsid w:val="00492AA7"/>
    <w:rsid w:val="00493777"/>
    <w:rsid w:val="00496148"/>
    <w:rsid w:val="004A00A0"/>
    <w:rsid w:val="004A2ACB"/>
    <w:rsid w:val="004A3F8A"/>
    <w:rsid w:val="004A4EB8"/>
    <w:rsid w:val="004A5AAC"/>
    <w:rsid w:val="004A61EA"/>
    <w:rsid w:val="004B7950"/>
    <w:rsid w:val="004C4243"/>
    <w:rsid w:val="004C5FCE"/>
    <w:rsid w:val="004D3898"/>
    <w:rsid w:val="004D3B59"/>
    <w:rsid w:val="004D4564"/>
    <w:rsid w:val="004D4829"/>
    <w:rsid w:val="004D5065"/>
    <w:rsid w:val="004E4714"/>
    <w:rsid w:val="004E66AA"/>
    <w:rsid w:val="004E67CB"/>
    <w:rsid w:val="004E6B1A"/>
    <w:rsid w:val="004E6CD6"/>
    <w:rsid w:val="004F0E68"/>
    <w:rsid w:val="004F1697"/>
    <w:rsid w:val="004F1BEE"/>
    <w:rsid w:val="004F3511"/>
    <w:rsid w:val="004F5DA2"/>
    <w:rsid w:val="005005FF"/>
    <w:rsid w:val="005023CA"/>
    <w:rsid w:val="00507DE8"/>
    <w:rsid w:val="00507DF9"/>
    <w:rsid w:val="00510AD6"/>
    <w:rsid w:val="00510C2A"/>
    <w:rsid w:val="00511FB9"/>
    <w:rsid w:val="00513D94"/>
    <w:rsid w:val="00515A3A"/>
    <w:rsid w:val="00517732"/>
    <w:rsid w:val="00525FCF"/>
    <w:rsid w:val="005260F4"/>
    <w:rsid w:val="0053072C"/>
    <w:rsid w:val="0053086C"/>
    <w:rsid w:val="00531227"/>
    <w:rsid w:val="00535E88"/>
    <w:rsid w:val="005369F2"/>
    <w:rsid w:val="005374AF"/>
    <w:rsid w:val="00537CA0"/>
    <w:rsid w:val="00540ECB"/>
    <w:rsid w:val="0054148D"/>
    <w:rsid w:val="0054187B"/>
    <w:rsid w:val="00541D5F"/>
    <w:rsid w:val="005441FC"/>
    <w:rsid w:val="00545E37"/>
    <w:rsid w:val="0054734F"/>
    <w:rsid w:val="005517A3"/>
    <w:rsid w:val="00553335"/>
    <w:rsid w:val="00560F6B"/>
    <w:rsid w:val="00561462"/>
    <w:rsid w:val="00562AA0"/>
    <w:rsid w:val="00565F3D"/>
    <w:rsid w:val="0056688A"/>
    <w:rsid w:val="00567143"/>
    <w:rsid w:val="00570339"/>
    <w:rsid w:val="00572623"/>
    <w:rsid w:val="00574669"/>
    <w:rsid w:val="005775C2"/>
    <w:rsid w:val="00577F2A"/>
    <w:rsid w:val="00583FF5"/>
    <w:rsid w:val="00585868"/>
    <w:rsid w:val="00586AE5"/>
    <w:rsid w:val="005915EE"/>
    <w:rsid w:val="005929C2"/>
    <w:rsid w:val="005931A6"/>
    <w:rsid w:val="00594204"/>
    <w:rsid w:val="00594A9C"/>
    <w:rsid w:val="00595638"/>
    <w:rsid w:val="005A124E"/>
    <w:rsid w:val="005A2446"/>
    <w:rsid w:val="005A28F3"/>
    <w:rsid w:val="005A42DE"/>
    <w:rsid w:val="005A516C"/>
    <w:rsid w:val="005B0A76"/>
    <w:rsid w:val="005B5570"/>
    <w:rsid w:val="005B6164"/>
    <w:rsid w:val="005C19DC"/>
    <w:rsid w:val="005C3BF6"/>
    <w:rsid w:val="005C4FC7"/>
    <w:rsid w:val="005C5809"/>
    <w:rsid w:val="005D0C14"/>
    <w:rsid w:val="005D0C61"/>
    <w:rsid w:val="005D346C"/>
    <w:rsid w:val="005D5383"/>
    <w:rsid w:val="005D5F64"/>
    <w:rsid w:val="005E0685"/>
    <w:rsid w:val="005E3093"/>
    <w:rsid w:val="005E46A9"/>
    <w:rsid w:val="005E4D6F"/>
    <w:rsid w:val="005E6F90"/>
    <w:rsid w:val="005F0D58"/>
    <w:rsid w:val="005F1259"/>
    <w:rsid w:val="005F237F"/>
    <w:rsid w:val="005F2541"/>
    <w:rsid w:val="005F4133"/>
    <w:rsid w:val="005F5C6C"/>
    <w:rsid w:val="005F5E5D"/>
    <w:rsid w:val="0060046D"/>
    <w:rsid w:val="00603262"/>
    <w:rsid w:val="006038A3"/>
    <w:rsid w:val="006065D9"/>
    <w:rsid w:val="00606663"/>
    <w:rsid w:val="00607330"/>
    <w:rsid w:val="00607D72"/>
    <w:rsid w:val="00610F20"/>
    <w:rsid w:val="00611CFD"/>
    <w:rsid w:val="00612436"/>
    <w:rsid w:val="006152E1"/>
    <w:rsid w:val="00615A49"/>
    <w:rsid w:val="006163DD"/>
    <w:rsid w:val="006213FA"/>
    <w:rsid w:val="00623C62"/>
    <w:rsid w:val="00624902"/>
    <w:rsid w:val="00625E12"/>
    <w:rsid w:val="006275E1"/>
    <w:rsid w:val="006329D2"/>
    <w:rsid w:val="00635E4C"/>
    <w:rsid w:val="00636287"/>
    <w:rsid w:val="006402FE"/>
    <w:rsid w:val="006416FF"/>
    <w:rsid w:val="00641A96"/>
    <w:rsid w:val="00641DBF"/>
    <w:rsid w:val="00641EA5"/>
    <w:rsid w:val="006459A3"/>
    <w:rsid w:val="006471EE"/>
    <w:rsid w:val="00647B3C"/>
    <w:rsid w:val="00651C47"/>
    <w:rsid w:val="00652CCC"/>
    <w:rsid w:val="00656031"/>
    <w:rsid w:val="00663E1C"/>
    <w:rsid w:val="006731CB"/>
    <w:rsid w:val="00673980"/>
    <w:rsid w:val="0068023B"/>
    <w:rsid w:val="00680E52"/>
    <w:rsid w:val="006845E1"/>
    <w:rsid w:val="0068772B"/>
    <w:rsid w:val="00690228"/>
    <w:rsid w:val="00690887"/>
    <w:rsid w:val="00693C50"/>
    <w:rsid w:val="006943F2"/>
    <w:rsid w:val="0069510C"/>
    <w:rsid w:val="00695146"/>
    <w:rsid w:val="00695441"/>
    <w:rsid w:val="00696A93"/>
    <w:rsid w:val="00697A97"/>
    <w:rsid w:val="006A069E"/>
    <w:rsid w:val="006A0D29"/>
    <w:rsid w:val="006A2049"/>
    <w:rsid w:val="006A4518"/>
    <w:rsid w:val="006A4FF1"/>
    <w:rsid w:val="006B3459"/>
    <w:rsid w:val="006B3FE3"/>
    <w:rsid w:val="006B7306"/>
    <w:rsid w:val="006B7ECA"/>
    <w:rsid w:val="006C1C00"/>
    <w:rsid w:val="006C619C"/>
    <w:rsid w:val="006D17EB"/>
    <w:rsid w:val="006D414A"/>
    <w:rsid w:val="006D420B"/>
    <w:rsid w:val="006D7395"/>
    <w:rsid w:val="006D7920"/>
    <w:rsid w:val="006E18E9"/>
    <w:rsid w:val="006E3DAD"/>
    <w:rsid w:val="006E5BF7"/>
    <w:rsid w:val="006E5F71"/>
    <w:rsid w:val="006F4F16"/>
    <w:rsid w:val="006F6FCB"/>
    <w:rsid w:val="00702532"/>
    <w:rsid w:val="00702572"/>
    <w:rsid w:val="007052DF"/>
    <w:rsid w:val="00705DF9"/>
    <w:rsid w:val="00714187"/>
    <w:rsid w:val="00714366"/>
    <w:rsid w:val="00716B46"/>
    <w:rsid w:val="00717FB1"/>
    <w:rsid w:val="00724B0D"/>
    <w:rsid w:val="00725597"/>
    <w:rsid w:val="0072608C"/>
    <w:rsid w:val="00726CC9"/>
    <w:rsid w:val="00727661"/>
    <w:rsid w:val="00727788"/>
    <w:rsid w:val="007328E6"/>
    <w:rsid w:val="007329C1"/>
    <w:rsid w:val="00735F30"/>
    <w:rsid w:val="00736E5E"/>
    <w:rsid w:val="00745B91"/>
    <w:rsid w:val="00746D3D"/>
    <w:rsid w:val="00752130"/>
    <w:rsid w:val="00752A4A"/>
    <w:rsid w:val="00752BF9"/>
    <w:rsid w:val="007560E1"/>
    <w:rsid w:val="007638B8"/>
    <w:rsid w:val="00765AD8"/>
    <w:rsid w:val="00767031"/>
    <w:rsid w:val="0078084B"/>
    <w:rsid w:val="00780FF6"/>
    <w:rsid w:val="00784F25"/>
    <w:rsid w:val="00787006"/>
    <w:rsid w:val="007901D0"/>
    <w:rsid w:val="00794C76"/>
    <w:rsid w:val="007A3D70"/>
    <w:rsid w:val="007A5170"/>
    <w:rsid w:val="007A6160"/>
    <w:rsid w:val="007B29F8"/>
    <w:rsid w:val="007B2E80"/>
    <w:rsid w:val="007B3754"/>
    <w:rsid w:val="007B57FB"/>
    <w:rsid w:val="007C0A3D"/>
    <w:rsid w:val="007C0F48"/>
    <w:rsid w:val="007C20B0"/>
    <w:rsid w:val="007C27B0"/>
    <w:rsid w:val="007C2DC1"/>
    <w:rsid w:val="007C5B38"/>
    <w:rsid w:val="007D43A9"/>
    <w:rsid w:val="007D6F86"/>
    <w:rsid w:val="007E1C31"/>
    <w:rsid w:val="007E3851"/>
    <w:rsid w:val="007E3F03"/>
    <w:rsid w:val="007F3B37"/>
    <w:rsid w:val="007F51AD"/>
    <w:rsid w:val="007F5299"/>
    <w:rsid w:val="008039CB"/>
    <w:rsid w:val="00804B72"/>
    <w:rsid w:val="00805E9F"/>
    <w:rsid w:val="0081385D"/>
    <w:rsid w:val="00814F3E"/>
    <w:rsid w:val="00824F82"/>
    <w:rsid w:val="00827ADD"/>
    <w:rsid w:val="00830248"/>
    <w:rsid w:val="00833A44"/>
    <w:rsid w:val="008342AE"/>
    <w:rsid w:val="00836640"/>
    <w:rsid w:val="00840DBB"/>
    <w:rsid w:val="0084230C"/>
    <w:rsid w:val="008430F9"/>
    <w:rsid w:val="00845ED8"/>
    <w:rsid w:val="00847AA8"/>
    <w:rsid w:val="00850F7D"/>
    <w:rsid w:val="008534D6"/>
    <w:rsid w:val="00854662"/>
    <w:rsid w:val="008548EB"/>
    <w:rsid w:val="00860C88"/>
    <w:rsid w:val="00862216"/>
    <w:rsid w:val="00863E8D"/>
    <w:rsid w:val="00865AE1"/>
    <w:rsid w:val="00866EB0"/>
    <w:rsid w:val="008671B5"/>
    <w:rsid w:val="00870363"/>
    <w:rsid w:val="0087096B"/>
    <w:rsid w:val="00874E33"/>
    <w:rsid w:val="00877DDE"/>
    <w:rsid w:val="008840A4"/>
    <w:rsid w:val="00890691"/>
    <w:rsid w:val="00891377"/>
    <w:rsid w:val="008930F3"/>
    <w:rsid w:val="008971C7"/>
    <w:rsid w:val="008A6D30"/>
    <w:rsid w:val="008B1AAF"/>
    <w:rsid w:val="008B4461"/>
    <w:rsid w:val="008B498B"/>
    <w:rsid w:val="008B619F"/>
    <w:rsid w:val="008D2811"/>
    <w:rsid w:val="008D337E"/>
    <w:rsid w:val="008D5957"/>
    <w:rsid w:val="008E1755"/>
    <w:rsid w:val="008E2194"/>
    <w:rsid w:val="008E2240"/>
    <w:rsid w:val="008E2ED3"/>
    <w:rsid w:val="008E32C7"/>
    <w:rsid w:val="008E3FC9"/>
    <w:rsid w:val="008E56BA"/>
    <w:rsid w:val="008F2245"/>
    <w:rsid w:val="008F2278"/>
    <w:rsid w:val="008F2347"/>
    <w:rsid w:val="008F25E7"/>
    <w:rsid w:val="008F3050"/>
    <w:rsid w:val="008F5B60"/>
    <w:rsid w:val="008F7193"/>
    <w:rsid w:val="00901625"/>
    <w:rsid w:val="00901AE0"/>
    <w:rsid w:val="009033D3"/>
    <w:rsid w:val="009110CF"/>
    <w:rsid w:val="00911C9F"/>
    <w:rsid w:val="0091230C"/>
    <w:rsid w:val="00920CE3"/>
    <w:rsid w:val="00922094"/>
    <w:rsid w:val="0093198A"/>
    <w:rsid w:val="0093336C"/>
    <w:rsid w:val="009339F7"/>
    <w:rsid w:val="00933F92"/>
    <w:rsid w:val="00934164"/>
    <w:rsid w:val="00936961"/>
    <w:rsid w:val="00940A07"/>
    <w:rsid w:val="00947170"/>
    <w:rsid w:val="00950219"/>
    <w:rsid w:val="00951D9B"/>
    <w:rsid w:val="009528F8"/>
    <w:rsid w:val="009608E0"/>
    <w:rsid w:val="00961C63"/>
    <w:rsid w:val="009670D1"/>
    <w:rsid w:val="00975508"/>
    <w:rsid w:val="009841C0"/>
    <w:rsid w:val="00984471"/>
    <w:rsid w:val="00984AC8"/>
    <w:rsid w:val="009852C2"/>
    <w:rsid w:val="0098541B"/>
    <w:rsid w:val="00993288"/>
    <w:rsid w:val="00994E93"/>
    <w:rsid w:val="00997106"/>
    <w:rsid w:val="0099751C"/>
    <w:rsid w:val="009A1DA9"/>
    <w:rsid w:val="009A713A"/>
    <w:rsid w:val="009B2201"/>
    <w:rsid w:val="009B426A"/>
    <w:rsid w:val="009B4D8F"/>
    <w:rsid w:val="009B7E0D"/>
    <w:rsid w:val="009C11F3"/>
    <w:rsid w:val="009C227F"/>
    <w:rsid w:val="009C5C14"/>
    <w:rsid w:val="009C684E"/>
    <w:rsid w:val="009D0D4E"/>
    <w:rsid w:val="009D0D58"/>
    <w:rsid w:val="009D169B"/>
    <w:rsid w:val="009D3972"/>
    <w:rsid w:val="009E2581"/>
    <w:rsid w:val="009E5D21"/>
    <w:rsid w:val="009E686E"/>
    <w:rsid w:val="009E6FA3"/>
    <w:rsid w:val="009E7AD5"/>
    <w:rsid w:val="009F10A3"/>
    <w:rsid w:val="00A00AB5"/>
    <w:rsid w:val="00A04B0C"/>
    <w:rsid w:val="00A06A81"/>
    <w:rsid w:val="00A1182D"/>
    <w:rsid w:val="00A14BCC"/>
    <w:rsid w:val="00A14C92"/>
    <w:rsid w:val="00A15B84"/>
    <w:rsid w:val="00A20020"/>
    <w:rsid w:val="00A273A4"/>
    <w:rsid w:val="00A31FE8"/>
    <w:rsid w:val="00A32BD8"/>
    <w:rsid w:val="00A32F91"/>
    <w:rsid w:val="00A346F9"/>
    <w:rsid w:val="00A34B43"/>
    <w:rsid w:val="00A3568E"/>
    <w:rsid w:val="00A40EF9"/>
    <w:rsid w:val="00A420B3"/>
    <w:rsid w:val="00A453FA"/>
    <w:rsid w:val="00A46177"/>
    <w:rsid w:val="00A50422"/>
    <w:rsid w:val="00A5050A"/>
    <w:rsid w:val="00A543C7"/>
    <w:rsid w:val="00A55E4C"/>
    <w:rsid w:val="00A56288"/>
    <w:rsid w:val="00A568C5"/>
    <w:rsid w:val="00A57064"/>
    <w:rsid w:val="00A6050A"/>
    <w:rsid w:val="00A62335"/>
    <w:rsid w:val="00A627F5"/>
    <w:rsid w:val="00A62AB3"/>
    <w:rsid w:val="00A65062"/>
    <w:rsid w:val="00A661C7"/>
    <w:rsid w:val="00A6625D"/>
    <w:rsid w:val="00A70401"/>
    <w:rsid w:val="00A710EB"/>
    <w:rsid w:val="00A71F90"/>
    <w:rsid w:val="00A75C00"/>
    <w:rsid w:val="00A7743A"/>
    <w:rsid w:val="00A80AB7"/>
    <w:rsid w:val="00A80CB9"/>
    <w:rsid w:val="00A80EC2"/>
    <w:rsid w:val="00A83933"/>
    <w:rsid w:val="00A85E72"/>
    <w:rsid w:val="00A87896"/>
    <w:rsid w:val="00A903D9"/>
    <w:rsid w:val="00A91868"/>
    <w:rsid w:val="00A91CB8"/>
    <w:rsid w:val="00A9302E"/>
    <w:rsid w:val="00A96301"/>
    <w:rsid w:val="00AA29B7"/>
    <w:rsid w:val="00AA5276"/>
    <w:rsid w:val="00AA7623"/>
    <w:rsid w:val="00AA7697"/>
    <w:rsid w:val="00AB4924"/>
    <w:rsid w:val="00AB78E7"/>
    <w:rsid w:val="00AC2C10"/>
    <w:rsid w:val="00AC387E"/>
    <w:rsid w:val="00AD3C64"/>
    <w:rsid w:val="00AD44FF"/>
    <w:rsid w:val="00AD4A34"/>
    <w:rsid w:val="00AD4CFF"/>
    <w:rsid w:val="00AD5573"/>
    <w:rsid w:val="00AE310F"/>
    <w:rsid w:val="00AE4171"/>
    <w:rsid w:val="00AF250E"/>
    <w:rsid w:val="00AF45A6"/>
    <w:rsid w:val="00AF528B"/>
    <w:rsid w:val="00AF5A86"/>
    <w:rsid w:val="00B002DE"/>
    <w:rsid w:val="00B008C3"/>
    <w:rsid w:val="00B014B1"/>
    <w:rsid w:val="00B02942"/>
    <w:rsid w:val="00B05EA5"/>
    <w:rsid w:val="00B07ED5"/>
    <w:rsid w:val="00B10000"/>
    <w:rsid w:val="00B132CF"/>
    <w:rsid w:val="00B14614"/>
    <w:rsid w:val="00B1539C"/>
    <w:rsid w:val="00B222C6"/>
    <w:rsid w:val="00B24707"/>
    <w:rsid w:val="00B30266"/>
    <w:rsid w:val="00B3041A"/>
    <w:rsid w:val="00B340D8"/>
    <w:rsid w:val="00B347C5"/>
    <w:rsid w:val="00B3521A"/>
    <w:rsid w:val="00B370E8"/>
    <w:rsid w:val="00B433EE"/>
    <w:rsid w:val="00B44557"/>
    <w:rsid w:val="00B45599"/>
    <w:rsid w:val="00B5397B"/>
    <w:rsid w:val="00B55979"/>
    <w:rsid w:val="00B55C1E"/>
    <w:rsid w:val="00B55E8D"/>
    <w:rsid w:val="00B565F2"/>
    <w:rsid w:val="00B603A5"/>
    <w:rsid w:val="00B659CB"/>
    <w:rsid w:val="00B7190A"/>
    <w:rsid w:val="00B72D73"/>
    <w:rsid w:val="00B75AA1"/>
    <w:rsid w:val="00B7781B"/>
    <w:rsid w:val="00B80E95"/>
    <w:rsid w:val="00B8445D"/>
    <w:rsid w:val="00B85179"/>
    <w:rsid w:val="00B9628C"/>
    <w:rsid w:val="00BA0DF7"/>
    <w:rsid w:val="00BA1BD4"/>
    <w:rsid w:val="00BA259D"/>
    <w:rsid w:val="00BA663F"/>
    <w:rsid w:val="00BA7445"/>
    <w:rsid w:val="00BA777F"/>
    <w:rsid w:val="00BB451F"/>
    <w:rsid w:val="00BD3858"/>
    <w:rsid w:val="00BD6050"/>
    <w:rsid w:val="00BD6677"/>
    <w:rsid w:val="00BD70DF"/>
    <w:rsid w:val="00BE1EDE"/>
    <w:rsid w:val="00BE3BA0"/>
    <w:rsid w:val="00BE3DFC"/>
    <w:rsid w:val="00BE6051"/>
    <w:rsid w:val="00BE7059"/>
    <w:rsid w:val="00BF0607"/>
    <w:rsid w:val="00BF1706"/>
    <w:rsid w:val="00BF6DB3"/>
    <w:rsid w:val="00C0083E"/>
    <w:rsid w:val="00C017B0"/>
    <w:rsid w:val="00C06FAF"/>
    <w:rsid w:val="00C120F7"/>
    <w:rsid w:val="00C13FCF"/>
    <w:rsid w:val="00C15143"/>
    <w:rsid w:val="00C151C5"/>
    <w:rsid w:val="00C15C64"/>
    <w:rsid w:val="00C16315"/>
    <w:rsid w:val="00C16FBC"/>
    <w:rsid w:val="00C21EDC"/>
    <w:rsid w:val="00C31C73"/>
    <w:rsid w:val="00C32DE2"/>
    <w:rsid w:val="00C37E76"/>
    <w:rsid w:val="00C43DE3"/>
    <w:rsid w:val="00C4461A"/>
    <w:rsid w:val="00C544CB"/>
    <w:rsid w:val="00C57675"/>
    <w:rsid w:val="00C57E18"/>
    <w:rsid w:val="00C6448F"/>
    <w:rsid w:val="00C6707E"/>
    <w:rsid w:val="00C671E9"/>
    <w:rsid w:val="00C6766A"/>
    <w:rsid w:val="00C67E70"/>
    <w:rsid w:val="00C701B7"/>
    <w:rsid w:val="00C71665"/>
    <w:rsid w:val="00C75DE3"/>
    <w:rsid w:val="00C77E38"/>
    <w:rsid w:val="00C806CE"/>
    <w:rsid w:val="00C879C4"/>
    <w:rsid w:val="00C90432"/>
    <w:rsid w:val="00C908C8"/>
    <w:rsid w:val="00C92F14"/>
    <w:rsid w:val="00C96CBC"/>
    <w:rsid w:val="00CA0134"/>
    <w:rsid w:val="00CA11D3"/>
    <w:rsid w:val="00CA14E2"/>
    <w:rsid w:val="00CA1668"/>
    <w:rsid w:val="00CA1E0C"/>
    <w:rsid w:val="00CA38FA"/>
    <w:rsid w:val="00CA3F5C"/>
    <w:rsid w:val="00CA5FB5"/>
    <w:rsid w:val="00CB11ED"/>
    <w:rsid w:val="00CB768C"/>
    <w:rsid w:val="00CC18F1"/>
    <w:rsid w:val="00CC3F72"/>
    <w:rsid w:val="00CD0A32"/>
    <w:rsid w:val="00CF29CB"/>
    <w:rsid w:val="00CF75A9"/>
    <w:rsid w:val="00CF7AC0"/>
    <w:rsid w:val="00D00627"/>
    <w:rsid w:val="00D019E8"/>
    <w:rsid w:val="00D14D0B"/>
    <w:rsid w:val="00D157AF"/>
    <w:rsid w:val="00D15803"/>
    <w:rsid w:val="00D17C04"/>
    <w:rsid w:val="00D23B02"/>
    <w:rsid w:val="00D2619D"/>
    <w:rsid w:val="00D33722"/>
    <w:rsid w:val="00D35681"/>
    <w:rsid w:val="00D37EE4"/>
    <w:rsid w:val="00D40869"/>
    <w:rsid w:val="00D43F89"/>
    <w:rsid w:val="00D44A82"/>
    <w:rsid w:val="00D45BA5"/>
    <w:rsid w:val="00D50B61"/>
    <w:rsid w:val="00D52696"/>
    <w:rsid w:val="00D52F0E"/>
    <w:rsid w:val="00D54552"/>
    <w:rsid w:val="00D55C76"/>
    <w:rsid w:val="00D56045"/>
    <w:rsid w:val="00D57DA7"/>
    <w:rsid w:val="00D60383"/>
    <w:rsid w:val="00D6250A"/>
    <w:rsid w:val="00D63237"/>
    <w:rsid w:val="00D65795"/>
    <w:rsid w:val="00D65C49"/>
    <w:rsid w:val="00D6706A"/>
    <w:rsid w:val="00D73DBC"/>
    <w:rsid w:val="00D80349"/>
    <w:rsid w:val="00D8267D"/>
    <w:rsid w:val="00D82D2F"/>
    <w:rsid w:val="00D8374B"/>
    <w:rsid w:val="00D866F0"/>
    <w:rsid w:val="00D9575A"/>
    <w:rsid w:val="00D95AA5"/>
    <w:rsid w:val="00D95BC7"/>
    <w:rsid w:val="00DA12D2"/>
    <w:rsid w:val="00DA150E"/>
    <w:rsid w:val="00DA4CFA"/>
    <w:rsid w:val="00DB09B6"/>
    <w:rsid w:val="00DB4327"/>
    <w:rsid w:val="00DB4462"/>
    <w:rsid w:val="00DB5453"/>
    <w:rsid w:val="00DB6183"/>
    <w:rsid w:val="00DB67CE"/>
    <w:rsid w:val="00DC2047"/>
    <w:rsid w:val="00DC38EC"/>
    <w:rsid w:val="00DC4345"/>
    <w:rsid w:val="00DD20A4"/>
    <w:rsid w:val="00DD276E"/>
    <w:rsid w:val="00DD3272"/>
    <w:rsid w:val="00DD3698"/>
    <w:rsid w:val="00DD55C1"/>
    <w:rsid w:val="00DD55EE"/>
    <w:rsid w:val="00DD65E5"/>
    <w:rsid w:val="00DD7566"/>
    <w:rsid w:val="00DD7B3A"/>
    <w:rsid w:val="00DE0832"/>
    <w:rsid w:val="00DE3546"/>
    <w:rsid w:val="00DF5280"/>
    <w:rsid w:val="00DF5DA7"/>
    <w:rsid w:val="00DF7558"/>
    <w:rsid w:val="00E0460F"/>
    <w:rsid w:val="00E111AA"/>
    <w:rsid w:val="00E14B9B"/>
    <w:rsid w:val="00E1686A"/>
    <w:rsid w:val="00E16A63"/>
    <w:rsid w:val="00E16BE9"/>
    <w:rsid w:val="00E17118"/>
    <w:rsid w:val="00E17F8B"/>
    <w:rsid w:val="00E34005"/>
    <w:rsid w:val="00E35BB7"/>
    <w:rsid w:val="00E47AFE"/>
    <w:rsid w:val="00E50269"/>
    <w:rsid w:val="00E540B0"/>
    <w:rsid w:val="00E54104"/>
    <w:rsid w:val="00E5697A"/>
    <w:rsid w:val="00E60EAF"/>
    <w:rsid w:val="00E63168"/>
    <w:rsid w:val="00E636A5"/>
    <w:rsid w:val="00E6684B"/>
    <w:rsid w:val="00E66DEB"/>
    <w:rsid w:val="00E66E65"/>
    <w:rsid w:val="00E70FC0"/>
    <w:rsid w:val="00E71E29"/>
    <w:rsid w:val="00E73622"/>
    <w:rsid w:val="00E73A63"/>
    <w:rsid w:val="00E7477E"/>
    <w:rsid w:val="00E74F39"/>
    <w:rsid w:val="00E8084C"/>
    <w:rsid w:val="00E82185"/>
    <w:rsid w:val="00E868DA"/>
    <w:rsid w:val="00E9210F"/>
    <w:rsid w:val="00EA0226"/>
    <w:rsid w:val="00EA213F"/>
    <w:rsid w:val="00EA2B06"/>
    <w:rsid w:val="00EA430C"/>
    <w:rsid w:val="00EA621C"/>
    <w:rsid w:val="00EA7EE8"/>
    <w:rsid w:val="00EB4946"/>
    <w:rsid w:val="00EB4DA3"/>
    <w:rsid w:val="00EC391E"/>
    <w:rsid w:val="00EC5898"/>
    <w:rsid w:val="00ED7993"/>
    <w:rsid w:val="00EE06D2"/>
    <w:rsid w:val="00EE1879"/>
    <w:rsid w:val="00EE42C0"/>
    <w:rsid w:val="00EE5A16"/>
    <w:rsid w:val="00EF2E96"/>
    <w:rsid w:val="00EF6173"/>
    <w:rsid w:val="00EF69BE"/>
    <w:rsid w:val="00F06D8B"/>
    <w:rsid w:val="00F07575"/>
    <w:rsid w:val="00F103DA"/>
    <w:rsid w:val="00F13965"/>
    <w:rsid w:val="00F209D0"/>
    <w:rsid w:val="00F21BBC"/>
    <w:rsid w:val="00F22C8A"/>
    <w:rsid w:val="00F25274"/>
    <w:rsid w:val="00F259ED"/>
    <w:rsid w:val="00F26687"/>
    <w:rsid w:val="00F320C0"/>
    <w:rsid w:val="00F33819"/>
    <w:rsid w:val="00F35B7B"/>
    <w:rsid w:val="00F371E6"/>
    <w:rsid w:val="00F46A02"/>
    <w:rsid w:val="00F4734E"/>
    <w:rsid w:val="00F47DED"/>
    <w:rsid w:val="00F5468F"/>
    <w:rsid w:val="00F5743A"/>
    <w:rsid w:val="00F622A7"/>
    <w:rsid w:val="00F642BE"/>
    <w:rsid w:val="00F65C0B"/>
    <w:rsid w:val="00F66ADA"/>
    <w:rsid w:val="00F66B0C"/>
    <w:rsid w:val="00F673EA"/>
    <w:rsid w:val="00F678E6"/>
    <w:rsid w:val="00F678F8"/>
    <w:rsid w:val="00F71D46"/>
    <w:rsid w:val="00F723F8"/>
    <w:rsid w:val="00F80902"/>
    <w:rsid w:val="00F80E6F"/>
    <w:rsid w:val="00F936EE"/>
    <w:rsid w:val="00F95DAB"/>
    <w:rsid w:val="00F97F76"/>
    <w:rsid w:val="00FA15F8"/>
    <w:rsid w:val="00FA68D6"/>
    <w:rsid w:val="00FB38C9"/>
    <w:rsid w:val="00FB4AB9"/>
    <w:rsid w:val="00FB50E2"/>
    <w:rsid w:val="00FB511F"/>
    <w:rsid w:val="00FB544C"/>
    <w:rsid w:val="00FB74EB"/>
    <w:rsid w:val="00FC2580"/>
    <w:rsid w:val="00FC47BB"/>
    <w:rsid w:val="00FD2964"/>
    <w:rsid w:val="00FD7EC8"/>
    <w:rsid w:val="00FE0A06"/>
    <w:rsid w:val="00FE1B72"/>
    <w:rsid w:val="00FE7B0E"/>
    <w:rsid w:val="00FF08F2"/>
    <w:rsid w:val="00FF096C"/>
    <w:rsid w:val="00FF26BF"/>
    <w:rsid w:val="00FF589A"/>
    <w:rsid w:val="00FF6210"/>
    <w:rsid w:val="00FF7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KaiTi_GB2312" w:hAnsi="Arial" w:cs="Times New Roman"/>
      <w:color w:val="000000"/>
      <w:kern w:val="0"/>
      <w:szCs w:val="20"/>
      <w:lang w:val="en-GB"/>
    </w:rPr>
  </w:style>
  <w:style w:type="character" w:customStyle="1" w:styleId="Char7">
    <w:name w:val="正文文本 Char"/>
    <w:basedOn w:val="a0"/>
    <w:link w:val="ab"/>
    <w:rsid w:val="00B10000"/>
    <w:rPr>
      <w:rFonts w:ascii="Arial" w:eastAsia="KaiTi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0548-8357-4239-B856-EA9A5BA1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109</cp:revision>
  <dcterms:created xsi:type="dcterms:W3CDTF">2013-12-18T07:41:00Z</dcterms:created>
  <dcterms:modified xsi:type="dcterms:W3CDTF">2013-12-24T02:21:00Z</dcterms:modified>
</cp:coreProperties>
</file>