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CA" w:rsidRDefault="00A669EB" w:rsidP="00782E46">
      <w:pPr>
        <w:tabs>
          <w:tab w:val="left" w:pos="5715"/>
        </w:tabs>
        <w:spacing w:beforeLines="50" w:line="360" w:lineRule="auto"/>
        <w:jc w:val="center"/>
        <w:rPr>
          <w:b/>
        </w:rPr>
      </w:pPr>
      <w:r>
        <w:rPr>
          <w:rFonts w:hint="eastAsia"/>
          <w:b/>
        </w:rPr>
        <w:t>2013</w:t>
      </w:r>
      <w:r>
        <w:rPr>
          <w:rFonts w:hint="eastAsia"/>
          <w:b/>
        </w:rPr>
        <w:t>年</w:t>
      </w:r>
      <w:r>
        <w:rPr>
          <w:rFonts w:hint="eastAsia"/>
          <w:b/>
        </w:rPr>
        <w:t>11</w:t>
      </w:r>
      <w:r>
        <w:rPr>
          <w:rFonts w:hint="eastAsia"/>
          <w:b/>
        </w:rPr>
        <w:t>月</w:t>
      </w:r>
      <w:r>
        <w:rPr>
          <w:rFonts w:hint="eastAsia"/>
          <w:b/>
        </w:rPr>
        <w:t>QDII</w:t>
      </w:r>
      <w:r>
        <w:rPr>
          <w:rFonts w:hint="eastAsia"/>
          <w:b/>
        </w:rPr>
        <w:t>基金月度报告</w:t>
      </w:r>
      <w:r w:rsidR="00B522CA" w:rsidRPr="00B522CA">
        <w:rPr>
          <w:rFonts w:hint="eastAsia"/>
          <w:b/>
        </w:rPr>
        <w:t>：</w:t>
      </w:r>
      <w:r w:rsidR="00D75137">
        <w:rPr>
          <w:b/>
        </w:rPr>
        <w:t xml:space="preserve"> </w:t>
      </w:r>
      <w:r w:rsidR="0035115C">
        <w:rPr>
          <w:rFonts w:hint="eastAsia"/>
          <w:b/>
        </w:rPr>
        <w:t>中国概念</w:t>
      </w:r>
      <w:r w:rsidR="00D75137">
        <w:rPr>
          <w:rFonts w:hint="eastAsia"/>
          <w:b/>
        </w:rPr>
        <w:t>股</w:t>
      </w:r>
      <w:r w:rsidR="00D75137">
        <w:rPr>
          <w:rFonts w:hint="eastAsia"/>
          <w:b/>
        </w:rPr>
        <w:t>QDII</w:t>
      </w:r>
      <w:r w:rsidR="00D75137">
        <w:rPr>
          <w:rFonts w:hint="eastAsia"/>
          <w:b/>
        </w:rPr>
        <w:t>涨逾</w:t>
      </w:r>
      <w:r w:rsidR="00E279D7">
        <w:rPr>
          <w:rFonts w:hint="eastAsia"/>
          <w:b/>
        </w:rPr>
        <w:t>5</w:t>
      </w:r>
      <w:r w:rsidR="00D75137">
        <w:rPr>
          <w:rFonts w:hint="eastAsia"/>
          <w:b/>
        </w:rPr>
        <w:t>%</w:t>
      </w:r>
    </w:p>
    <w:p w:rsidR="00275AB1" w:rsidRPr="00275AB1" w:rsidRDefault="006244C5" w:rsidP="00782E46">
      <w:pPr>
        <w:tabs>
          <w:tab w:val="left" w:pos="5715"/>
        </w:tabs>
        <w:spacing w:beforeLines="50" w:line="360" w:lineRule="auto"/>
        <w:jc w:val="right"/>
      </w:pPr>
      <w:proofErr w:type="gramStart"/>
      <w:r w:rsidRPr="006244C5">
        <w:rPr>
          <w:rFonts w:hint="eastAsia"/>
        </w:rPr>
        <w:t>众禄基金</w:t>
      </w:r>
      <w:proofErr w:type="gramEnd"/>
      <w:r w:rsidRPr="006244C5">
        <w:rPr>
          <w:rFonts w:hint="eastAsia"/>
        </w:rPr>
        <w:t>研究中心</w:t>
      </w:r>
      <w:r w:rsidR="00275AB1">
        <w:rPr>
          <w:rFonts w:hint="eastAsia"/>
        </w:rPr>
        <w:t>/</w:t>
      </w:r>
      <w:r w:rsidR="00275AB1">
        <w:rPr>
          <w:rFonts w:hint="eastAsia"/>
        </w:rPr>
        <w:t>朱炎钊</w:t>
      </w:r>
    </w:p>
    <w:p w:rsidR="006A3FF9" w:rsidRPr="007C5F2C" w:rsidRDefault="00FA2E1D" w:rsidP="00782E46">
      <w:pPr>
        <w:pStyle w:val="a6"/>
        <w:numPr>
          <w:ilvl w:val="0"/>
          <w:numId w:val="2"/>
        </w:numPr>
        <w:tabs>
          <w:tab w:val="left" w:pos="5715"/>
        </w:tabs>
        <w:spacing w:beforeLines="50" w:line="360" w:lineRule="auto"/>
        <w:ind w:firstLineChars="0"/>
        <w:jc w:val="left"/>
        <w:rPr>
          <w:b/>
        </w:rPr>
      </w:pPr>
      <w:r w:rsidRPr="007C5F2C">
        <w:rPr>
          <w:rFonts w:hint="eastAsia"/>
          <w:b/>
        </w:rPr>
        <w:t>基础市场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80"/>
      </w:tblGrid>
      <w:tr w:rsidR="006A3035" w:rsidTr="00762D7B">
        <w:tc>
          <w:tcPr>
            <w:tcW w:w="8080" w:type="dxa"/>
            <w:tcBorders>
              <w:bottom w:val="single" w:sz="4" w:space="0" w:color="auto"/>
            </w:tcBorders>
          </w:tcPr>
          <w:p w:rsidR="006A3035" w:rsidRPr="00713B2E" w:rsidRDefault="006A3035" w:rsidP="00E279D7">
            <w:pPr>
              <w:tabs>
                <w:tab w:val="left" w:pos="5715"/>
              </w:tabs>
              <w:spacing w:line="360" w:lineRule="auto"/>
              <w:jc w:val="left"/>
              <w:rPr>
                <w:rFonts w:ascii="微软雅黑" w:eastAsia="微软雅黑" w:hAnsi="微软雅黑"/>
                <w:i/>
              </w:rPr>
            </w:pPr>
            <w:r w:rsidRPr="00713B2E">
              <w:rPr>
                <w:rFonts w:ascii="微软雅黑" w:eastAsia="微软雅黑" w:hAnsi="微软雅黑" w:hint="eastAsia"/>
                <w:i/>
              </w:rPr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1</w:t>
            </w:r>
            <w:r w:rsidRPr="00713B2E">
              <w:rPr>
                <w:rFonts w:ascii="微软雅黑" w:eastAsia="微软雅黑" w:hAnsi="微软雅黑" w:hint="eastAsia"/>
                <w:i/>
              </w:rPr>
              <w:t>：</w:t>
            </w:r>
            <w:r w:rsidR="00D75137">
              <w:rPr>
                <w:rFonts w:ascii="微软雅黑" w:eastAsia="微软雅黑" w:hAnsi="微软雅黑" w:hint="eastAsia"/>
                <w:i/>
              </w:rPr>
              <w:t>11</w:t>
            </w:r>
            <w:r w:rsidRPr="00713B2E">
              <w:rPr>
                <w:rFonts w:ascii="微软雅黑" w:eastAsia="微软雅黑" w:hAnsi="微软雅黑" w:hint="eastAsia"/>
                <w:i/>
              </w:rPr>
              <w:t>月</w:t>
            </w:r>
            <w:r w:rsidR="00E279D7">
              <w:rPr>
                <w:rFonts w:ascii="微软雅黑" w:eastAsia="微软雅黑" w:hAnsi="微软雅黑" w:hint="eastAsia"/>
                <w:i/>
              </w:rPr>
              <w:t>欧美日股指继续上涨 新兴国家股指走弱</w:t>
            </w:r>
          </w:p>
        </w:tc>
      </w:tr>
      <w:tr w:rsidR="006A3035" w:rsidTr="00762D7B"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6A3035" w:rsidRPr="00713B2E" w:rsidRDefault="00E279D7" w:rsidP="00996CBE">
            <w:pPr>
              <w:tabs>
                <w:tab w:val="left" w:pos="5715"/>
              </w:tabs>
              <w:spacing w:line="360" w:lineRule="auto"/>
              <w:jc w:val="left"/>
            </w:pPr>
            <w:r w:rsidRPr="00E279D7">
              <w:rPr>
                <w:noProof/>
              </w:rPr>
              <w:drawing>
                <wp:inline distT="0" distB="0" distL="0" distR="0">
                  <wp:extent cx="5114925" cy="5124450"/>
                  <wp:effectExtent l="0" t="0" r="0" b="0"/>
                  <wp:docPr id="3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A3035" w:rsidTr="00762D7B">
        <w:tc>
          <w:tcPr>
            <w:tcW w:w="8080" w:type="dxa"/>
            <w:tcBorders>
              <w:top w:val="single" w:sz="4" w:space="0" w:color="auto"/>
            </w:tcBorders>
          </w:tcPr>
          <w:p w:rsidR="006A3035" w:rsidRPr="00713B2E" w:rsidRDefault="006A3035" w:rsidP="00996CBE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430722" w:rsidRPr="00D55B09" w:rsidRDefault="00430722" w:rsidP="00782E46">
      <w:pPr>
        <w:tabs>
          <w:tab w:val="left" w:pos="5715"/>
        </w:tabs>
        <w:spacing w:beforeLines="50" w:line="360" w:lineRule="auto"/>
        <w:ind w:firstLineChars="200" w:firstLine="420"/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color w:val="000000"/>
          <w:szCs w:val="21"/>
          <w:shd w:val="clear" w:color="auto" w:fill="FFFFFF"/>
        </w:rPr>
        <w:t>11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月</w:t>
      </w:r>
      <w:r w:rsidR="001A141A">
        <w:rPr>
          <w:rFonts w:ascii="Verdana" w:hAnsi="Verdana" w:hint="eastAsia"/>
          <w:color w:val="000000"/>
          <w:szCs w:val="21"/>
          <w:shd w:val="clear" w:color="auto" w:fill="FFFFFF"/>
        </w:rPr>
        <w:t>，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全球股指表现分化，日经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225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指数上涨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9.21%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，领涨全球，</w:t>
      </w:r>
      <w:proofErr w:type="gramStart"/>
      <w:r>
        <w:rPr>
          <w:rFonts w:ascii="Verdana" w:hAnsi="Verdana" w:hint="eastAsia"/>
          <w:color w:val="000000"/>
          <w:szCs w:val="21"/>
          <w:shd w:val="clear" w:color="auto" w:fill="FFFFFF"/>
        </w:rPr>
        <w:t>美国标普</w:t>
      </w:r>
      <w:proofErr w:type="gramEnd"/>
      <w:r>
        <w:rPr>
          <w:rFonts w:ascii="Verdana" w:hAnsi="Verdana" w:hint="eastAsia"/>
          <w:color w:val="000000"/>
          <w:szCs w:val="21"/>
          <w:shd w:val="clear" w:color="auto" w:fill="FFFFFF"/>
        </w:rPr>
        <w:t>500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指数和纳斯达克指数分别上涨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2.80%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和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3.58%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，恒生指数上涨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2.91%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，泛欧斯托克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600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指数上涨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0.87%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。而俄罗斯、巴西、印度等新兴市场国家股指普遍下跌。</w:t>
      </w:r>
    </w:p>
    <w:p w:rsidR="00210BCD" w:rsidRDefault="00C17064" w:rsidP="00782E46">
      <w:pPr>
        <w:tabs>
          <w:tab w:val="left" w:pos="5715"/>
        </w:tabs>
        <w:spacing w:beforeLines="50" w:line="360" w:lineRule="auto"/>
        <w:jc w:val="left"/>
        <w:rPr>
          <w:b/>
        </w:rPr>
      </w:pPr>
      <w:r>
        <w:rPr>
          <w:rFonts w:hint="eastAsia"/>
          <w:b/>
        </w:rPr>
        <w:t>全球经济：主要经济体温和复苏</w:t>
      </w:r>
      <w:r w:rsidR="00C054F5">
        <w:rPr>
          <w:rFonts w:hint="eastAsia"/>
          <w:b/>
        </w:rPr>
        <w:t xml:space="preserve"> </w:t>
      </w:r>
    </w:p>
    <w:p w:rsidR="00526656" w:rsidRDefault="005C2296" w:rsidP="00782E46">
      <w:pPr>
        <w:tabs>
          <w:tab w:val="left" w:pos="5715"/>
        </w:tabs>
        <w:spacing w:beforeLines="50" w:line="360" w:lineRule="auto"/>
        <w:ind w:firstLineChars="200" w:firstLine="420"/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hint="eastAsia"/>
        </w:rPr>
        <w:t>11</w:t>
      </w:r>
      <w:r>
        <w:rPr>
          <w:rFonts w:hint="eastAsia"/>
        </w:rPr>
        <w:t>月，全球主要</w:t>
      </w:r>
      <w:proofErr w:type="gramStart"/>
      <w:r>
        <w:rPr>
          <w:rFonts w:hint="eastAsia"/>
        </w:rPr>
        <w:t>经济体制造业活动</w:t>
      </w:r>
      <w:proofErr w:type="gramEnd"/>
      <w:r>
        <w:rPr>
          <w:rFonts w:hint="eastAsia"/>
        </w:rPr>
        <w:t>景气指数继续回升，其中</w:t>
      </w:r>
      <w:r w:rsidRPr="005C2296">
        <w:rPr>
          <w:rFonts w:hint="eastAsia"/>
        </w:rPr>
        <w:t>美国</w:t>
      </w:r>
      <w:r w:rsidRPr="005C2296">
        <w:rPr>
          <w:rFonts w:hint="eastAsia"/>
        </w:rPr>
        <w:t>11</w:t>
      </w:r>
      <w:r w:rsidRPr="005C2296">
        <w:rPr>
          <w:rFonts w:hint="eastAsia"/>
        </w:rPr>
        <w:t>月</w:t>
      </w:r>
      <w:r w:rsidRPr="005C2296">
        <w:rPr>
          <w:rFonts w:hint="eastAsia"/>
        </w:rPr>
        <w:t>ISM</w:t>
      </w:r>
      <w:r w:rsidRPr="005C2296">
        <w:rPr>
          <w:rFonts w:hint="eastAsia"/>
        </w:rPr>
        <w:t>制造业</w:t>
      </w:r>
      <w:r w:rsidR="00526656">
        <w:rPr>
          <w:rFonts w:hint="eastAsia"/>
        </w:rPr>
        <w:t>PMI</w:t>
      </w:r>
      <w:r w:rsidR="00526656">
        <w:rPr>
          <w:rFonts w:hint="eastAsia"/>
        </w:rPr>
        <w:lastRenderedPageBreak/>
        <w:t>升至</w:t>
      </w:r>
      <w:r w:rsidRPr="005C2296">
        <w:rPr>
          <w:rFonts w:hint="eastAsia"/>
        </w:rPr>
        <w:t>57.3</w:t>
      </w:r>
      <w:r w:rsidRPr="005C2296">
        <w:rPr>
          <w:rFonts w:hint="eastAsia"/>
        </w:rPr>
        <w:t>，创下</w:t>
      </w:r>
      <w:r w:rsidRPr="005C2296">
        <w:rPr>
          <w:rFonts w:hint="eastAsia"/>
        </w:rPr>
        <w:t>2011</w:t>
      </w:r>
      <w:r w:rsidRPr="005C2296">
        <w:rPr>
          <w:rFonts w:hint="eastAsia"/>
        </w:rPr>
        <w:t>年</w:t>
      </w:r>
      <w:r w:rsidRPr="005C2296">
        <w:rPr>
          <w:rFonts w:hint="eastAsia"/>
        </w:rPr>
        <w:t>4</w:t>
      </w:r>
      <w:r w:rsidRPr="005C2296">
        <w:rPr>
          <w:rFonts w:hint="eastAsia"/>
        </w:rPr>
        <w:t>月以来最高水平</w:t>
      </w:r>
      <w:r w:rsidR="002F0D15">
        <w:rPr>
          <w:rFonts w:hint="eastAsia"/>
        </w:rPr>
        <w:t>。</w:t>
      </w:r>
      <w:r w:rsidRPr="005C2296">
        <w:rPr>
          <w:rFonts w:hint="eastAsia"/>
        </w:rPr>
        <w:t>分项指数中，多项表现强劲，就业指数由上个月的</w:t>
      </w:r>
      <w:r w:rsidRPr="005C2296">
        <w:rPr>
          <w:rFonts w:hint="eastAsia"/>
        </w:rPr>
        <w:t>53.2</w:t>
      </w:r>
      <w:r>
        <w:rPr>
          <w:rFonts w:hint="eastAsia"/>
        </w:rPr>
        <w:t>大幅上升至</w:t>
      </w:r>
      <w:r w:rsidRPr="005C2296">
        <w:rPr>
          <w:rFonts w:hint="eastAsia"/>
        </w:rPr>
        <w:t>56.5</w:t>
      </w:r>
      <w:r w:rsidRPr="005C2296">
        <w:rPr>
          <w:rFonts w:hint="eastAsia"/>
        </w:rPr>
        <w:t>，新增订单指数</w:t>
      </w:r>
      <w:r w:rsidR="002F0D15">
        <w:rPr>
          <w:rFonts w:hint="eastAsia"/>
        </w:rPr>
        <w:t>上升</w:t>
      </w:r>
      <w:r w:rsidRPr="005C2296">
        <w:rPr>
          <w:rFonts w:hint="eastAsia"/>
        </w:rPr>
        <w:t>3</w:t>
      </w:r>
      <w:r w:rsidRPr="005C2296">
        <w:rPr>
          <w:rFonts w:hint="eastAsia"/>
        </w:rPr>
        <w:t>点至</w:t>
      </w:r>
      <w:r w:rsidRPr="005C2296">
        <w:rPr>
          <w:rFonts w:hint="eastAsia"/>
        </w:rPr>
        <w:t>63.6</w:t>
      </w:r>
      <w:r w:rsidRPr="005C2296">
        <w:rPr>
          <w:rFonts w:hint="eastAsia"/>
        </w:rPr>
        <w:t>，制造业生产力指数也由</w:t>
      </w:r>
      <w:r w:rsidRPr="005C2296">
        <w:rPr>
          <w:rFonts w:hint="eastAsia"/>
        </w:rPr>
        <w:t>10</w:t>
      </w:r>
      <w:r w:rsidRPr="005C2296">
        <w:rPr>
          <w:rFonts w:hint="eastAsia"/>
        </w:rPr>
        <w:t>月的</w:t>
      </w:r>
      <w:r w:rsidRPr="005C2296">
        <w:rPr>
          <w:rFonts w:hint="eastAsia"/>
        </w:rPr>
        <w:t>60.8</w:t>
      </w:r>
      <w:r w:rsidRPr="005C2296">
        <w:rPr>
          <w:rFonts w:hint="eastAsia"/>
        </w:rPr>
        <w:t>上升至</w:t>
      </w:r>
      <w:r w:rsidRPr="005C2296">
        <w:rPr>
          <w:rFonts w:hint="eastAsia"/>
        </w:rPr>
        <w:t>62.8</w:t>
      </w:r>
      <w:r w:rsidRPr="005C2296">
        <w:rPr>
          <w:rFonts w:hint="eastAsia"/>
        </w:rPr>
        <w:t>。</w:t>
      </w:r>
      <w:r w:rsidR="00526656" w:rsidRPr="00526656">
        <w:rPr>
          <w:rFonts w:hint="eastAsia"/>
        </w:rPr>
        <w:t>欧元区</w:t>
      </w:r>
      <w:r w:rsidR="00526656" w:rsidRPr="00526656">
        <w:rPr>
          <w:rFonts w:hint="eastAsia"/>
        </w:rPr>
        <w:t>11</w:t>
      </w:r>
      <w:r w:rsidR="00526656" w:rsidRPr="00526656">
        <w:rPr>
          <w:rFonts w:hint="eastAsia"/>
        </w:rPr>
        <w:t>月</w:t>
      </w:r>
      <w:r w:rsidR="00526656" w:rsidRPr="00526656">
        <w:rPr>
          <w:rFonts w:hint="eastAsia"/>
        </w:rPr>
        <w:t>MARKIT</w:t>
      </w:r>
      <w:r w:rsidR="00526656" w:rsidRPr="00526656">
        <w:rPr>
          <w:rFonts w:hint="eastAsia"/>
        </w:rPr>
        <w:t>制造业</w:t>
      </w:r>
      <w:r w:rsidR="00526656">
        <w:rPr>
          <w:rFonts w:hint="eastAsia"/>
        </w:rPr>
        <w:t>PMI</w:t>
      </w:r>
      <w:r w:rsidR="00526656" w:rsidRPr="00526656">
        <w:rPr>
          <w:rFonts w:hint="eastAsia"/>
        </w:rPr>
        <w:t>终值为</w:t>
      </w:r>
      <w:r w:rsidR="00526656" w:rsidRPr="00526656">
        <w:rPr>
          <w:rFonts w:hint="eastAsia"/>
        </w:rPr>
        <w:t>51.6</w:t>
      </w:r>
      <w:r w:rsidR="00526656" w:rsidRPr="00526656">
        <w:rPr>
          <w:rFonts w:hint="eastAsia"/>
        </w:rPr>
        <w:t>，</w:t>
      </w:r>
      <w:r w:rsidR="00195A20" w:rsidRPr="00526656">
        <w:rPr>
          <w:rFonts w:hint="eastAsia"/>
        </w:rPr>
        <w:t xml:space="preserve"> </w:t>
      </w:r>
      <w:r w:rsidR="00526656" w:rsidRPr="00526656">
        <w:rPr>
          <w:rFonts w:hint="eastAsia"/>
        </w:rPr>
        <w:t>10</w:t>
      </w:r>
      <w:r w:rsidR="00526656" w:rsidRPr="00526656">
        <w:rPr>
          <w:rFonts w:hint="eastAsia"/>
        </w:rPr>
        <w:t>月为</w:t>
      </w:r>
      <w:r w:rsidR="00526656" w:rsidRPr="00526656">
        <w:rPr>
          <w:rFonts w:hint="eastAsia"/>
        </w:rPr>
        <w:t>51.3</w:t>
      </w:r>
      <w:r w:rsidR="00526656" w:rsidRPr="00526656">
        <w:rPr>
          <w:rFonts w:hint="eastAsia"/>
        </w:rPr>
        <w:t>。</w:t>
      </w:r>
      <w:proofErr w:type="gramStart"/>
      <w:r w:rsidR="00526656" w:rsidRPr="00526656">
        <w:rPr>
          <w:rFonts w:hint="eastAsia"/>
        </w:rPr>
        <w:t>产出物价</w:t>
      </w:r>
      <w:proofErr w:type="gramEnd"/>
      <w:r w:rsidR="00526656" w:rsidRPr="00526656">
        <w:rPr>
          <w:rFonts w:hint="eastAsia"/>
        </w:rPr>
        <w:t>分项指数从</w:t>
      </w:r>
      <w:r w:rsidR="00526656" w:rsidRPr="00526656">
        <w:rPr>
          <w:rFonts w:hint="eastAsia"/>
        </w:rPr>
        <w:t>52.9</w:t>
      </w:r>
      <w:r w:rsidR="00526656" w:rsidRPr="00526656">
        <w:rPr>
          <w:rFonts w:hint="eastAsia"/>
        </w:rPr>
        <w:t>提升到</w:t>
      </w:r>
      <w:r w:rsidR="00526656" w:rsidRPr="00526656">
        <w:rPr>
          <w:rFonts w:hint="eastAsia"/>
        </w:rPr>
        <w:t>53.1</w:t>
      </w:r>
      <w:r w:rsidR="00526656" w:rsidRPr="00526656">
        <w:rPr>
          <w:rFonts w:hint="eastAsia"/>
        </w:rPr>
        <w:t>。</w:t>
      </w:r>
      <w:r w:rsidR="00526656">
        <w:rPr>
          <w:rFonts w:hint="eastAsia"/>
        </w:rPr>
        <w:t>中国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11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月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官方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制造业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PMI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为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51.4</w:t>
      </w:r>
      <w:r w:rsidR="00526656">
        <w:rPr>
          <w:rFonts w:ascii="Verdana" w:hAnsi="Verdana"/>
          <w:color w:val="000000"/>
          <w:szCs w:val="21"/>
          <w:shd w:val="clear" w:color="auto" w:fill="FFFFFF"/>
        </w:rPr>
        <w:t>，同上月持平</w:t>
      </w:r>
      <w:r w:rsidR="00526656">
        <w:rPr>
          <w:rFonts w:ascii="Verdana" w:hAnsi="Verdana" w:hint="eastAsia"/>
          <w:color w:val="000000"/>
          <w:szCs w:val="21"/>
          <w:shd w:val="clear" w:color="auto" w:fill="FFFFFF"/>
        </w:rPr>
        <w:t>。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日本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11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月制造业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PMI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为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55.1</w:t>
      </w:r>
      <w:r w:rsidR="007B7EE1">
        <w:rPr>
          <w:rFonts w:ascii="Verdana" w:hAnsi="Verdana" w:hint="eastAsia"/>
          <w:color w:val="000000"/>
          <w:szCs w:val="21"/>
          <w:shd w:val="clear" w:color="auto" w:fill="FFFFFF"/>
        </w:rPr>
        <w:t>，其中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新出口订单指数升至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57.2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，创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42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个月新高，产出指数为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59.0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，为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09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年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9</w:t>
      </w:r>
      <w:r w:rsidR="00195A20">
        <w:rPr>
          <w:rFonts w:ascii="Verdana" w:hAnsi="Verdana" w:hint="eastAsia"/>
          <w:color w:val="000000"/>
          <w:szCs w:val="21"/>
          <w:shd w:val="clear" w:color="auto" w:fill="FFFFFF"/>
        </w:rPr>
        <w:t>月以来最高。</w:t>
      </w:r>
      <w:r w:rsidR="000E030E">
        <w:rPr>
          <w:rFonts w:ascii="Verdana" w:hAnsi="Verdana" w:hint="eastAsia"/>
          <w:color w:val="000000"/>
          <w:szCs w:val="21"/>
          <w:shd w:val="clear" w:color="auto" w:fill="FFFFFF"/>
        </w:rPr>
        <w:t>从制造业活动指数来看，全球经济仍在温和复苏</w:t>
      </w:r>
      <w:r w:rsidR="007E6828">
        <w:rPr>
          <w:rFonts w:ascii="Verdana" w:hAnsi="Verdana" w:hint="eastAsia"/>
          <w:color w:val="000000"/>
          <w:szCs w:val="21"/>
          <w:shd w:val="clear" w:color="auto" w:fill="FFFFFF"/>
        </w:rPr>
        <w:t>，其中美国经济复苏动力强劲，日本凭借日圆贬值出口大幅增长，欧元</w:t>
      </w:r>
      <w:proofErr w:type="gramStart"/>
      <w:r w:rsidR="007E6828">
        <w:rPr>
          <w:rFonts w:ascii="Verdana" w:hAnsi="Verdana" w:hint="eastAsia"/>
          <w:color w:val="000000"/>
          <w:szCs w:val="21"/>
          <w:shd w:val="clear" w:color="auto" w:fill="FFFFFF"/>
        </w:rPr>
        <w:t>区增长</w:t>
      </w:r>
      <w:proofErr w:type="gramEnd"/>
      <w:r w:rsidR="007E6828">
        <w:rPr>
          <w:rFonts w:ascii="Verdana" w:hAnsi="Verdana" w:hint="eastAsia"/>
          <w:color w:val="000000"/>
          <w:szCs w:val="21"/>
          <w:shd w:val="clear" w:color="auto" w:fill="FFFFFF"/>
        </w:rPr>
        <w:t>稍显乏力，中国增长平稳。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210BCD" w:rsidRPr="00713B2E" w:rsidTr="00923AD4">
        <w:tc>
          <w:tcPr>
            <w:tcW w:w="8522" w:type="dxa"/>
            <w:tcBorders>
              <w:bottom w:val="single" w:sz="4" w:space="0" w:color="auto"/>
            </w:tcBorders>
          </w:tcPr>
          <w:p w:rsidR="00210BCD" w:rsidRPr="00713B2E" w:rsidRDefault="00210BCD" w:rsidP="00923AD4">
            <w:pPr>
              <w:tabs>
                <w:tab w:val="left" w:pos="5715"/>
              </w:tabs>
              <w:spacing w:line="360" w:lineRule="auto"/>
              <w:jc w:val="left"/>
              <w:rPr>
                <w:rFonts w:ascii="微软雅黑" w:eastAsia="微软雅黑" w:hAnsi="微软雅黑"/>
                <w:i/>
              </w:rPr>
            </w:pPr>
            <w:r w:rsidRPr="00713B2E">
              <w:rPr>
                <w:rFonts w:ascii="微软雅黑" w:eastAsia="微软雅黑" w:hAnsi="微软雅黑" w:hint="eastAsia"/>
                <w:i/>
              </w:rPr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2</w:t>
            </w:r>
            <w:r w:rsidRPr="00713B2E">
              <w:rPr>
                <w:rFonts w:ascii="微软雅黑" w:eastAsia="微软雅黑" w:hAnsi="微软雅黑" w:hint="eastAsia"/>
                <w:i/>
              </w:rPr>
              <w:t>：</w:t>
            </w:r>
            <w:r>
              <w:rPr>
                <w:rFonts w:ascii="微软雅黑" w:eastAsia="微软雅黑" w:hAnsi="微软雅黑" w:hint="eastAsia"/>
                <w:i/>
              </w:rPr>
              <w:t>11月主要</w:t>
            </w:r>
            <w:proofErr w:type="gramStart"/>
            <w:r>
              <w:rPr>
                <w:rFonts w:ascii="微软雅黑" w:eastAsia="微软雅黑" w:hAnsi="微软雅黑" w:hint="eastAsia"/>
                <w:i/>
              </w:rPr>
              <w:t>经济体制造业</w:t>
            </w:r>
            <w:proofErr w:type="gramEnd"/>
            <w:r>
              <w:rPr>
                <w:rFonts w:ascii="微软雅黑" w:eastAsia="微软雅黑" w:hAnsi="微软雅黑" w:hint="eastAsia"/>
                <w:i/>
              </w:rPr>
              <w:t>PMI</w:t>
            </w:r>
            <w:r w:rsidRPr="00713B2E">
              <w:rPr>
                <w:rFonts w:ascii="微软雅黑" w:eastAsia="微软雅黑" w:hAnsi="微软雅黑"/>
                <w:i/>
              </w:rPr>
              <w:t xml:space="preserve"> </w:t>
            </w:r>
            <w:r w:rsidR="00526656">
              <w:rPr>
                <w:rFonts w:ascii="微软雅黑" w:eastAsia="微软雅黑" w:hAnsi="微软雅黑" w:hint="eastAsia"/>
                <w:i/>
              </w:rPr>
              <w:t>继续回升</w:t>
            </w:r>
          </w:p>
        </w:tc>
      </w:tr>
      <w:tr w:rsidR="00210BCD" w:rsidRPr="00713B2E" w:rsidTr="00456670">
        <w:trPr>
          <w:trHeight w:val="4059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10BCD" w:rsidRPr="00713B2E" w:rsidRDefault="00210BCD" w:rsidP="00923AD4">
            <w:pPr>
              <w:tabs>
                <w:tab w:val="left" w:pos="5715"/>
              </w:tabs>
              <w:spacing w:line="360" w:lineRule="auto"/>
              <w:jc w:val="left"/>
            </w:pPr>
            <w:r w:rsidRPr="00210BCD">
              <w:rPr>
                <w:noProof/>
              </w:rPr>
              <w:drawing>
                <wp:inline distT="0" distB="0" distL="0" distR="0">
                  <wp:extent cx="5191125" cy="2647950"/>
                  <wp:effectExtent l="19050" t="0" r="0" b="0"/>
                  <wp:docPr id="7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210BCD" w:rsidRPr="00713B2E" w:rsidTr="00923AD4">
        <w:tc>
          <w:tcPr>
            <w:tcW w:w="8522" w:type="dxa"/>
            <w:tcBorders>
              <w:top w:val="single" w:sz="4" w:space="0" w:color="auto"/>
            </w:tcBorders>
          </w:tcPr>
          <w:p w:rsidR="00210BCD" w:rsidRPr="00713B2E" w:rsidRDefault="00210BCD" w:rsidP="00923AD4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257D79" w:rsidRDefault="00E171DF" w:rsidP="00782E46">
      <w:pPr>
        <w:tabs>
          <w:tab w:val="left" w:pos="5715"/>
        </w:tabs>
        <w:spacing w:beforeLines="50" w:line="360" w:lineRule="auto"/>
        <w:jc w:val="left"/>
        <w:rPr>
          <w:b/>
        </w:rPr>
      </w:pPr>
      <w:r>
        <w:rPr>
          <w:rFonts w:hint="eastAsia"/>
          <w:b/>
        </w:rPr>
        <w:t>全球流动性</w:t>
      </w:r>
      <w:r w:rsidR="00C17064">
        <w:rPr>
          <w:rFonts w:hint="eastAsia"/>
          <w:b/>
        </w:rPr>
        <w:t>：欧美日央行持续释放流动性</w:t>
      </w:r>
    </w:p>
    <w:p w:rsidR="00526656" w:rsidRPr="00806CFC" w:rsidRDefault="00526656" w:rsidP="00782E46">
      <w:pPr>
        <w:pStyle w:val="a6"/>
        <w:tabs>
          <w:tab w:val="left" w:pos="5715"/>
        </w:tabs>
        <w:spacing w:beforeLines="50" w:line="360" w:lineRule="auto"/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  <w:shd w:val="clear" w:color="auto" w:fill="FFFFFF"/>
        </w:rPr>
        <w:t>欧元区</w:t>
      </w:r>
      <w:r>
        <w:rPr>
          <w:rFonts w:ascii="Verdana" w:hAnsi="Verdana"/>
          <w:color w:val="000000"/>
          <w:szCs w:val="21"/>
          <w:shd w:val="clear" w:color="auto" w:fill="FFFFFF"/>
        </w:rPr>
        <w:t>11</w:t>
      </w:r>
      <w:r>
        <w:rPr>
          <w:rFonts w:ascii="Verdana" w:hAnsi="Verdana"/>
          <w:color w:val="000000"/>
          <w:szCs w:val="21"/>
          <w:shd w:val="clear" w:color="auto" w:fill="FFFFFF"/>
        </w:rPr>
        <w:t>月消费者物价调和指数</w:t>
      </w:r>
      <w:r>
        <w:rPr>
          <w:rFonts w:ascii="Verdana" w:hAnsi="Verdana"/>
          <w:color w:val="000000"/>
          <w:szCs w:val="21"/>
          <w:shd w:val="clear" w:color="auto" w:fill="FFFFFF"/>
        </w:rPr>
        <w:t>(HICP)</w:t>
      </w:r>
      <w:r>
        <w:rPr>
          <w:rFonts w:ascii="Verdana" w:hAnsi="Verdana"/>
          <w:color w:val="000000"/>
          <w:szCs w:val="21"/>
          <w:shd w:val="clear" w:color="auto" w:fill="FFFFFF"/>
        </w:rPr>
        <w:t>初值为较上年同期增长</w:t>
      </w:r>
      <w:r>
        <w:rPr>
          <w:rFonts w:ascii="Verdana" w:hAnsi="Verdana"/>
          <w:color w:val="000000"/>
          <w:szCs w:val="21"/>
          <w:shd w:val="clear" w:color="auto" w:fill="FFFFFF"/>
        </w:rPr>
        <w:t>0.9%</w:t>
      </w:r>
      <w:r>
        <w:rPr>
          <w:rFonts w:ascii="Verdana" w:hAnsi="Verdana"/>
          <w:color w:val="000000"/>
          <w:szCs w:val="21"/>
          <w:shd w:val="clear" w:color="auto" w:fill="FFFFFF"/>
        </w:rPr>
        <w:t>，远低于欧洲央行的</w:t>
      </w:r>
      <w:r>
        <w:rPr>
          <w:rFonts w:ascii="Verdana" w:hAnsi="Verdana"/>
          <w:color w:val="000000"/>
          <w:szCs w:val="21"/>
          <w:shd w:val="clear" w:color="auto" w:fill="FFFFFF"/>
        </w:rPr>
        <w:t>2%</w:t>
      </w:r>
      <w:r>
        <w:rPr>
          <w:rFonts w:ascii="Verdana" w:hAnsi="Verdana"/>
          <w:color w:val="000000"/>
          <w:szCs w:val="21"/>
          <w:shd w:val="clear" w:color="auto" w:fill="FFFFFF"/>
        </w:rPr>
        <w:t>通胀目标。</w:t>
      </w:r>
      <w:r w:rsidR="00870478">
        <w:rPr>
          <w:rFonts w:ascii="Verdana" w:hAnsi="Verdana" w:hint="eastAsia"/>
          <w:color w:val="000000"/>
          <w:szCs w:val="21"/>
          <w:shd w:val="clear" w:color="auto" w:fill="FFFFFF"/>
        </w:rPr>
        <w:t>物价表现持续疲软，欧洲央行再推货币宽松政策的概率大幅上升。未来欧洲央行可能进一步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采取</w:t>
      </w:r>
      <w:proofErr w:type="gramStart"/>
      <w:r w:rsidR="00870478">
        <w:rPr>
          <w:rFonts w:ascii="Verdana" w:hAnsi="Verdana"/>
          <w:color w:val="000000"/>
          <w:szCs w:val="21"/>
          <w:shd w:val="clear" w:color="auto" w:fill="FFFFFF"/>
        </w:rPr>
        <w:t>负存款</w:t>
      </w:r>
      <w:proofErr w:type="gramEnd"/>
      <w:r w:rsidR="00870478">
        <w:rPr>
          <w:rFonts w:ascii="Verdana" w:hAnsi="Verdana"/>
          <w:color w:val="000000"/>
          <w:szCs w:val="21"/>
          <w:shd w:val="clear" w:color="auto" w:fill="FFFFFF"/>
        </w:rPr>
        <w:t>利率、对银行扩大提供长期再融资操作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（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LTRO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）</w:t>
      </w:r>
      <w:r w:rsidR="00870478">
        <w:rPr>
          <w:rFonts w:ascii="Verdana" w:hAnsi="Verdana"/>
          <w:color w:val="000000"/>
          <w:szCs w:val="21"/>
          <w:shd w:val="clear" w:color="auto" w:fill="FFFFFF"/>
        </w:rPr>
        <w:t>、或者是买进资产进行量化宽松</w:t>
      </w:r>
      <w:r w:rsidR="00870478">
        <w:rPr>
          <w:rFonts w:ascii="Verdana" w:hAnsi="Verdana"/>
          <w:color w:val="000000"/>
          <w:szCs w:val="21"/>
          <w:shd w:val="clear" w:color="auto" w:fill="FFFFFF"/>
        </w:rPr>
        <w:t>(QE)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等行动支撑欧元区复苏。同时，</w:t>
      </w:r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为了抵抗通缩，</w:t>
      </w:r>
      <w:r w:rsidR="00D51492">
        <w:rPr>
          <w:rFonts w:ascii="Verdana" w:hAnsi="Verdana" w:hint="eastAsia"/>
          <w:color w:val="000000"/>
          <w:szCs w:val="21"/>
          <w:shd w:val="clear" w:color="auto" w:fill="FFFFFF"/>
        </w:rPr>
        <w:t>日本</w:t>
      </w:r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央行每月印钞近</w:t>
      </w:r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700</w:t>
      </w:r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亿美元，推低了日圆</w:t>
      </w:r>
      <w:proofErr w:type="gramStart"/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而提涨了</w:t>
      </w:r>
      <w:proofErr w:type="gramEnd"/>
      <w:r w:rsidR="00D84C80">
        <w:rPr>
          <w:rFonts w:ascii="Verdana" w:hAnsi="Verdana" w:hint="eastAsia"/>
          <w:color w:val="000000"/>
          <w:szCs w:val="21"/>
          <w:shd w:val="clear" w:color="auto" w:fill="FFFFFF"/>
        </w:rPr>
        <w:t>股市，考虑到当前日本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通胀水平仍远低于日本央行的通胀目标，日本央行有可能推出第二轮刺激政策。而美国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10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月建筑</w:t>
      </w:r>
      <w:proofErr w:type="gramStart"/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许可跳增</w:t>
      </w:r>
      <w:proofErr w:type="gramEnd"/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6.2%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，至年率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103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万户，为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2008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年</w:t>
      </w:r>
      <w:r w:rsidR="00806CFC" w:rsidRPr="00806CFC">
        <w:rPr>
          <w:rFonts w:ascii="Verdana" w:hAnsi="Verdana" w:hint="eastAsia"/>
          <w:color w:val="000000"/>
          <w:szCs w:val="21"/>
          <w:shd w:val="clear" w:color="auto" w:fill="FFFFFF"/>
        </w:rPr>
        <w:t>6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月以来最高，楼市复苏表现令人鼓舞，</w:t>
      </w:r>
      <w:r w:rsidR="00E171DF">
        <w:rPr>
          <w:rFonts w:ascii="Verdana" w:hAnsi="Verdana" w:hint="eastAsia"/>
          <w:color w:val="000000"/>
          <w:szCs w:val="21"/>
          <w:shd w:val="clear" w:color="auto" w:fill="FFFFFF"/>
        </w:rPr>
        <w:t>同时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11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月美国失业金申领人数持续下降，显示就业市场正在改善，如果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12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月公布的非农就业数据表现强劲，不</w:t>
      </w:r>
      <w:proofErr w:type="gramStart"/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排除美</w:t>
      </w:r>
      <w:proofErr w:type="gramEnd"/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联储在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12</w:t>
      </w:r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月的议</w:t>
      </w:r>
      <w:proofErr w:type="gramStart"/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息会议</w:t>
      </w:r>
      <w:proofErr w:type="gramEnd"/>
      <w:r w:rsidR="00806CFC">
        <w:rPr>
          <w:rFonts w:ascii="Verdana" w:hAnsi="Verdana" w:hint="eastAsia"/>
          <w:color w:val="000000"/>
          <w:szCs w:val="21"/>
          <w:shd w:val="clear" w:color="auto" w:fill="FFFFFF"/>
        </w:rPr>
        <w:t>中</w:t>
      </w:r>
      <w:r w:rsidR="000D6479">
        <w:rPr>
          <w:rFonts w:ascii="Verdana" w:hAnsi="Verdana" w:hint="eastAsia"/>
          <w:color w:val="000000"/>
          <w:szCs w:val="21"/>
          <w:shd w:val="clear" w:color="auto" w:fill="FFFFFF"/>
        </w:rPr>
        <w:t>采取行动</w:t>
      </w:r>
      <w:r w:rsidR="000D6479">
        <w:rPr>
          <w:rFonts w:ascii="Verdana" w:hAnsi="Verdana"/>
          <w:color w:val="000000"/>
          <w:szCs w:val="21"/>
          <w:shd w:val="clear" w:color="auto" w:fill="FFFFFF"/>
        </w:rPr>
        <w:t>缩减每月</w:t>
      </w:r>
      <w:proofErr w:type="gramStart"/>
      <w:r w:rsidR="000D6479">
        <w:rPr>
          <w:rFonts w:ascii="Verdana" w:hAnsi="Verdana"/>
          <w:color w:val="000000"/>
          <w:szCs w:val="21"/>
          <w:shd w:val="clear" w:color="auto" w:fill="FFFFFF"/>
        </w:rPr>
        <w:t>850</w:t>
      </w:r>
      <w:r w:rsidR="000D6479">
        <w:rPr>
          <w:rFonts w:ascii="Verdana" w:hAnsi="Verdana"/>
          <w:color w:val="000000"/>
          <w:szCs w:val="21"/>
          <w:shd w:val="clear" w:color="auto" w:fill="FFFFFF"/>
        </w:rPr>
        <w:t>亿美元购债规模</w:t>
      </w:r>
      <w:proofErr w:type="gramEnd"/>
      <w:r w:rsidR="000D6479">
        <w:rPr>
          <w:rFonts w:ascii="Verdana" w:hAnsi="Verdana" w:hint="eastAsia"/>
          <w:color w:val="000000"/>
          <w:szCs w:val="21"/>
          <w:shd w:val="clear" w:color="auto" w:fill="FFFFFF"/>
        </w:rPr>
        <w:t>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257D79" w:rsidRPr="00713B2E" w:rsidTr="00923AD4">
        <w:trPr>
          <w:trHeight w:val="402"/>
        </w:trPr>
        <w:tc>
          <w:tcPr>
            <w:tcW w:w="8522" w:type="dxa"/>
            <w:tcBorders>
              <w:bottom w:val="single" w:sz="4" w:space="0" w:color="auto"/>
            </w:tcBorders>
          </w:tcPr>
          <w:p w:rsidR="00257D79" w:rsidRPr="00713B2E" w:rsidRDefault="00257D79" w:rsidP="00511246">
            <w:pPr>
              <w:tabs>
                <w:tab w:val="left" w:pos="5715"/>
              </w:tabs>
              <w:jc w:val="left"/>
              <w:rPr>
                <w:rFonts w:ascii="微软雅黑" w:eastAsia="微软雅黑" w:hAnsi="微软雅黑"/>
                <w:i/>
              </w:rPr>
            </w:pPr>
            <w:r w:rsidRPr="00713B2E">
              <w:rPr>
                <w:rFonts w:ascii="微软雅黑" w:eastAsia="微软雅黑" w:hAnsi="微软雅黑" w:hint="eastAsia"/>
                <w:i/>
              </w:rPr>
              <w:lastRenderedPageBreak/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3</w:t>
            </w:r>
            <w:r w:rsidRPr="00713B2E">
              <w:rPr>
                <w:rFonts w:ascii="微软雅黑" w:eastAsia="微软雅黑" w:hAnsi="微软雅黑" w:hint="eastAsia"/>
                <w:i/>
              </w:rPr>
              <w:t>：</w:t>
            </w:r>
            <w:r>
              <w:rPr>
                <w:rFonts w:ascii="微软雅黑" w:eastAsia="微软雅黑" w:hAnsi="微软雅黑" w:hint="eastAsia"/>
                <w:i/>
              </w:rPr>
              <w:t>11月美国</w:t>
            </w:r>
            <w:r w:rsidR="00511246">
              <w:rPr>
                <w:rFonts w:ascii="微软雅黑" w:eastAsia="微软雅黑" w:hAnsi="微软雅黑" w:hint="eastAsia"/>
                <w:i/>
              </w:rPr>
              <w:t>周初申请失业</w:t>
            </w:r>
            <w:proofErr w:type="gramStart"/>
            <w:r w:rsidR="00511246">
              <w:rPr>
                <w:rFonts w:ascii="微软雅黑" w:eastAsia="微软雅黑" w:hAnsi="微软雅黑" w:hint="eastAsia"/>
                <w:i/>
              </w:rPr>
              <w:t>金人数</w:t>
            </w:r>
            <w:proofErr w:type="gramEnd"/>
            <w:r w:rsidR="00511246">
              <w:rPr>
                <w:rFonts w:ascii="微软雅黑" w:eastAsia="微软雅黑" w:hAnsi="微软雅黑" w:hint="eastAsia"/>
                <w:i/>
              </w:rPr>
              <w:t>持续下降</w:t>
            </w:r>
          </w:p>
        </w:tc>
      </w:tr>
      <w:tr w:rsidR="00257D79" w:rsidRPr="00713B2E" w:rsidTr="00923AD4">
        <w:trPr>
          <w:trHeight w:val="3175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57D79" w:rsidRPr="00713B2E" w:rsidRDefault="00257D79" w:rsidP="00923AD4">
            <w:pPr>
              <w:tabs>
                <w:tab w:val="left" w:pos="5715"/>
              </w:tabs>
              <w:spacing w:line="360" w:lineRule="auto"/>
              <w:jc w:val="left"/>
            </w:pPr>
            <w:r w:rsidRPr="00257D79">
              <w:rPr>
                <w:noProof/>
              </w:rPr>
              <w:drawing>
                <wp:inline distT="0" distB="0" distL="0" distR="0">
                  <wp:extent cx="5210175" cy="2428875"/>
                  <wp:effectExtent l="0" t="0" r="0" b="0"/>
                  <wp:docPr id="9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257D79" w:rsidRPr="00713B2E" w:rsidTr="00923AD4">
        <w:tc>
          <w:tcPr>
            <w:tcW w:w="8522" w:type="dxa"/>
            <w:tcBorders>
              <w:top w:val="single" w:sz="4" w:space="0" w:color="auto"/>
            </w:tcBorders>
          </w:tcPr>
          <w:p w:rsidR="00257D79" w:rsidRPr="00713B2E" w:rsidRDefault="00257D79" w:rsidP="00923AD4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C054F5" w:rsidRDefault="00C17064" w:rsidP="00782E46">
      <w:pPr>
        <w:tabs>
          <w:tab w:val="left" w:pos="5715"/>
        </w:tabs>
        <w:spacing w:beforeLines="50" w:line="360" w:lineRule="auto"/>
        <w:jc w:val="left"/>
        <w:rPr>
          <w:b/>
        </w:rPr>
      </w:pPr>
      <w:r>
        <w:rPr>
          <w:rFonts w:hint="eastAsia"/>
          <w:b/>
        </w:rPr>
        <w:t>港股：</w:t>
      </w:r>
      <w:r w:rsidR="00C054F5">
        <w:rPr>
          <w:rFonts w:hint="eastAsia"/>
          <w:b/>
        </w:rPr>
        <w:t>中国改革预期强化</w:t>
      </w:r>
      <w:r w:rsidR="00C054F5">
        <w:rPr>
          <w:rFonts w:hint="eastAsia"/>
          <w:b/>
        </w:rPr>
        <w:t xml:space="preserve"> </w:t>
      </w:r>
      <w:r w:rsidR="00C054F5">
        <w:rPr>
          <w:rFonts w:hint="eastAsia"/>
          <w:b/>
        </w:rPr>
        <w:t>市场尾部风险下降</w:t>
      </w:r>
    </w:p>
    <w:p w:rsidR="00A04C73" w:rsidRPr="00F60D65" w:rsidRDefault="00F60D65" w:rsidP="00782E46">
      <w:pPr>
        <w:tabs>
          <w:tab w:val="left" w:pos="5715"/>
        </w:tabs>
        <w:spacing w:beforeLines="50" w:line="360" w:lineRule="auto"/>
        <w:ind w:firstLineChars="200" w:firstLine="420"/>
        <w:jc w:val="left"/>
      </w:pPr>
      <w:r>
        <w:rPr>
          <w:rFonts w:hint="eastAsia"/>
        </w:rPr>
        <w:t>中国三中全会之后，改革政策逐渐清晰，中国将坚持市场化改革方向</w:t>
      </w:r>
      <w:r w:rsidR="00184D40">
        <w:rPr>
          <w:rFonts w:hint="eastAsia"/>
        </w:rPr>
        <w:t>，获得了环球投资者的认可</w:t>
      </w:r>
      <w:r w:rsidR="002A58C1">
        <w:rPr>
          <w:rFonts w:hint="eastAsia"/>
        </w:rPr>
        <w:t>。</w:t>
      </w:r>
      <w:r w:rsidR="00184D40">
        <w:rPr>
          <w:rFonts w:hint="eastAsia"/>
        </w:rPr>
        <w:t>目前港股企业盈利增长良好，</w:t>
      </w:r>
      <w:r w:rsidR="006718CD">
        <w:rPr>
          <w:rFonts w:hint="eastAsia"/>
        </w:rPr>
        <w:t>三中全会后全球廉价资金持续流入港股，</w:t>
      </w:r>
      <w:r w:rsidR="006718CD">
        <w:rPr>
          <w:rFonts w:hint="eastAsia"/>
        </w:rPr>
        <w:t>11</w:t>
      </w:r>
      <w:r w:rsidR="006718CD">
        <w:rPr>
          <w:rFonts w:hint="eastAsia"/>
        </w:rPr>
        <w:t>月恒生指数上涨</w:t>
      </w:r>
      <w:r w:rsidR="006718CD">
        <w:rPr>
          <w:rFonts w:hint="eastAsia"/>
        </w:rPr>
        <w:t>2.91%</w:t>
      </w:r>
      <w:r w:rsidR="006718CD">
        <w:rPr>
          <w:rFonts w:hint="eastAsia"/>
        </w:rPr>
        <w:t>，恒生国企指数劲升</w:t>
      </w:r>
      <w:r w:rsidR="006718CD">
        <w:rPr>
          <w:rFonts w:hint="eastAsia"/>
        </w:rPr>
        <w:t>7.66%</w:t>
      </w:r>
      <w:r w:rsidR="006718CD">
        <w:rPr>
          <w:rFonts w:hint="eastAsia"/>
        </w:rPr>
        <w:t>。</w:t>
      </w:r>
      <w:r w:rsidR="002A58C1">
        <w:rPr>
          <w:rFonts w:hint="eastAsia"/>
        </w:rPr>
        <w:t>我们认为，</w:t>
      </w:r>
      <w:r w:rsidR="006718CD">
        <w:rPr>
          <w:rFonts w:hint="eastAsia"/>
        </w:rPr>
        <w:t>中国深化改革有利于消除市场尾部风险，</w:t>
      </w:r>
      <w:r w:rsidR="002A58C1">
        <w:rPr>
          <w:rFonts w:hint="eastAsia"/>
        </w:rPr>
        <w:t>随着</w:t>
      </w:r>
      <w:r w:rsidR="006718CD">
        <w:rPr>
          <w:rFonts w:hint="eastAsia"/>
        </w:rPr>
        <w:t>价值投资者重新入市，港股有望启动中长期行情。医疗、科技、消费、环保等受惠于改革政策的板块值得多加关注。</w:t>
      </w:r>
    </w:p>
    <w:p w:rsidR="007263EC" w:rsidRDefault="00C17064" w:rsidP="00782E46">
      <w:pPr>
        <w:tabs>
          <w:tab w:val="left" w:pos="5715"/>
        </w:tabs>
        <w:spacing w:beforeLines="50" w:line="360" w:lineRule="auto"/>
        <w:jc w:val="left"/>
        <w:rPr>
          <w:b/>
        </w:rPr>
      </w:pPr>
      <w:r>
        <w:rPr>
          <w:rFonts w:hint="eastAsia"/>
          <w:b/>
        </w:rPr>
        <w:t>环球债市：</w:t>
      </w:r>
      <w:r w:rsidR="00C054F5">
        <w:rPr>
          <w:rFonts w:hint="eastAsia"/>
          <w:b/>
        </w:rPr>
        <w:t>12</w:t>
      </w:r>
      <w:r w:rsidR="00C054F5">
        <w:rPr>
          <w:rFonts w:hint="eastAsia"/>
          <w:b/>
        </w:rPr>
        <w:t>月议</w:t>
      </w:r>
      <w:proofErr w:type="gramStart"/>
      <w:r w:rsidR="00C054F5">
        <w:rPr>
          <w:rFonts w:hint="eastAsia"/>
          <w:b/>
        </w:rPr>
        <w:t>息会议</w:t>
      </w:r>
      <w:proofErr w:type="gramEnd"/>
      <w:r w:rsidR="00C054F5">
        <w:rPr>
          <w:rFonts w:hint="eastAsia"/>
          <w:b/>
        </w:rPr>
        <w:t>临近</w:t>
      </w:r>
      <w:r w:rsidR="00C054F5">
        <w:rPr>
          <w:rFonts w:hint="eastAsia"/>
          <w:b/>
        </w:rPr>
        <w:t xml:space="preserve"> </w:t>
      </w:r>
      <w:r w:rsidR="00C054F5">
        <w:rPr>
          <w:rFonts w:hint="eastAsia"/>
          <w:b/>
        </w:rPr>
        <w:t>指标利率继续走高</w:t>
      </w:r>
    </w:p>
    <w:p w:rsidR="00094D05" w:rsidRDefault="005E4715" w:rsidP="00782E46">
      <w:pPr>
        <w:tabs>
          <w:tab w:val="left" w:pos="5715"/>
        </w:tabs>
        <w:spacing w:beforeLines="50" w:line="360" w:lineRule="auto"/>
        <w:jc w:val="left"/>
      </w:pPr>
      <w:r w:rsidRPr="005E4715">
        <w:rPr>
          <w:rFonts w:hint="eastAsia"/>
        </w:rPr>
        <w:t>11</w:t>
      </w:r>
      <w:r w:rsidRPr="005E4715">
        <w:rPr>
          <w:rFonts w:hint="eastAsia"/>
        </w:rPr>
        <w:t>月</w:t>
      </w:r>
      <w:r w:rsidR="007E6EC0">
        <w:rPr>
          <w:rFonts w:hint="eastAsia"/>
        </w:rPr>
        <w:t>全球指标利率美国</w:t>
      </w:r>
      <w:r w:rsidR="007E6EC0">
        <w:rPr>
          <w:rFonts w:hint="eastAsia"/>
        </w:rPr>
        <w:t>10</w:t>
      </w:r>
      <w:r w:rsidR="007E6EC0">
        <w:rPr>
          <w:rFonts w:hint="eastAsia"/>
        </w:rPr>
        <w:t>年期国债收益率较</w:t>
      </w:r>
      <w:r w:rsidR="007E6EC0">
        <w:rPr>
          <w:rFonts w:hint="eastAsia"/>
        </w:rPr>
        <w:t>10</w:t>
      </w:r>
      <w:r w:rsidR="007E6EC0">
        <w:rPr>
          <w:rFonts w:hint="eastAsia"/>
        </w:rPr>
        <w:t>月上涨</w:t>
      </w:r>
      <w:r w:rsidR="007E6EC0">
        <w:rPr>
          <w:rFonts w:hint="eastAsia"/>
        </w:rPr>
        <w:t>0.18%</w:t>
      </w:r>
      <w:r w:rsidR="007E6EC0">
        <w:rPr>
          <w:rFonts w:hint="eastAsia"/>
        </w:rPr>
        <w:t>，</w:t>
      </w:r>
      <w:r w:rsidR="00140D5A">
        <w:rPr>
          <w:rFonts w:hint="eastAsia"/>
        </w:rPr>
        <w:t>至</w:t>
      </w:r>
      <w:r w:rsidR="00140D5A">
        <w:rPr>
          <w:rFonts w:hint="eastAsia"/>
        </w:rPr>
        <w:t>2.75%</w:t>
      </w:r>
      <w:r w:rsidR="00140D5A">
        <w:rPr>
          <w:rFonts w:hint="eastAsia"/>
        </w:rPr>
        <w:t>。近期公布的就业数据以及房地产数据表现强劲，强化了市场对联</w:t>
      </w:r>
      <w:proofErr w:type="gramStart"/>
      <w:r w:rsidR="00140D5A">
        <w:rPr>
          <w:rFonts w:hint="eastAsia"/>
        </w:rPr>
        <w:t>储即将</w:t>
      </w:r>
      <w:proofErr w:type="gramEnd"/>
      <w:r w:rsidR="00140D5A">
        <w:rPr>
          <w:rFonts w:hint="eastAsia"/>
        </w:rPr>
        <w:t>采取行动缩减</w:t>
      </w:r>
      <w:proofErr w:type="gramStart"/>
      <w:r w:rsidR="00140D5A">
        <w:rPr>
          <w:rFonts w:hint="eastAsia"/>
        </w:rPr>
        <w:t>购债计划</w:t>
      </w:r>
      <w:proofErr w:type="gramEnd"/>
      <w:r w:rsidR="00140D5A">
        <w:rPr>
          <w:rFonts w:hint="eastAsia"/>
        </w:rPr>
        <w:t>的预期，从而推升了全球无风险利率</w:t>
      </w:r>
      <w:r w:rsidR="00580D81">
        <w:rPr>
          <w:rFonts w:hint="eastAsia"/>
        </w:rPr>
        <w:t>，</w:t>
      </w:r>
      <w:r w:rsidR="00580D81">
        <w:rPr>
          <w:rFonts w:hint="eastAsia"/>
        </w:rPr>
        <w:t>11</w:t>
      </w:r>
      <w:r w:rsidR="00580D81">
        <w:rPr>
          <w:rFonts w:hint="eastAsia"/>
        </w:rPr>
        <w:t>月巴克莱资本全球政府公债指数下跌近</w:t>
      </w:r>
      <w:r w:rsidR="00580D81">
        <w:rPr>
          <w:rFonts w:hint="eastAsia"/>
        </w:rPr>
        <w:t>1%</w:t>
      </w:r>
      <w:r w:rsidR="00580D81">
        <w:rPr>
          <w:rFonts w:hint="eastAsia"/>
        </w:rPr>
        <w:t>。全球经济企稳回升，信用利差继续收窄，</w:t>
      </w:r>
      <w:r w:rsidR="00580D81">
        <w:rPr>
          <w:rFonts w:hint="eastAsia"/>
        </w:rPr>
        <w:t>11</w:t>
      </w:r>
      <w:r w:rsidR="00580D81">
        <w:rPr>
          <w:rFonts w:hint="eastAsia"/>
        </w:rPr>
        <w:t>月美林高收益债券指数微幅收涨。</w:t>
      </w:r>
    </w:p>
    <w:p w:rsidR="00BE2CE0" w:rsidRDefault="00BE2CE0" w:rsidP="00782E46">
      <w:pPr>
        <w:tabs>
          <w:tab w:val="left" w:pos="5715"/>
        </w:tabs>
        <w:spacing w:beforeLines="50" w:line="360" w:lineRule="auto"/>
        <w:jc w:val="left"/>
      </w:pPr>
    </w:p>
    <w:p w:rsidR="00BE2CE0" w:rsidRDefault="00BE2CE0" w:rsidP="00782E46">
      <w:pPr>
        <w:tabs>
          <w:tab w:val="left" w:pos="5715"/>
        </w:tabs>
        <w:spacing w:beforeLines="50" w:line="360" w:lineRule="auto"/>
        <w:jc w:val="left"/>
      </w:pPr>
    </w:p>
    <w:p w:rsidR="00BE2CE0" w:rsidRDefault="00BE2CE0" w:rsidP="00782E46">
      <w:pPr>
        <w:tabs>
          <w:tab w:val="left" w:pos="5715"/>
        </w:tabs>
        <w:spacing w:beforeLines="50" w:line="360" w:lineRule="auto"/>
        <w:jc w:val="left"/>
      </w:pPr>
    </w:p>
    <w:p w:rsidR="00BE2CE0" w:rsidRPr="00580D81" w:rsidRDefault="00BE2CE0" w:rsidP="00782E46">
      <w:pPr>
        <w:tabs>
          <w:tab w:val="left" w:pos="5715"/>
        </w:tabs>
        <w:spacing w:beforeLines="50" w:line="360" w:lineRule="auto"/>
        <w:jc w:val="lef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CC7A2D" w:rsidRPr="00713B2E" w:rsidTr="00923AD4">
        <w:tc>
          <w:tcPr>
            <w:tcW w:w="8522" w:type="dxa"/>
            <w:tcBorders>
              <w:bottom w:val="single" w:sz="4" w:space="0" w:color="auto"/>
            </w:tcBorders>
          </w:tcPr>
          <w:p w:rsidR="00CC7A2D" w:rsidRPr="00713B2E" w:rsidRDefault="00CC7A2D" w:rsidP="00094D05">
            <w:pPr>
              <w:tabs>
                <w:tab w:val="left" w:pos="5715"/>
              </w:tabs>
              <w:spacing w:line="360" w:lineRule="auto"/>
              <w:jc w:val="left"/>
              <w:rPr>
                <w:rFonts w:ascii="微软雅黑" w:eastAsia="微软雅黑" w:hAnsi="微软雅黑"/>
                <w:i/>
              </w:rPr>
            </w:pPr>
            <w:r w:rsidRPr="00713B2E">
              <w:rPr>
                <w:rFonts w:ascii="微软雅黑" w:eastAsia="微软雅黑" w:hAnsi="微软雅黑" w:hint="eastAsia"/>
                <w:i/>
              </w:rPr>
              <w:lastRenderedPageBreak/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4</w:t>
            </w:r>
            <w:r w:rsidRPr="00713B2E">
              <w:rPr>
                <w:rFonts w:ascii="微软雅黑" w:eastAsia="微软雅黑" w:hAnsi="微软雅黑" w:hint="eastAsia"/>
                <w:i/>
              </w:rPr>
              <w:t>：</w:t>
            </w:r>
            <w:r w:rsidR="00094D05" w:rsidRPr="00713B2E">
              <w:rPr>
                <w:rFonts w:ascii="微软雅黑" w:eastAsia="微软雅黑" w:hAnsi="微软雅黑"/>
                <w:i/>
              </w:rPr>
              <w:t xml:space="preserve"> </w:t>
            </w:r>
            <w:r w:rsidR="00511246">
              <w:rPr>
                <w:rFonts w:ascii="微软雅黑" w:eastAsia="微软雅黑" w:hAnsi="微软雅黑" w:hint="eastAsia"/>
                <w:i/>
              </w:rPr>
              <w:t>11月美国10年期国债收益率回升0.18%。</w:t>
            </w:r>
          </w:p>
        </w:tc>
      </w:tr>
      <w:tr w:rsidR="00CC7A2D" w:rsidRPr="00713B2E" w:rsidTr="00923AD4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CC7A2D" w:rsidRPr="00713B2E" w:rsidRDefault="00511246" w:rsidP="00923AD4">
            <w:pPr>
              <w:tabs>
                <w:tab w:val="left" w:pos="5715"/>
              </w:tabs>
              <w:spacing w:line="360" w:lineRule="auto"/>
              <w:jc w:val="left"/>
            </w:pPr>
            <w:r w:rsidRPr="00511246">
              <w:rPr>
                <w:noProof/>
              </w:rPr>
              <w:drawing>
                <wp:inline distT="0" distB="0" distL="0" distR="0">
                  <wp:extent cx="5353050" cy="2333625"/>
                  <wp:effectExtent l="0" t="0" r="0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C7A2D" w:rsidRPr="00713B2E" w:rsidTr="00923AD4">
        <w:tc>
          <w:tcPr>
            <w:tcW w:w="8522" w:type="dxa"/>
            <w:tcBorders>
              <w:top w:val="single" w:sz="4" w:space="0" w:color="auto"/>
            </w:tcBorders>
          </w:tcPr>
          <w:p w:rsidR="00CC7A2D" w:rsidRPr="00713B2E" w:rsidRDefault="00CC7A2D" w:rsidP="00923AD4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C054F5" w:rsidRDefault="00757E31" w:rsidP="00782E46">
      <w:pPr>
        <w:tabs>
          <w:tab w:val="left" w:pos="5715"/>
        </w:tabs>
        <w:spacing w:beforeLines="50" w:line="360" w:lineRule="auto"/>
        <w:jc w:val="left"/>
        <w:rPr>
          <w:b/>
        </w:rPr>
      </w:pPr>
      <w:r>
        <w:rPr>
          <w:rFonts w:hint="eastAsia"/>
          <w:b/>
        </w:rPr>
        <w:t>大宗商品：</w:t>
      </w:r>
      <w:r w:rsidR="006C5EEA">
        <w:rPr>
          <w:rFonts w:hint="eastAsia"/>
          <w:b/>
        </w:rPr>
        <w:t>原油、黄金双双下跌</w:t>
      </w:r>
    </w:p>
    <w:p w:rsidR="00B35BF6" w:rsidRPr="00BB17EA" w:rsidRDefault="00BB17EA" w:rsidP="00782E46">
      <w:pPr>
        <w:tabs>
          <w:tab w:val="left" w:pos="5715"/>
        </w:tabs>
        <w:spacing w:beforeLines="50" w:line="360" w:lineRule="auto"/>
        <w:jc w:val="left"/>
      </w:pPr>
      <w:r>
        <w:rPr>
          <w:rFonts w:hint="eastAsia"/>
        </w:rPr>
        <w:t>自</w:t>
      </w:r>
      <w:r>
        <w:rPr>
          <w:rFonts w:hint="eastAsia"/>
        </w:rPr>
        <w:t>9</w:t>
      </w:r>
      <w:r>
        <w:rPr>
          <w:rFonts w:hint="eastAsia"/>
        </w:rPr>
        <w:t>月底以来，美国原油库存连续</w:t>
      </w:r>
      <w:r>
        <w:rPr>
          <w:rFonts w:hint="eastAsia"/>
        </w:rPr>
        <w:t>12</w:t>
      </w:r>
      <w:r>
        <w:rPr>
          <w:rFonts w:hint="eastAsia"/>
        </w:rPr>
        <w:t>周增加，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日当周一度</w:t>
      </w:r>
      <w:r w:rsidRPr="00BB17EA">
        <w:rPr>
          <w:rFonts w:hint="eastAsia"/>
        </w:rPr>
        <w:t>上升至</w:t>
      </w:r>
      <w:r w:rsidRPr="00BB17EA">
        <w:rPr>
          <w:rFonts w:hint="eastAsia"/>
        </w:rPr>
        <w:t>3.91</w:t>
      </w:r>
      <w:r w:rsidRPr="00BB17EA">
        <w:rPr>
          <w:rFonts w:hint="eastAsia"/>
        </w:rPr>
        <w:t>亿桶，</w:t>
      </w:r>
      <w:r>
        <w:rPr>
          <w:rFonts w:hint="eastAsia"/>
        </w:rPr>
        <w:t>创下</w:t>
      </w:r>
      <w:r w:rsidRPr="00BB17EA">
        <w:rPr>
          <w:rFonts w:hint="eastAsia"/>
        </w:rPr>
        <w:t>1982</w:t>
      </w:r>
      <w:r w:rsidRPr="00BB17EA">
        <w:rPr>
          <w:rFonts w:hint="eastAsia"/>
        </w:rPr>
        <w:t>年</w:t>
      </w:r>
      <w:r>
        <w:rPr>
          <w:rFonts w:hint="eastAsia"/>
        </w:rPr>
        <w:t>EIA</w:t>
      </w:r>
      <w:r w:rsidRPr="00BB17EA">
        <w:rPr>
          <w:rFonts w:hint="eastAsia"/>
        </w:rPr>
        <w:t>编纂数据以来年内同期最高水平。</w:t>
      </w:r>
      <w:r>
        <w:rPr>
          <w:rFonts w:hint="eastAsia"/>
        </w:rPr>
        <w:t>11</w:t>
      </w:r>
      <w:r>
        <w:rPr>
          <w:rFonts w:hint="eastAsia"/>
        </w:rPr>
        <w:t>月纽约原油价格也下跌</w:t>
      </w:r>
      <w:r w:rsidR="00222D47">
        <w:rPr>
          <w:rFonts w:hint="eastAsia"/>
        </w:rPr>
        <w:t>3.74%</w:t>
      </w:r>
      <w:r w:rsidR="00222D47">
        <w:rPr>
          <w:rFonts w:hint="eastAsia"/>
        </w:rPr>
        <w:t>，报</w:t>
      </w:r>
      <w:r w:rsidR="00222D47">
        <w:rPr>
          <w:rFonts w:hint="eastAsia"/>
        </w:rPr>
        <w:t>92.78</w:t>
      </w:r>
      <w:r w:rsidR="00222D47">
        <w:rPr>
          <w:rFonts w:hint="eastAsia"/>
        </w:rPr>
        <w:t>美元每桶。但进入</w:t>
      </w:r>
      <w:r w:rsidR="00222D47">
        <w:rPr>
          <w:rFonts w:hint="eastAsia"/>
        </w:rPr>
        <w:t>12</w:t>
      </w:r>
      <w:r w:rsidR="00222D47">
        <w:rPr>
          <w:rFonts w:hint="eastAsia"/>
        </w:rPr>
        <w:t>月之后，市场</w:t>
      </w:r>
      <w:r w:rsidR="00222D47" w:rsidRPr="00222D47">
        <w:rPr>
          <w:rFonts w:hint="eastAsia"/>
        </w:rPr>
        <w:t>预期</w:t>
      </w:r>
      <w:r w:rsidR="00222D47" w:rsidRPr="00222D47">
        <w:rPr>
          <w:rFonts w:hint="eastAsia"/>
        </w:rPr>
        <w:t>1</w:t>
      </w:r>
      <w:r w:rsidR="00222D47" w:rsidRPr="00222D47">
        <w:rPr>
          <w:rFonts w:hint="eastAsia"/>
        </w:rPr>
        <w:t>月</w:t>
      </w:r>
      <w:r w:rsidR="00222D47">
        <w:rPr>
          <w:rFonts w:hint="eastAsia"/>
        </w:rPr>
        <w:t>开始投运的</w:t>
      </w:r>
      <w:proofErr w:type="gramStart"/>
      <w:r w:rsidR="00222D47">
        <w:rPr>
          <w:rFonts w:hint="eastAsia"/>
        </w:rPr>
        <w:t>从库欣至</w:t>
      </w:r>
      <w:proofErr w:type="gramEnd"/>
      <w:r w:rsidR="00222D47">
        <w:rPr>
          <w:rFonts w:hint="eastAsia"/>
        </w:rPr>
        <w:t>美国墨西哥湾的输油管道将</w:t>
      </w:r>
      <w:proofErr w:type="gramStart"/>
      <w:r w:rsidR="00222D47">
        <w:rPr>
          <w:rFonts w:hint="eastAsia"/>
        </w:rPr>
        <w:t>导致库欣原油</w:t>
      </w:r>
      <w:proofErr w:type="gramEnd"/>
      <w:r w:rsidR="00222D47">
        <w:rPr>
          <w:rFonts w:hint="eastAsia"/>
        </w:rPr>
        <w:t>库存减少；同时，</w:t>
      </w:r>
      <w:r w:rsidR="00222D47">
        <w:rPr>
          <w:rFonts w:hint="eastAsia"/>
        </w:rPr>
        <w:t>EIA</w:t>
      </w:r>
      <w:r w:rsidR="00222D47">
        <w:rPr>
          <w:rFonts w:hint="eastAsia"/>
        </w:rPr>
        <w:t>最新公布的数据显示</w:t>
      </w:r>
      <w:r w:rsidR="00222D47">
        <w:rPr>
          <w:rFonts w:hint="eastAsia"/>
        </w:rPr>
        <w:t>11</w:t>
      </w:r>
      <w:r w:rsidR="00222D47">
        <w:rPr>
          <w:rFonts w:hint="eastAsia"/>
        </w:rPr>
        <w:t>月</w:t>
      </w:r>
      <w:r w:rsidR="00222D47">
        <w:rPr>
          <w:rFonts w:hint="eastAsia"/>
        </w:rPr>
        <w:t>28</w:t>
      </w:r>
      <w:r w:rsidR="00222D47">
        <w:rPr>
          <w:rFonts w:hint="eastAsia"/>
        </w:rPr>
        <w:t>日当周美国原油库存减少</w:t>
      </w:r>
      <w:r w:rsidR="00222D47">
        <w:rPr>
          <w:rFonts w:hint="eastAsia"/>
        </w:rPr>
        <w:t>559</w:t>
      </w:r>
      <w:r w:rsidR="00222D47">
        <w:rPr>
          <w:rFonts w:hint="eastAsia"/>
        </w:rPr>
        <w:t>万桶，纽约原油价格迎来强劲反弹。而全球经济前景预期乐观，国际金价</w:t>
      </w:r>
      <w:r w:rsidR="00222D47">
        <w:rPr>
          <w:rFonts w:hint="eastAsia"/>
        </w:rPr>
        <w:t>11</w:t>
      </w:r>
      <w:r w:rsidR="00222D47">
        <w:rPr>
          <w:rFonts w:hint="eastAsia"/>
        </w:rPr>
        <w:t>月下跌</w:t>
      </w:r>
      <w:r w:rsidR="00222D47">
        <w:rPr>
          <w:rFonts w:hint="eastAsia"/>
        </w:rPr>
        <w:t>5.54%</w:t>
      </w:r>
      <w:r w:rsidR="00222D47">
        <w:rPr>
          <w:rFonts w:hint="eastAsia"/>
        </w:rPr>
        <w:t>，报</w:t>
      </w:r>
      <w:r w:rsidR="00222D47">
        <w:rPr>
          <w:rFonts w:hint="eastAsia"/>
        </w:rPr>
        <w:t>1250</w:t>
      </w:r>
      <w:r w:rsidR="00222D47">
        <w:rPr>
          <w:rFonts w:hint="eastAsia"/>
        </w:rPr>
        <w:t>美元每盎司。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CE533D" w:rsidRPr="0041639F" w:rsidTr="00996CBE">
        <w:tc>
          <w:tcPr>
            <w:tcW w:w="8522" w:type="dxa"/>
            <w:tcBorders>
              <w:bottom w:val="single" w:sz="4" w:space="0" w:color="auto"/>
            </w:tcBorders>
          </w:tcPr>
          <w:p w:rsidR="00CE533D" w:rsidRPr="0041639F" w:rsidRDefault="00CE533D" w:rsidP="00704D09">
            <w:pPr>
              <w:tabs>
                <w:tab w:val="left" w:pos="5715"/>
              </w:tabs>
              <w:jc w:val="left"/>
              <w:rPr>
                <w:rFonts w:ascii="微软雅黑" w:eastAsia="微软雅黑" w:hAnsi="微软雅黑"/>
                <w:i/>
              </w:rPr>
            </w:pPr>
            <w:r w:rsidRPr="00713B2E">
              <w:rPr>
                <w:rFonts w:ascii="微软雅黑" w:eastAsia="微软雅黑" w:hAnsi="微软雅黑" w:hint="eastAsia"/>
                <w:i/>
              </w:rPr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5</w:t>
            </w:r>
            <w:r w:rsidRPr="00713B2E">
              <w:rPr>
                <w:rFonts w:ascii="微软雅黑" w:eastAsia="微软雅黑" w:hAnsi="微软雅黑" w:hint="eastAsia"/>
                <w:i/>
              </w:rPr>
              <w:t>：</w:t>
            </w:r>
            <w:r w:rsidR="00704D09" w:rsidRPr="0041639F">
              <w:rPr>
                <w:rFonts w:ascii="微软雅黑" w:eastAsia="微软雅黑" w:hAnsi="微软雅黑"/>
                <w:i/>
              </w:rPr>
              <w:t xml:space="preserve"> </w:t>
            </w:r>
            <w:r w:rsidR="00704D09">
              <w:rPr>
                <w:rFonts w:ascii="微软雅黑" w:eastAsia="微软雅黑" w:hAnsi="微软雅黑" w:hint="eastAsia"/>
                <w:i/>
              </w:rPr>
              <w:t>11月原油库存上升 国际油价下跌</w:t>
            </w:r>
          </w:p>
        </w:tc>
      </w:tr>
      <w:tr w:rsidR="00CE533D" w:rsidRPr="00713B2E" w:rsidTr="00704D09">
        <w:trPr>
          <w:trHeight w:val="3639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CE533D" w:rsidRPr="00713B2E" w:rsidRDefault="00BB17EA" w:rsidP="00996CBE">
            <w:pPr>
              <w:tabs>
                <w:tab w:val="left" w:pos="5715"/>
              </w:tabs>
              <w:spacing w:line="360" w:lineRule="auto"/>
              <w:jc w:val="left"/>
            </w:pPr>
            <w:r w:rsidRPr="00BB17EA">
              <w:rPr>
                <w:noProof/>
              </w:rPr>
              <w:drawing>
                <wp:inline distT="0" distB="0" distL="0" distR="0">
                  <wp:extent cx="5210175" cy="2324100"/>
                  <wp:effectExtent l="0" t="0" r="0" b="0"/>
                  <wp:docPr id="5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E533D" w:rsidRPr="00713B2E" w:rsidTr="00996CBE">
        <w:tc>
          <w:tcPr>
            <w:tcW w:w="8522" w:type="dxa"/>
            <w:tcBorders>
              <w:top w:val="single" w:sz="4" w:space="0" w:color="auto"/>
            </w:tcBorders>
          </w:tcPr>
          <w:p w:rsidR="00CE533D" w:rsidRPr="00713B2E" w:rsidRDefault="00CE533D" w:rsidP="00996CBE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  <w:r>
              <w:rPr>
                <w:rFonts w:hint="eastAsia"/>
                <w:sz w:val="18"/>
                <w:szCs w:val="18"/>
              </w:rPr>
              <w:t xml:space="preserve"> EIA</w:t>
            </w:r>
          </w:p>
        </w:tc>
      </w:tr>
    </w:tbl>
    <w:p w:rsidR="00FA2E1D" w:rsidRPr="00BE2CE0" w:rsidRDefault="00FA2E1D" w:rsidP="00782E46">
      <w:pPr>
        <w:pStyle w:val="a6"/>
        <w:numPr>
          <w:ilvl w:val="0"/>
          <w:numId w:val="2"/>
        </w:numPr>
        <w:tabs>
          <w:tab w:val="left" w:pos="5715"/>
        </w:tabs>
        <w:spacing w:beforeLines="50" w:line="360" w:lineRule="auto"/>
        <w:ind w:firstLineChars="0"/>
        <w:jc w:val="left"/>
        <w:rPr>
          <w:b/>
        </w:rPr>
      </w:pPr>
      <w:r w:rsidRPr="00BE2CE0">
        <w:rPr>
          <w:rFonts w:hint="eastAsia"/>
          <w:b/>
        </w:rPr>
        <w:lastRenderedPageBreak/>
        <w:t>基金市场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713B2E" w:rsidRPr="00713B2E" w:rsidTr="00405112">
        <w:trPr>
          <w:trHeight w:val="568"/>
        </w:trPr>
        <w:tc>
          <w:tcPr>
            <w:tcW w:w="8522" w:type="dxa"/>
            <w:tcBorders>
              <w:bottom w:val="single" w:sz="4" w:space="0" w:color="auto"/>
            </w:tcBorders>
          </w:tcPr>
          <w:p w:rsidR="00713B2E" w:rsidRPr="00C26092" w:rsidRDefault="00713B2E" w:rsidP="00F63705">
            <w:pPr>
              <w:tabs>
                <w:tab w:val="left" w:pos="5715"/>
              </w:tabs>
              <w:jc w:val="left"/>
              <w:rPr>
                <w:rFonts w:ascii="微软雅黑" w:eastAsia="微软雅黑" w:hAnsi="微软雅黑"/>
                <w:i/>
              </w:rPr>
            </w:pPr>
            <w:r w:rsidRPr="00C26092">
              <w:rPr>
                <w:rFonts w:ascii="微软雅黑" w:eastAsia="微软雅黑" w:hAnsi="微软雅黑" w:hint="eastAsia"/>
                <w:i/>
              </w:rPr>
              <w:t>图表</w:t>
            </w:r>
            <w:r w:rsidR="00782E46">
              <w:rPr>
                <w:rFonts w:ascii="微软雅黑" w:eastAsia="微软雅黑" w:hAnsi="微软雅黑" w:hint="eastAsia"/>
                <w:i/>
              </w:rPr>
              <w:t>6</w:t>
            </w:r>
            <w:r w:rsidRPr="00C26092">
              <w:rPr>
                <w:rFonts w:ascii="微软雅黑" w:eastAsia="微软雅黑" w:hAnsi="微软雅黑" w:hint="eastAsia"/>
                <w:i/>
              </w:rPr>
              <w:t>：</w:t>
            </w:r>
            <w:r w:rsidR="00F63705">
              <w:rPr>
                <w:rFonts w:ascii="微软雅黑" w:eastAsia="微软雅黑" w:hAnsi="微软雅黑" w:hint="eastAsia"/>
                <w:i/>
              </w:rPr>
              <w:t>11</w:t>
            </w:r>
            <w:r w:rsidR="0078422B" w:rsidRPr="00C26092">
              <w:rPr>
                <w:rFonts w:ascii="微软雅黑" w:eastAsia="微软雅黑" w:hAnsi="微软雅黑" w:hint="eastAsia"/>
                <w:i/>
              </w:rPr>
              <w:t>月份</w:t>
            </w:r>
            <w:r w:rsidR="00F63705">
              <w:rPr>
                <w:rFonts w:ascii="微软雅黑" w:eastAsia="微软雅黑" w:hAnsi="微软雅黑" w:hint="eastAsia"/>
                <w:i/>
              </w:rPr>
              <w:t>80</w:t>
            </w:r>
            <w:r w:rsidR="0078422B" w:rsidRPr="00C26092">
              <w:rPr>
                <w:rFonts w:ascii="微软雅黑" w:eastAsia="微软雅黑" w:hAnsi="微软雅黑" w:hint="eastAsia"/>
                <w:i/>
              </w:rPr>
              <w:t>只QDII基金平均上涨</w:t>
            </w:r>
            <w:r w:rsidR="00F63705">
              <w:rPr>
                <w:rFonts w:ascii="微软雅黑" w:eastAsia="微软雅黑" w:hAnsi="微软雅黑" w:hint="eastAsia"/>
                <w:i/>
              </w:rPr>
              <w:t>0.99</w:t>
            </w:r>
            <w:r w:rsidR="0078422B" w:rsidRPr="00C26092">
              <w:rPr>
                <w:rFonts w:ascii="微软雅黑" w:eastAsia="微软雅黑" w:hAnsi="微软雅黑" w:hint="eastAsia"/>
                <w:i/>
              </w:rPr>
              <w:t>%</w:t>
            </w:r>
          </w:p>
        </w:tc>
      </w:tr>
      <w:tr w:rsidR="00713B2E" w:rsidRPr="00713B2E" w:rsidTr="000C517F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713B2E" w:rsidRPr="00713B2E" w:rsidRDefault="00F63705" w:rsidP="000C517F">
            <w:pPr>
              <w:tabs>
                <w:tab w:val="left" w:pos="5715"/>
              </w:tabs>
              <w:spacing w:line="360" w:lineRule="auto"/>
              <w:jc w:val="left"/>
            </w:pPr>
            <w:r w:rsidRPr="00F63705">
              <w:rPr>
                <w:noProof/>
              </w:rPr>
              <w:drawing>
                <wp:inline distT="0" distB="0" distL="0" distR="0">
                  <wp:extent cx="5314950" cy="3657600"/>
                  <wp:effectExtent l="0" t="0" r="0" b="0"/>
                  <wp:docPr id="4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13B2E" w:rsidRPr="00713B2E" w:rsidTr="000C517F">
        <w:tc>
          <w:tcPr>
            <w:tcW w:w="8522" w:type="dxa"/>
            <w:tcBorders>
              <w:top w:val="single" w:sz="4" w:space="0" w:color="auto"/>
            </w:tcBorders>
          </w:tcPr>
          <w:p w:rsidR="00713B2E" w:rsidRPr="00713B2E" w:rsidRDefault="00713B2E" w:rsidP="000C517F">
            <w:pPr>
              <w:tabs>
                <w:tab w:val="left" w:pos="5715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713B2E">
              <w:rPr>
                <w:rFonts w:hint="eastAsia"/>
                <w:sz w:val="18"/>
                <w:szCs w:val="18"/>
              </w:rPr>
              <w:t>资料来源：</w:t>
            </w:r>
            <w:proofErr w:type="gramStart"/>
            <w:r w:rsidRPr="00713B2E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713B2E">
              <w:rPr>
                <w:rFonts w:hint="eastAsia"/>
                <w:sz w:val="18"/>
                <w:szCs w:val="18"/>
              </w:rPr>
              <w:t>研究中心</w:t>
            </w:r>
            <w:r w:rsidR="00782E46">
              <w:rPr>
                <w:rFonts w:hint="eastAsia"/>
                <w:sz w:val="18"/>
                <w:szCs w:val="18"/>
              </w:rPr>
              <w:t xml:space="preserve"> </w:t>
            </w:r>
            <w:r w:rsidR="00782E46">
              <w:rPr>
                <w:rFonts w:hint="eastAsia"/>
                <w:sz w:val="18"/>
                <w:szCs w:val="18"/>
              </w:rPr>
              <w:t>截止至</w:t>
            </w:r>
            <w:r w:rsidR="00782E46">
              <w:rPr>
                <w:rFonts w:hint="eastAsia"/>
                <w:sz w:val="18"/>
                <w:szCs w:val="18"/>
              </w:rPr>
              <w:t>2013.11.30</w:t>
            </w:r>
          </w:p>
        </w:tc>
      </w:tr>
    </w:tbl>
    <w:p w:rsidR="00BC320D" w:rsidRPr="00BC320D" w:rsidRDefault="00BC320D" w:rsidP="00782E46">
      <w:pPr>
        <w:tabs>
          <w:tab w:val="left" w:pos="5715"/>
        </w:tabs>
        <w:spacing w:beforeLines="50" w:afterLines="50" w:line="360" w:lineRule="auto"/>
        <w:jc w:val="left"/>
      </w:pPr>
      <w:r w:rsidRPr="00BC320D">
        <w:rPr>
          <w:rFonts w:hint="eastAsia"/>
        </w:rPr>
        <w:t>11</w:t>
      </w:r>
      <w:r w:rsidRPr="00BC320D">
        <w:rPr>
          <w:rFonts w:hint="eastAsia"/>
        </w:rPr>
        <w:t>月</w:t>
      </w:r>
      <w:r>
        <w:rPr>
          <w:rFonts w:hint="eastAsia"/>
        </w:rPr>
        <w:t>纳入的</w:t>
      </w:r>
      <w:r>
        <w:rPr>
          <w:rFonts w:hint="eastAsia"/>
        </w:rPr>
        <w:t>80</w:t>
      </w:r>
      <w:r>
        <w:rPr>
          <w:rFonts w:hint="eastAsia"/>
        </w:rPr>
        <w:t>只</w:t>
      </w:r>
      <w:r>
        <w:rPr>
          <w:rFonts w:hint="eastAsia"/>
        </w:rPr>
        <w:t>QDII</w:t>
      </w:r>
      <w:r>
        <w:rPr>
          <w:rFonts w:hint="eastAsia"/>
        </w:rPr>
        <w:t>基金平均上涨</w:t>
      </w:r>
      <w:r>
        <w:rPr>
          <w:rFonts w:hint="eastAsia"/>
        </w:rPr>
        <w:t>0.99%</w:t>
      </w:r>
      <w:r>
        <w:rPr>
          <w:rFonts w:hint="eastAsia"/>
        </w:rPr>
        <w:t>。其中，受惠于港股尤其中国概念股的强劲表现，华安香港精选、华安大中华升级、易方达恒生</w:t>
      </w:r>
      <w:r>
        <w:rPr>
          <w:rFonts w:hint="eastAsia"/>
        </w:rPr>
        <w:t>H</w:t>
      </w:r>
      <w:r>
        <w:rPr>
          <w:rFonts w:hint="eastAsia"/>
        </w:rPr>
        <w:t>股</w:t>
      </w:r>
      <w:r>
        <w:rPr>
          <w:rFonts w:hint="eastAsia"/>
        </w:rPr>
        <w:t>ETF</w:t>
      </w:r>
      <w:r>
        <w:rPr>
          <w:rFonts w:hint="eastAsia"/>
        </w:rPr>
        <w:t>、广发亚太精选等大中华区股票型</w:t>
      </w:r>
      <w:r>
        <w:rPr>
          <w:rFonts w:hint="eastAsia"/>
        </w:rPr>
        <w:t>QDII</w:t>
      </w:r>
      <w:r>
        <w:rPr>
          <w:rFonts w:hint="eastAsia"/>
        </w:rPr>
        <w:t>基金</w:t>
      </w:r>
      <w:r>
        <w:rPr>
          <w:rFonts w:hint="eastAsia"/>
        </w:rPr>
        <w:t>11</w:t>
      </w:r>
      <w:r>
        <w:rPr>
          <w:rFonts w:hint="eastAsia"/>
        </w:rPr>
        <w:t>月涨幅逾</w:t>
      </w:r>
      <w:r>
        <w:rPr>
          <w:rFonts w:hint="eastAsia"/>
        </w:rPr>
        <w:t>7%</w:t>
      </w:r>
      <w:r>
        <w:rPr>
          <w:rFonts w:hint="eastAsia"/>
        </w:rPr>
        <w:t>，同时，美国股市持续走高，</w:t>
      </w:r>
      <w:r w:rsidRPr="00BC320D">
        <w:rPr>
          <w:rFonts w:hint="eastAsia"/>
        </w:rPr>
        <w:t>嘉实美国成长</w:t>
      </w:r>
      <w:r>
        <w:rPr>
          <w:rFonts w:hint="eastAsia"/>
        </w:rPr>
        <w:t>、</w:t>
      </w:r>
      <w:r w:rsidRPr="00BC320D">
        <w:rPr>
          <w:rFonts w:hint="eastAsia"/>
        </w:rPr>
        <w:t>广发纳斯达克</w:t>
      </w:r>
      <w:r w:rsidRPr="00BC320D">
        <w:rPr>
          <w:rFonts w:hint="eastAsia"/>
        </w:rPr>
        <w:t>100</w:t>
      </w:r>
      <w:r>
        <w:rPr>
          <w:rFonts w:hint="eastAsia"/>
        </w:rPr>
        <w:t>、</w:t>
      </w:r>
      <w:r w:rsidRPr="00BC320D">
        <w:rPr>
          <w:rFonts w:hint="eastAsia"/>
        </w:rPr>
        <w:t>国泰纳斯达克</w:t>
      </w:r>
      <w:r w:rsidRPr="00BC320D">
        <w:rPr>
          <w:rFonts w:hint="eastAsia"/>
        </w:rPr>
        <w:t>100</w:t>
      </w:r>
      <w:r>
        <w:rPr>
          <w:rFonts w:hint="eastAsia"/>
        </w:rPr>
        <w:t>等美股</w:t>
      </w:r>
      <w:r>
        <w:rPr>
          <w:rFonts w:hint="eastAsia"/>
        </w:rPr>
        <w:t>QDII</w:t>
      </w:r>
      <w:r>
        <w:rPr>
          <w:rFonts w:hint="eastAsia"/>
        </w:rPr>
        <w:t>基金</w:t>
      </w:r>
      <w:r>
        <w:rPr>
          <w:rFonts w:hint="eastAsia"/>
        </w:rPr>
        <w:t>11</w:t>
      </w:r>
      <w:r>
        <w:rPr>
          <w:rFonts w:hint="eastAsia"/>
        </w:rPr>
        <w:t>月涨幅亦超过</w:t>
      </w:r>
      <w:r>
        <w:rPr>
          <w:rFonts w:hint="eastAsia"/>
        </w:rPr>
        <w:t>3%</w:t>
      </w:r>
      <w:r>
        <w:rPr>
          <w:rFonts w:hint="eastAsia"/>
        </w:rPr>
        <w:t>。而金价连续下跌，黄金主题基金受伤严重，易方达黄金主题、嘉实黄金、</w:t>
      </w:r>
      <w:proofErr w:type="gramStart"/>
      <w:r>
        <w:rPr>
          <w:rFonts w:hint="eastAsia"/>
        </w:rPr>
        <w:t>诺安全球</w:t>
      </w:r>
      <w:proofErr w:type="gramEnd"/>
      <w:r>
        <w:rPr>
          <w:rFonts w:hint="eastAsia"/>
        </w:rPr>
        <w:t>黄金等</w:t>
      </w:r>
      <w:r>
        <w:rPr>
          <w:rFonts w:hint="eastAsia"/>
        </w:rPr>
        <w:t>11</w:t>
      </w:r>
      <w:r>
        <w:rPr>
          <w:rFonts w:hint="eastAsia"/>
        </w:rPr>
        <w:t>月跌幅超过</w:t>
      </w:r>
      <w:r>
        <w:rPr>
          <w:rFonts w:hint="eastAsia"/>
        </w:rPr>
        <w:t>5%</w:t>
      </w:r>
      <w:r>
        <w:rPr>
          <w:rFonts w:hint="eastAsia"/>
        </w:rPr>
        <w:t>，四只黄金主题基金今年以来平均下跌逾</w:t>
      </w:r>
      <w:r>
        <w:rPr>
          <w:rFonts w:hint="eastAsia"/>
        </w:rPr>
        <w:t>27%</w:t>
      </w:r>
      <w:r>
        <w:rPr>
          <w:rFonts w:hint="eastAsia"/>
        </w:rPr>
        <w:t>。</w:t>
      </w:r>
    </w:p>
    <w:p w:rsidR="00DB368A" w:rsidRDefault="009953A6" w:rsidP="00782E46">
      <w:pPr>
        <w:tabs>
          <w:tab w:val="left" w:pos="5715"/>
        </w:tabs>
        <w:spacing w:beforeLines="50" w:afterLines="50" w:line="360" w:lineRule="auto"/>
        <w:jc w:val="left"/>
        <w:rPr>
          <w:b/>
        </w:rPr>
      </w:pPr>
      <w:r>
        <w:rPr>
          <w:rFonts w:hint="eastAsia"/>
          <w:b/>
        </w:rPr>
        <w:t>富国、</w:t>
      </w:r>
      <w:proofErr w:type="gramStart"/>
      <w:r>
        <w:rPr>
          <w:rFonts w:hint="eastAsia"/>
          <w:b/>
        </w:rPr>
        <w:t>广发双雄</w:t>
      </w:r>
      <w:proofErr w:type="gramEnd"/>
      <w:r>
        <w:rPr>
          <w:rFonts w:hint="eastAsia"/>
          <w:b/>
        </w:rPr>
        <w:t>争霸年度冠军</w:t>
      </w:r>
    </w:p>
    <w:p w:rsidR="00350E76" w:rsidRPr="00107C88" w:rsidRDefault="00646AB7" w:rsidP="00782E46">
      <w:pPr>
        <w:tabs>
          <w:tab w:val="left" w:pos="5715"/>
        </w:tabs>
        <w:spacing w:beforeLines="50" w:afterLines="50" w:line="360" w:lineRule="auto"/>
        <w:jc w:val="left"/>
      </w:pPr>
      <w:r>
        <w:rPr>
          <w:rFonts w:hint="eastAsia"/>
        </w:rPr>
        <w:t>11</w:t>
      </w:r>
      <w:r>
        <w:rPr>
          <w:rFonts w:hint="eastAsia"/>
        </w:rPr>
        <w:t>月，</w:t>
      </w:r>
      <w:r w:rsidRPr="00646AB7">
        <w:rPr>
          <w:rFonts w:hint="eastAsia"/>
        </w:rPr>
        <w:t>中国概念股尤其是香港上市的中资股</w:t>
      </w:r>
      <w:r>
        <w:rPr>
          <w:rFonts w:hint="eastAsia"/>
        </w:rPr>
        <w:t>表现强劲，</w:t>
      </w:r>
      <w:r w:rsidR="00E01D00">
        <w:rPr>
          <w:rFonts w:hint="eastAsia"/>
        </w:rPr>
        <w:t>广发亚太精选大幅上涨</w:t>
      </w:r>
      <w:r w:rsidR="00E01D00">
        <w:rPr>
          <w:rFonts w:hint="eastAsia"/>
        </w:rPr>
        <w:t>7.02%</w:t>
      </w:r>
      <w:r w:rsidR="00E01D00">
        <w:rPr>
          <w:rFonts w:hint="eastAsia"/>
        </w:rPr>
        <w:t>，截止</w:t>
      </w:r>
      <w:r w:rsidR="00E01D00">
        <w:rPr>
          <w:rFonts w:hint="eastAsia"/>
        </w:rPr>
        <w:t>11</w:t>
      </w:r>
      <w:r w:rsidR="00E01D00">
        <w:rPr>
          <w:rFonts w:hint="eastAsia"/>
        </w:rPr>
        <w:t>月</w:t>
      </w:r>
      <w:r w:rsidR="00E01D00">
        <w:rPr>
          <w:rFonts w:hint="eastAsia"/>
        </w:rPr>
        <w:t>30</w:t>
      </w:r>
      <w:r w:rsidR="00E01D00">
        <w:rPr>
          <w:rFonts w:hint="eastAsia"/>
        </w:rPr>
        <w:t>日，该基金</w:t>
      </w:r>
      <w:r w:rsidR="00944283">
        <w:rPr>
          <w:rFonts w:hint="eastAsia"/>
        </w:rPr>
        <w:t>凭借出色的选</w:t>
      </w:r>
      <w:proofErr w:type="gramStart"/>
      <w:r w:rsidR="00944283">
        <w:rPr>
          <w:rFonts w:hint="eastAsia"/>
        </w:rPr>
        <w:t>股能力</w:t>
      </w:r>
      <w:proofErr w:type="gramEnd"/>
      <w:r w:rsidR="00E01D00">
        <w:rPr>
          <w:rFonts w:hint="eastAsia"/>
        </w:rPr>
        <w:t>今年以来回报逾</w:t>
      </w:r>
      <w:r w:rsidR="00E01D00">
        <w:rPr>
          <w:rFonts w:hint="eastAsia"/>
        </w:rPr>
        <w:t>37.85%</w:t>
      </w:r>
      <w:r w:rsidR="00E01D00">
        <w:rPr>
          <w:rFonts w:hint="eastAsia"/>
        </w:rPr>
        <w:t>，与第一名的富国中国中小盘（今年以来回报</w:t>
      </w:r>
      <w:r w:rsidR="00E01D00">
        <w:rPr>
          <w:rFonts w:hint="eastAsia"/>
        </w:rPr>
        <w:t>38.22%</w:t>
      </w:r>
      <w:r w:rsidR="00E01D00">
        <w:rPr>
          <w:rFonts w:hint="eastAsia"/>
        </w:rPr>
        <w:t>）只在伯仲之间，同时大幅抛离第三名</w:t>
      </w:r>
      <w:r w:rsidR="00E01D00" w:rsidRPr="00E01D00">
        <w:rPr>
          <w:rFonts w:hint="eastAsia"/>
        </w:rPr>
        <w:t>易方达标普消费品</w:t>
      </w:r>
      <w:r w:rsidR="00E01D00">
        <w:rPr>
          <w:rFonts w:hint="eastAsia"/>
        </w:rPr>
        <w:t>（今年以来回报</w:t>
      </w:r>
      <w:r w:rsidR="00E01D00">
        <w:rPr>
          <w:rFonts w:hint="eastAsia"/>
        </w:rPr>
        <w:t>28.35%</w:t>
      </w:r>
      <w:r w:rsidR="00E01D00">
        <w:rPr>
          <w:rFonts w:hint="eastAsia"/>
        </w:rPr>
        <w:t>）近十个百分点。如无意外，今年</w:t>
      </w:r>
      <w:r w:rsidR="00E01D00">
        <w:rPr>
          <w:rFonts w:hint="eastAsia"/>
        </w:rPr>
        <w:t>QDII</w:t>
      </w:r>
      <w:r w:rsidR="00E01D00">
        <w:rPr>
          <w:rFonts w:hint="eastAsia"/>
        </w:rPr>
        <w:t>冠军将在广发亚太精选、富国中国中小盘之中诞生，</w:t>
      </w:r>
      <w:r w:rsidR="004E5463">
        <w:rPr>
          <w:rFonts w:hint="eastAsia"/>
        </w:rPr>
        <w:t>从三季度持仓来看，广发亚太精选主要布局在</w:t>
      </w:r>
      <w:r w:rsidR="00DC0047">
        <w:rPr>
          <w:rFonts w:hint="eastAsia"/>
        </w:rPr>
        <w:t>信息技术</w:t>
      </w:r>
      <w:r w:rsidR="004E5463">
        <w:rPr>
          <w:rFonts w:hint="eastAsia"/>
        </w:rPr>
        <w:t>、</w:t>
      </w:r>
      <w:r w:rsidR="00DC0047">
        <w:rPr>
          <w:rFonts w:hint="eastAsia"/>
        </w:rPr>
        <w:t>保健</w:t>
      </w:r>
      <w:r w:rsidR="004E5463">
        <w:rPr>
          <w:rFonts w:hint="eastAsia"/>
        </w:rPr>
        <w:t>、</w:t>
      </w:r>
      <w:r w:rsidR="00DC0047">
        <w:rPr>
          <w:rFonts w:hint="eastAsia"/>
        </w:rPr>
        <w:t>消费</w:t>
      </w:r>
      <w:r w:rsidR="004E5463">
        <w:rPr>
          <w:rFonts w:hint="eastAsia"/>
        </w:rPr>
        <w:t>等领</w:t>
      </w:r>
      <w:r w:rsidR="004E5463">
        <w:rPr>
          <w:rFonts w:hint="eastAsia"/>
        </w:rPr>
        <w:lastRenderedPageBreak/>
        <w:t>域，</w:t>
      </w:r>
      <w:r w:rsidR="00DC0047">
        <w:rPr>
          <w:rFonts w:hint="eastAsia"/>
        </w:rPr>
        <w:t>重仓股有腾讯、谷歌、新浪、中移动、富国银行、和记黄埔等。</w:t>
      </w:r>
      <w:r w:rsidR="004E5463">
        <w:rPr>
          <w:rFonts w:hint="eastAsia"/>
        </w:rPr>
        <w:t>；而富国中国中小盘主要布局在消费、金融</w:t>
      </w:r>
      <w:r w:rsidR="00DC0047">
        <w:rPr>
          <w:rFonts w:hint="eastAsia"/>
        </w:rPr>
        <w:t>、医疗</w:t>
      </w:r>
      <w:r w:rsidR="004E5463">
        <w:rPr>
          <w:rFonts w:hint="eastAsia"/>
        </w:rPr>
        <w:t>等领域，重仓股有</w:t>
      </w:r>
      <w:r w:rsidR="00DC0047">
        <w:rPr>
          <w:rFonts w:hint="eastAsia"/>
        </w:rPr>
        <w:t>海信科龙、东瑞制药、</w:t>
      </w:r>
      <w:proofErr w:type="gramStart"/>
      <w:r w:rsidR="00DC0047">
        <w:rPr>
          <w:rFonts w:hint="eastAsia"/>
        </w:rPr>
        <w:t>敏实集团</w:t>
      </w:r>
      <w:proofErr w:type="gramEnd"/>
      <w:r w:rsidR="00DC0047">
        <w:rPr>
          <w:rFonts w:hint="eastAsia"/>
        </w:rPr>
        <w:t>、信义玻璃、英皇娱乐酒店、复星医药等。</w:t>
      </w:r>
      <w:r w:rsidR="004E5463">
        <w:rPr>
          <w:rFonts w:hint="eastAsia"/>
        </w:rPr>
        <w:t>值得注意的是广发亚太精选在投资区域分仓方面，对美国市场的有</w:t>
      </w:r>
      <w:r w:rsidR="00DC0047">
        <w:rPr>
          <w:rFonts w:hint="eastAsia"/>
        </w:rPr>
        <w:t>20</w:t>
      </w:r>
      <w:r w:rsidR="004E5463">
        <w:rPr>
          <w:rFonts w:hint="eastAsia"/>
        </w:rPr>
        <w:t>%</w:t>
      </w:r>
      <w:r w:rsidR="004E5463">
        <w:rPr>
          <w:rFonts w:hint="eastAsia"/>
        </w:rPr>
        <w:t>的投资占比；而富国中国中小盘投资</w:t>
      </w:r>
      <w:r w:rsidR="007D1852">
        <w:rPr>
          <w:rFonts w:hint="eastAsia"/>
        </w:rPr>
        <w:t>则</w:t>
      </w:r>
      <w:r w:rsidR="004E5463">
        <w:rPr>
          <w:rFonts w:hint="eastAsia"/>
        </w:rPr>
        <w:t>全部集中于港股。</w:t>
      </w:r>
    </w:p>
    <w:p w:rsidR="00DB368A" w:rsidRDefault="007D1852" w:rsidP="00782E46">
      <w:pPr>
        <w:tabs>
          <w:tab w:val="left" w:pos="5715"/>
        </w:tabs>
        <w:spacing w:beforeLines="50" w:afterLines="50" w:line="360" w:lineRule="auto"/>
        <w:jc w:val="left"/>
        <w:rPr>
          <w:b/>
        </w:rPr>
      </w:pPr>
      <w:r>
        <w:rPr>
          <w:rFonts w:hint="eastAsia"/>
          <w:b/>
        </w:rPr>
        <w:t>房地产信托基金表现低迷</w:t>
      </w:r>
    </w:p>
    <w:p w:rsidR="007D1852" w:rsidRPr="0098341B" w:rsidRDefault="007D1852" w:rsidP="00782E46">
      <w:pPr>
        <w:tabs>
          <w:tab w:val="left" w:pos="5715"/>
        </w:tabs>
        <w:spacing w:beforeLines="50" w:afterLines="50" w:line="360" w:lineRule="auto"/>
        <w:jc w:val="left"/>
      </w:pPr>
      <w:r w:rsidRPr="007D1852">
        <w:rPr>
          <w:rFonts w:hint="eastAsia"/>
        </w:rPr>
        <w:t>11</w:t>
      </w:r>
      <w:r w:rsidRPr="007D1852">
        <w:rPr>
          <w:rFonts w:hint="eastAsia"/>
        </w:rPr>
        <w:t>月，</w:t>
      </w:r>
      <w:r w:rsidR="0098341B">
        <w:rPr>
          <w:rFonts w:hint="eastAsia"/>
        </w:rPr>
        <w:t>市场对美联储退市的担扰上升，美国公债收益率持续上升，被视为高息资产的房地产信托基金（</w:t>
      </w:r>
      <w:r w:rsidR="0098341B">
        <w:rPr>
          <w:rFonts w:hint="eastAsia"/>
        </w:rPr>
        <w:t>REITs</w:t>
      </w:r>
      <w:r w:rsidR="0098341B">
        <w:rPr>
          <w:rFonts w:hint="eastAsia"/>
        </w:rPr>
        <w:t>）再次遭到抛售，鹏华美国房地产、</w:t>
      </w:r>
      <w:proofErr w:type="gramStart"/>
      <w:r w:rsidR="0098341B">
        <w:rPr>
          <w:rFonts w:hint="eastAsia"/>
        </w:rPr>
        <w:t>诺安全球收益</w:t>
      </w:r>
      <w:proofErr w:type="gramEnd"/>
      <w:r w:rsidR="0098341B">
        <w:rPr>
          <w:rFonts w:hint="eastAsia"/>
        </w:rPr>
        <w:t>不动产、广发美国房地产等主要投资于</w:t>
      </w:r>
      <w:r w:rsidR="0098341B">
        <w:rPr>
          <w:rFonts w:hint="eastAsia"/>
        </w:rPr>
        <w:t>REITs</w:t>
      </w:r>
      <w:r w:rsidR="0098341B">
        <w:rPr>
          <w:rFonts w:hint="eastAsia"/>
        </w:rPr>
        <w:t>的</w:t>
      </w:r>
      <w:r w:rsidR="0098341B">
        <w:rPr>
          <w:rFonts w:hint="eastAsia"/>
        </w:rPr>
        <w:t>QDII</w:t>
      </w:r>
      <w:r w:rsidR="0098341B">
        <w:rPr>
          <w:rFonts w:hint="eastAsia"/>
        </w:rPr>
        <w:t>基金</w:t>
      </w:r>
      <w:r w:rsidR="0098341B">
        <w:rPr>
          <w:rFonts w:hint="eastAsia"/>
        </w:rPr>
        <w:t>11</w:t>
      </w:r>
      <w:r w:rsidR="0098341B">
        <w:rPr>
          <w:rFonts w:hint="eastAsia"/>
        </w:rPr>
        <w:t>月跌幅逾</w:t>
      </w:r>
      <w:r w:rsidR="0098341B">
        <w:rPr>
          <w:rFonts w:hint="eastAsia"/>
        </w:rPr>
        <w:t>4%</w:t>
      </w:r>
      <w:r w:rsidR="0098341B">
        <w:rPr>
          <w:rFonts w:hint="eastAsia"/>
        </w:rPr>
        <w:t>。</w:t>
      </w:r>
    </w:p>
    <w:p w:rsidR="00435A71" w:rsidRDefault="00435A71" w:rsidP="00782E46">
      <w:pPr>
        <w:tabs>
          <w:tab w:val="left" w:pos="5715"/>
        </w:tabs>
        <w:spacing w:beforeLines="50" w:afterLines="50" w:line="360" w:lineRule="auto"/>
        <w:jc w:val="left"/>
        <w:rPr>
          <w:b/>
        </w:rPr>
      </w:pPr>
    </w:p>
    <w:tbl>
      <w:tblPr>
        <w:tblStyle w:val="1"/>
        <w:tblW w:w="0" w:type="auto"/>
        <w:jc w:val="center"/>
        <w:tblLook w:val="04A0"/>
      </w:tblPr>
      <w:tblGrid>
        <w:gridCol w:w="959"/>
        <w:gridCol w:w="2181"/>
        <w:gridCol w:w="1220"/>
        <w:gridCol w:w="1421"/>
        <w:gridCol w:w="1071"/>
        <w:gridCol w:w="1296"/>
      </w:tblGrid>
      <w:tr w:rsidR="006754E5" w:rsidRPr="006754E5" w:rsidTr="00AF6775">
        <w:trPr>
          <w:cnfStyle w:val="100000000000"/>
          <w:trHeight w:val="397"/>
          <w:jc w:val="center"/>
        </w:trPr>
        <w:tc>
          <w:tcPr>
            <w:cnfStyle w:val="001000000000"/>
            <w:tcW w:w="0" w:type="auto"/>
            <w:gridSpan w:val="6"/>
            <w:noWrap/>
            <w:vAlign w:val="center"/>
            <w:hideMark/>
          </w:tcPr>
          <w:p w:rsidR="006754E5" w:rsidRPr="006754E5" w:rsidRDefault="006754E5" w:rsidP="00AF6775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Cs w:val="21"/>
              </w:rPr>
            </w:pPr>
            <w:r w:rsidRPr="006754E5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图表</w:t>
            </w:r>
            <w:r w:rsidR="00DE2368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7</w:t>
            </w:r>
            <w:r w:rsidRPr="006754E5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：</w:t>
            </w:r>
            <w:r w:rsidR="00883C0B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11月</w:t>
            </w:r>
            <w:r w:rsidRPr="006754E5"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QDII基金涨幅榜前十名</w:t>
            </w:r>
          </w:p>
        </w:tc>
      </w:tr>
      <w:tr w:rsidR="00542003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6754E5" w:rsidRPr="00AF6775" w:rsidRDefault="006754E5" w:rsidP="00AF67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67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181" w:type="dxa"/>
            <w:noWrap/>
            <w:vAlign w:val="center"/>
            <w:hideMark/>
          </w:tcPr>
          <w:p w:rsidR="006754E5" w:rsidRPr="00AF6775" w:rsidRDefault="006754E5" w:rsidP="00AF6775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F677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0" w:type="auto"/>
            <w:noWrap/>
            <w:vAlign w:val="center"/>
            <w:hideMark/>
          </w:tcPr>
          <w:p w:rsidR="006754E5" w:rsidRPr="006754E5" w:rsidRDefault="006754E5" w:rsidP="00AF6775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54E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基金成立日</w:t>
            </w:r>
          </w:p>
        </w:tc>
        <w:tc>
          <w:tcPr>
            <w:tcW w:w="0" w:type="auto"/>
            <w:noWrap/>
            <w:vAlign w:val="center"/>
            <w:hideMark/>
          </w:tcPr>
          <w:p w:rsidR="006754E5" w:rsidRPr="006754E5" w:rsidRDefault="006754E5" w:rsidP="00AF6775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754E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年初以来涨幅</w:t>
            </w:r>
          </w:p>
        </w:tc>
        <w:tc>
          <w:tcPr>
            <w:tcW w:w="0" w:type="auto"/>
            <w:noWrap/>
            <w:vAlign w:val="center"/>
            <w:hideMark/>
          </w:tcPr>
          <w:p w:rsidR="006754E5" w:rsidRPr="006754E5" w:rsidRDefault="00AF6775" w:rsidP="00AF6775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11</w:t>
            </w:r>
            <w:r w:rsidR="006754E5" w:rsidRPr="006754E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月涨幅</w:t>
            </w:r>
          </w:p>
        </w:tc>
        <w:tc>
          <w:tcPr>
            <w:tcW w:w="0" w:type="auto"/>
            <w:noWrap/>
            <w:vAlign w:val="center"/>
            <w:hideMark/>
          </w:tcPr>
          <w:p w:rsidR="006754E5" w:rsidRPr="006754E5" w:rsidRDefault="00883C0B" w:rsidP="00AF6775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主要投资</w:t>
            </w:r>
          </w:p>
        </w:tc>
      </w:tr>
      <w:tr w:rsidR="00883C0B" w:rsidRPr="006754E5" w:rsidTr="00AF6775">
        <w:trPr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040018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华安香港精选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2010/09/19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17.53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7.78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040021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华安大中华升级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2011/05/17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510900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易方达恒生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股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ETF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2012/08/09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-0.76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270023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广发亚太精选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2010/08/18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37.85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亚太区股票</w:t>
            </w:r>
          </w:p>
        </w:tc>
      </w:tr>
      <w:tr w:rsidR="00883C0B" w:rsidRPr="006754E5" w:rsidTr="00AF6775">
        <w:trPr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160717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嘉实恒生中国企业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2010/09/30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-0.45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6.77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110031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易方达恒生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股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ETF</w:t>
            </w:r>
            <w:r w:rsidRPr="00AF6775">
              <w:rPr>
                <w:rFonts w:hint="eastAsia"/>
                <w:color w:val="000000"/>
                <w:sz w:val="18"/>
                <w:szCs w:val="18"/>
              </w:rPr>
              <w:t>联接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2012/08/21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519601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海</w:t>
            </w:r>
            <w:proofErr w:type="gramStart"/>
            <w:r w:rsidRPr="00AF6775">
              <w:rPr>
                <w:rFonts w:hint="eastAsia"/>
                <w:color w:val="000000"/>
                <w:sz w:val="18"/>
                <w:szCs w:val="18"/>
              </w:rPr>
              <w:t>富通海外</w:t>
            </w:r>
            <w:proofErr w:type="gramEnd"/>
            <w:r w:rsidRPr="00AF6775">
              <w:rPr>
                <w:rFonts w:hint="eastAsia"/>
                <w:color w:val="000000"/>
                <w:sz w:val="18"/>
                <w:szCs w:val="18"/>
              </w:rPr>
              <w:t>精选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2008/06/27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11.34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050015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博时大中华亚太精选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2010/07/27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16.40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亚太区股票</w:t>
            </w:r>
          </w:p>
        </w:tc>
      </w:tr>
      <w:tr w:rsidR="00883C0B" w:rsidRPr="006754E5" w:rsidTr="00AF6775">
        <w:trPr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070012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嘉</w:t>
            </w:r>
            <w:proofErr w:type="gramStart"/>
            <w:r w:rsidRPr="00AF6775">
              <w:rPr>
                <w:rFonts w:hint="eastAsia"/>
                <w:color w:val="000000"/>
                <w:sz w:val="18"/>
                <w:szCs w:val="18"/>
              </w:rPr>
              <w:t>实海外</w:t>
            </w:r>
            <w:proofErr w:type="gramEnd"/>
            <w:r w:rsidRPr="00AF6775">
              <w:rPr>
                <w:rFonts w:hint="eastAsia"/>
                <w:color w:val="000000"/>
                <w:sz w:val="18"/>
                <w:szCs w:val="18"/>
              </w:rPr>
              <w:t>中国股票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2007/10/12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883C0B" w:rsidRPr="006754E5" w:rsidTr="00AF6775">
        <w:trPr>
          <w:cnfStyle w:val="000000100000"/>
          <w:trHeight w:val="397"/>
          <w:jc w:val="center"/>
        </w:trPr>
        <w:tc>
          <w:tcPr>
            <w:cnfStyle w:val="001000000000"/>
            <w:tcW w:w="959" w:type="dxa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241001</w:t>
            </w:r>
          </w:p>
        </w:tc>
        <w:tc>
          <w:tcPr>
            <w:tcW w:w="2181" w:type="dxa"/>
            <w:noWrap/>
            <w:vAlign w:val="center"/>
            <w:hideMark/>
          </w:tcPr>
          <w:p w:rsidR="00883C0B" w:rsidRPr="00AF6775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F6775">
              <w:rPr>
                <w:rFonts w:hint="eastAsia"/>
                <w:color w:val="000000"/>
                <w:sz w:val="18"/>
                <w:szCs w:val="18"/>
              </w:rPr>
              <w:t>华宝兴业中国成长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2008/05/07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22.57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0" w:type="auto"/>
            <w:noWrap/>
            <w:vAlign w:val="center"/>
            <w:hideMark/>
          </w:tcPr>
          <w:p w:rsidR="00883C0B" w:rsidRPr="00883C0B" w:rsidRDefault="00883C0B" w:rsidP="00AF6775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83C0B">
              <w:rPr>
                <w:rFonts w:hint="eastAsia"/>
                <w:color w:val="000000"/>
                <w:sz w:val="18"/>
                <w:szCs w:val="18"/>
              </w:rPr>
              <w:t>大中华区股票</w:t>
            </w:r>
          </w:p>
        </w:tc>
      </w:tr>
      <w:tr w:rsidR="006754E5" w:rsidRPr="006754E5" w:rsidTr="00AF6775">
        <w:trPr>
          <w:trHeight w:val="397"/>
          <w:jc w:val="center"/>
        </w:trPr>
        <w:tc>
          <w:tcPr>
            <w:cnfStyle w:val="001000000000"/>
            <w:tcW w:w="0" w:type="auto"/>
            <w:gridSpan w:val="6"/>
            <w:noWrap/>
            <w:vAlign w:val="center"/>
            <w:hideMark/>
          </w:tcPr>
          <w:p w:rsidR="006754E5" w:rsidRPr="00AF6775" w:rsidRDefault="006754E5" w:rsidP="00AF6775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0"/>
                <w:szCs w:val="20"/>
              </w:rPr>
            </w:pPr>
            <w:r w:rsidRPr="00AF6775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数据来源：</w:t>
            </w:r>
            <w:proofErr w:type="gramStart"/>
            <w:r w:rsidRPr="00AF6775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众禄基金</w:t>
            </w:r>
            <w:proofErr w:type="gramEnd"/>
            <w:r w:rsidR="00AF6775" w:rsidRPr="00AF6775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 xml:space="preserve">  截止至2013.11.30</w:t>
            </w:r>
          </w:p>
        </w:tc>
      </w:tr>
    </w:tbl>
    <w:p w:rsidR="000340E5" w:rsidRPr="00126EA3" w:rsidRDefault="000340E5" w:rsidP="00CE4083">
      <w:pPr>
        <w:tabs>
          <w:tab w:val="left" w:pos="5715"/>
        </w:tabs>
        <w:spacing w:beforeLines="50" w:line="360" w:lineRule="auto"/>
        <w:rPr>
          <w:rFonts w:asciiTheme="minorEastAsia" w:hAnsiTheme="minorEastAsia"/>
          <w:szCs w:val="21"/>
        </w:rPr>
      </w:pPr>
    </w:p>
    <w:sectPr w:rsidR="000340E5" w:rsidRPr="00126EA3" w:rsidSect="00BC7CB3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02A" w:rsidRDefault="0003202A" w:rsidP="00561BEF">
      <w:r>
        <w:separator/>
      </w:r>
    </w:p>
  </w:endnote>
  <w:endnote w:type="continuationSeparator" w:id="0">
    <w:p w:rsidR="0003202A" w:rsidRDefault="0003202A" w:rsidP="00561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557"/>
      <w:gridCol w:w="5965"/>
    </w:tblGrid>
    <w:tr w:rsidR="00E824F3" w:rsidTr="00B53BFE">
      <w:trPr>
        <w:trHeight w:val="360"/>
      </w:trPr>
      <w:tc>
        <w:tcPr>
          <w:tcW w:w="1500" w:type="pct"/>
          <w:shd w:val="clear" w:color="auto" w:fill="4F81BD" w:themeFill="accent1"/>
          <w:vAlign w:val="center"/>
        </w:tcPr>
        <w:p w:rsidR="00E824F3" w:rsidRPr="00B53BFE" w:rsidRDefault="00E824F3" w:rsidP="00B53BFE">
          <w:pPr>
            <w:pStyle w:val="a9"/>
            <w:jc w:val="center"/>
            <w:rPr>
              <w:b/>
              <w:color w:val="FFFFFF" w:themeColor="background1"/>
            </w:rPr>
          </w:pPr>
          <w:proofErr w:type="gramStart"/>
          <w:r w:rsidRPr="00B53BFE">
            <w:rPr>
              <w:rFonts w:hint="eastAsia"/>
              <w:b/>
              <w:color w:val="FFFFFF" w:themeColor="background1"/>
            </w:rPr>
            <w:t>众禄基金</w:t>
          </w:r>
          <w:proofErr w:type="gramEnd"/>
          <w:r w:rsidRPr="00B53BFE">
            <w:rPr>
              <w:rFonts w:hint="eastAsia"/>
              <w:b/>
              <w:color w:val="FFFFFF" w:themeColor="background1"/>
            </w:rPr>
            <w:t>研究中心</w:t>
          </w:r>
          <w:r w:rsidR="00B53BFE" w:rsidRPr="00B53BFE">
            <w:rPr>
              <w:rFonts w:hint="eastAsia"/>
              <w:b/>
              <w:color w:val="FFFFFF" w:themeColor="background1"/>
            </w:rPr>
            <w:t>---</w:t>
          </w:r>
          <w:r w:rsidR="00CE4083" w:rsidRPr="00B53BFE">
            <w:rPr>
              <w:b/>
              <w:color w:val="FFFFFF" w:themeColor="background1"/>
            </w:rPr>
            <w:fldChar w:fldCharType="begin"/>
          </w:r>
          <w:r w:rsidRPr="00B53BFE">
            <w:rPr>
              <w:b/>
              <w:color w:val="FFFFFF" w:themeColor="background1"/>
            </w:rPr>
            <w:instrText xml:space="preserve"> PAGE   \* MERGEFORMAT </w:instrText>
          </w:r>
          <w:r w:rsidR="00CE4083" w:rsidRPr="00B53BFE">
            <w:rPr>
              <w:b/>
              <w:color w:val="FFFFFF" w:themeColor="background1"/>
            </w:rPr>
            <w:fldChar w:fldCharType="separate"/>
          </w:r>
          <w:r w:rsidR="00DE2368" w:rsidRPr="00DE2368">
            <w:rPr>
              <w:b/>
              <w:noProof/>
              <w:color w:val="FFFFFF" w:themeColor="background1"/>
              <w:lang w:val="zh-CN"/>
            </w:rPr>
            <w:t>1</w:t>
          </w:r>
          <w:r w:rsidR="00CE4083" w:rsidRPr="00B53BFE">
            <w:rPr>
              <w:b/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:rsidR="00E824F3" w:rsidRDefault="00E824F3">
          <w:pPr>
            <w:pStyle w:val="a9"/>
          </w:pPr>
        </w:p>
      </w:tc>
    </w:tr>
  </w:tbl>
  <w:p w:rsidR="00E824F3" w:rsidRDefault="00E824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02A" w:rsidRDefault="0003202A" w:rsidP="00561BEF">
      <w:r>
        <w:separator/>
      </w:r>
    </w:p>
  </w:footnote>
  <w:footnote w:type="continuationSeparator" w:id="0">
    <w:p w:rsidR="0003202A" w:rsidRDefault="0003202A" w:rsidP="00561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EF" w:rsidRDefault="00CE4083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0;margin-top:0;width:468pt;height:14.2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828E0" w:rsidRPr="009828E0" w:rsidRDefault="00B522CA" w:rsidP="009828E0">
                <w:pPr>
                  <w:jc w:val="right"/>
                  <w:rPr>
                    <w:rFonts w:ascii="华文细黑" w:eastAsia="华文细黑" w:hAnsi="华文细黑"/>
                    <w:i/>
                  </w:rPr>
                </w:pPr>
                <w:r w:rsidRPr="00B522CA">
                  <w:rPr>
                    <w:rFonts w:ascii="华文细黑" w:eastAsia="华文细黑" w:hAnsi="华文细黑" w:hint="eastAsia"/>
                    <w:i/>
                  </w:rPr>
                  <w:t>QDII基金投资月报：</w:t>
                </w:r>
                <w:r w:rsidR="009828E0">
                  <w:rPr>
                    <w:rFonts w:ascii="华文细黑" w:eastAsia="华文细黑" w:hAnsi="华文细黑" w:hint="eastAsia"/>
                    <w:i/>
                  </w:rPr>
                  <w:t>中国概念股QDII涨逾5%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_x0000_s6145" type="#_x0000_t202" style="position:absolute;left:0;text-align:left;margin-left:71in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561BEF" w:rsidRDefault="00CE4083">
                <w:pPr>
                  <w:rPr>
                    <w:color w:val="FFFFFF" w:themeColor="background1"/>
                  </w:rPr>
                </w:pPr>
                <w:fldSimple w:instr=" PAGE   \* MERGEFORMAT ">
                  <w:r w:rsidR="00DE2368" w:rsidRPr="00DE2368">
                    <w:rPr>
                      <w:noProof/>
                      <w:color w:val="FFFFFF" w:themeColor="background1"/>
                      <w:lang w:val="zh-CN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BEB"/>
    <w:multiLevelType w:val="hybridMultilevel"/>
    <w:tmpl w:val="B4D00C08"/>
    <w:lvl w:ilvl="0" w:tplc="D2B2A8E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C07D74"/>
    <w:multiLevelType w:val="hybridMultilevel"/>
    <w:tmpl w:val="8C1C74C6"/>
    <w:lvl w:ilvl="0" w:tplc="FD9CF7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A23"/>
    <w:rsid w:val="000302CD"/>
    <w:rsid w:val="0003202A"/>
    <w:rsid w:val="00033D3A"/>
    <w:rsid w:val="000340E5"/>
    <w:rsid w:val="0003641B"/>
    <w:rsid w:val="00037576"/>
    <w:rsid w:val="00062020"/>
    <w:rsid w:val="00072F18"/>
    <w:rsid w:val="0007704A"/>
    <w:rsid w:val="00094D05"/>
    <w:rsid w:val="000A5728"/>
    <w:rsid w:val="000D01F1"/>
    <w:rsid w:val="000D272F"/>
    <w:rsid w:val="000D6479"/>
    <w:rsid w:val="000D6D4E"/>
    <w:rsid w:val="000E030E"/>
    <w:rsid w:val="000F40A9"/>
    <w:rsid w:val="00101CC5"/>
    <w:rsid w:val="00107C88"/>
    <w:rsid w:val="001109B0"/>
    <w:rsid w:val="00111642"/>
    <w:rsid w:val="00117E13"/>
    <w:rsid w:val="00126EA3"/>
    <w:rsid w:val="00140D5A"/>
    <w:rsid w:val="001423C2"/>
    <w:rsid w:val="001433D1"/>
    <w:rsid w:val="00143CBD"/>
    <w:rsid w:val="001445B6"/>
    <w:rsid w:val="001672F5"/>
    <w:rsid w:val="00167DA8"/>
    <w:rsid w:val="00176741"/>
    <w:rsid w:val="00184D40"/>
    <w:rsid w:val="00186C22"/>
    <w:rsid w:val="00195A20"/>
    <w:rsid w:val="001A141A"/>
    <w:rsid w:val="001A6B35"/>
    <w:rsid w:val="001B0B84"/>
    <w:rsid w:val="001C1114"/>
    <w:rsid w:val="001D2FDF"/>
    <w:rsid w:val="001F62DF"/>
    <w:rsid w:val="00210BCD"/>
    <w:rsid w:val="00222D47"/>
    <w:rsid w:val="0023356B"/>
    <w:rsid w:val="00234120"/>
    <w:rsid w:val="00257D79"/>
    <w:rsid w:val="00267C70"/>
    <w:rsid w:val="00275AB1"/>
    <w:rsid w:val="002A58C1"/>
    <w:rsid w:val="002B3893"/>
    <w:rsid w:val="002D04C0"/>
    <w:rsid w:val="002D064B"/>
    <w:rsid w:val="002E0EC2"/>
    <w:rsid w:val="002F0D15"/>
    <w:rsid w:val="00305535"/>
    <w:rsid w:val="00342A7F"/>
    <w:rsid w:val="00350A6F"/>
    <w:rsid w:val="00350E76"/>
    <w:rsid w:val="0035115C"/>
    <w:rsid w:val="00352C5B"/>
    <w:rsid w:val="003538A3"/>
    <w:rsid w:val="00356497"/>
    <w:rsid w:val="003577B5"/>
    <w:rsid w:val="0037639F"/>
    <w:rsid w:val="00397D91"/>
    <w:rsid w:val="003C481B"/>
    <w:rsid w:val="003E2BCE"/>
    <w:rsid w:val="00405112"/>
    <w:rsid w:val="0041639F"/>
    <w:rsid w:val="00430722"/>
    <w:rsid w:val="00435A71"/>
    <w:rsid w:val="0045659A"/>
    <w:rsid w:val="00456670"/>
    <w:rsid w:val="00474D80"/>
    <w:rsid w:val="0047604D"/>
    <w:rsid w:val="00496373"/>
    <w:rsid w:val="004B6761"/>
    <w:rsid w:val="004C0E35"/>
    <w:rsid w:val="004E073B"/>
    <w:rsid w:val="004E51B4"/>
    <w:rsid w:val="004E5463"/>
    <w:rsid w:val="005000E7"/>
    <w:rsid w:val="005008EA"/>
    <w:rsid w:val="00511246"/>
    <w:rsid w:val="00511457"/>
    <w:rsid w:val="005139ED"/>
    <w:rsid w:val="0051440A"/>
    <w:rsid w:val="0052516B"/>
    <w:rsid w:val="00526656"/>
    <w:rsid w:val="00542003"/>
    <w:rsid w:val="005544B9"/>
    <w:rsid w:val="00561BEF"/>
    <w:rsid w:val="00563F50"/>
    <w:rsid w:val="005659E1"/>
    <w:rsid w:val="00580D81"/>
    <w:rsid w:val="005877E4"/>
    <w:rsid w:val="005906A6"/>
    <w:rsid w:val="005934DB"/>
    <w:rsid w:val="00595BF8"/>
    <w:rsid w:val="005C2296"/>
    <w:rsid w:val="005C23B3"/>
    <w:rsid w:val="005D7B76"/>
    <w:rsid w:val="005E4715"/>
    <w:rsid w:val="005F568B"/>
    <w:rsid w:val="005F7199"/>
    <w:rsid w:val="006242D4"/>
    <w:rsid w:val="006244C5"/>
    <w:rsid w:val="00637C1A"/>
    <w:rsid w:val="00646AB7"/>
    <w:rsid w:val="0066011E"/>
    <w:rsid w:val="0066062B"/>
    <w:rsid w:val="006611D1"/>
    <w:rsid w:val="00662DF9"/>
    <w:rsid w:val="00665463"/>
    <w:rsid w:val="006718CD"/>
    <w:rsid w:val="006754E5"/>
    <w:rsid w:val="00685B85"/>
    <w:rsid w:val="006A2CC7"/>
    <w:rsid w:val="006A3035"/>
    <w:rsid w:val="006A3FF9"/>
    <w:rsid w:val="006C57C4"/>
    <w:rsid w:val="006C5EEA"/>
    <w:rsid w:val="006F6C0F"/>
    <w:rsid w:val="00704D09"/>
    <w:rsid w:val="00713B2E"/>
    <w:rsid w:val="007263EC"/>
    <w:rsid w:val="0073251A"/>
    <w:rsid w:val="0073772A"/>
    <w:rsid w:val="00757E31"/>
    <w:rsid w:val="00762D7B"/>
    <w:rsid w:val="00782E46"/>
    <w:rsid w:val="0078422B"/>
    <w:rsid w:val="007A6F15"/>
    <w:rsid w:val="007A76C4"/>
    <w:rsid w:val="007B11A6"/>
    <w:rsid w:val="007B7EE1"/>
    <w:rsid w:val="007C19A6"/>
    <w:rsid w:val="007C5D90"/>
    <w:rsid w:val="007C5F2C"/>
    <w:rsid w:val="007C60E3"/>
    <w:rsid w:val="007D0FAB"/>
    <w:rsid w:val="007D1852"/>
    <w:rsid w:val="007E6828"/>
    <w:rsid w:val="007E6EC0"/>
    <w:rsid w:val="007F195D"/>
    <w:rsid w:val="00803392"/>
    <w:rsid w:val="00803E94"/>
    <w:rsid w:val="00806CFC"/>
    <w:rsid w:val="00814867"/>
    <w:rsid w:val="00835328"/>
    <w:rsid w:val="008358BD"/>
    <w:rsid w:val="008614DE"/>
    <w:rsid w:val="00862E23"/>
    <w:rsid w:val="00870478"/>
    <w:rsid w:val="008820E9"/>
    <w:rsid w:val="00883C0B"/>
    <w:rsid w:val="00887D48"/>
    <w:rsid w:val="00895771"/>
    <w:rsid w:val="008A2A95"/>
    <w:rsid w:val="008B14CB"/>
    <w:rsid w:val="008C0636"/>
    <w:rsid w:val="008E36F0"/>
    <w:rsid w:val="008F4CF5"/>
    <w:rsid w:val="009022ED"/>
    <w:rsid w:val="0091684A"/>
    <w:rsid w:val="00926C54"/>
    <w:rsid w:val="00944283"/>
    <w:rsid w:val="00953603"/>
    <w:rsid w:val="009542C8"/>
    <w:rsid w:val="00967F38"/>
    <w:rsid w:val="009828E0"/>
    <w:rsid w:val="0098341B"/>
    <w:rsid w:val="00987EEC"/>
    <w:rsid w:val="009953A6"/>
    <w:rsid w:val="009C79A0"/>
    <w:rsid w:val="009D7108"/>
    <w:rsid w:val="009E259D"/>
    <w:rsid w:val="009E296A"/>
    <w:rsid w:val="009E32DB"/>
    <w:rsid w:val="009E39C8"/>
    <w:rsid w:val="009E4428"/>
    <w:rsid w:val="00A04C73"/>
    <w:rsid w:val="00A165C8"/>
    <w:rsid w:val="00A27547"/>
    <w:rsid w:val="00A343CE"/>
    <w:rsid w:val="00A51FCB"/>
    <w:rsid w:val="00A65519"/>
    <w:rsid w:val="00A669EB"/>
    <w:rsid w:val="00A761CF"/>
    <w:rsid w:val="00AB3C52"/>
    <w:rsid w:val="00AE58E0"/>
    <w:rsid w:val="00AF6775"/>
    <w:rsid w:val="00B0346D"/>
    <w:rsid w:val="00B148C2"/>
    <w:rsid w:val="00B35BF6"/>
    <w:rsid w:val="00B426F7"/>
    <w:rsid w:val="00B522CA"/>
    <w:rsid w:val="00B53BFE"/>
    <w:rsid w:val="00B668FA"/>
    <w:rsid w:val="00BA12CB"/>
    <w:rsid w:val="00BB17EA"/>
    <w:rsid w:val="00BC320D"/>
    <w:rsid w:val="00BC4C09"/>
    <w:rsid w:val="00BC7CB3"/>
    <w:rsid w:val="00BD4DCC"/>
    <w:rsid w:val="00BE14ED"/>
    <w:rsid w:val="00BE2CE0"/>
    <w:rsid w:val="00BE36B0"/>
    <w:rsid w:val="00BE38F4"/>
    <w:rsid w:val="00BF62DF"/>
    <w:rsid w:val="00C054F5"/>
    <w:rsid w:val="00C13AAC"/>
    <w:rsid w:val="00C17064"/>
    <w:rsid w:val="00C26092"/>
    <w:rsid w:val="00C45B41"/>
    <w:rsid w:val="00C55668"/>
    <w:rsid w:val="00C67A23"/>
    <w:rsid w:val="00C85CBC"/>
    <w:rsid w:val="00C86E0B"/>
    <w:rsid w:val="00CC4608"/>
    <w:rsid w:val="00CC7A2D"/>
    <w:rsid w:val="00CD328D"/>
    <w:rsid w:val="00CD4B3D"/>
    <w:rsid w:val="00CE4083"/>
    <w:rsid w:val="00CE533D"/>
    <w:rsid w:val="00D04318"/>
    <w:rsid w:val="00D07755"/>
    <w:rsid w:val="00D14C55"/>
    <w:rsid w:val="00D22125"/>
    <w:rsid w:val="00D432EA"/>
    <w:rsid w:val="00D51492"/>
    <w:rsid w:val="00D55B09"/>
    <w:rsid w:val="00D637BC"/>
    <w:rsid w:val="00D66C97"/>
    <w:rsid w:val="00D74B84"/>
    <w:rsid w:val="00D75137"/>
    <w:rsid w:val="00D7787A"/>
    <w:rsid w:val="00D84C80"/>
    <w:rsid w:val="00D86DBE"/>
    <w:rsid w:val="00D91258"/>
    <w:rsid w:val="00DB368A"/>
    <w:rsid w:val="00DC0047"/>
    <w:rsid w:val="00DD510F"/>
    <w:rsid w:val="00DE0E48"/>
    <w:rsid w:val="00DE2368"/>
    <w:rsid w:val="00DE4180"/>
    <w:rsid w:val="00DE4382"/>
    <w:rsid w:val="00DE74D0"/>
    <w:rsid w:val="00E01D00"/>
    <w:rsid w:val="00E05C7E"/>
    <w:rsid w:val="00E171DF"/>
    <w:rsid w:val="00E27253"/>
    <w:rsid w:val="00E279D7"/>
    <w:rsid w:val="00E35583"/>
    <w:rsid w:val="00E4274F"/>
    <w:rsid w:val="00E4358F"/>
    <w:rsid w:val="00E4457D"/>
    <w:rsid w:val="00E44FB0"/>
    <w:rsid w:val="00E623C9"/>
    <w:rsid w:val="00E65064"/>
    <w:rsid w:val="00E816AE"/>
    <w:rsid w:val="00E824F3"/>
    <w:rsid w:val="00E82B32"/>
    <w:rsid w:val="00E97444"/>
    <w:rsid w:val="00EA6876"/>
    <w:rsid w:val="00EC08FD"/>
    <w:rsid w:val="00EC1D73"/>
    <w:rsid w:val="00EE5877"/>
    <w:rsid w:val="00EE79C8"/>
    <w:rsid w:val="00F141FA"/>
    <w:rsid w:val="00F21791"/>
    <w:rsid w:val="00F259CD"/>
    <w:rsid w:val="00F40333"/>
    <w:rsid w:val="00F41BDA"/>
    <w:rsid w:val="00F47577"/>
    <w:rsid w:val="00F53187"/>
    <w:rsid w:val="00F568D5"/>
    <w:rsid w:val="00F60D65"/>
    <w:rsid w:val="00F61B9A"/>
    <w:rsid w:val="00F63705"/>
    <w:rsid w:val="00F63BF9"/>
    <w:rsid w:val="00F73E07"/>
    <w:rsid w:val="00F85798"/>
    <w:rsid w:val="00FA0FB4"/>
    <w:rsid w:val="00FA2E1D"/>
    <w:rsid w:val="00FB4B88"/>
    <w:rsid w:val="00FB71C5"/>
    <w:rsid w:val="00FD6420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6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6C4"/>
    <w:rPr>
      <w:sz w:val="18"/>
      <w:szCs w:val="18"/>
    </w:rPr>
  </w:style>
  <w:style w:type="table" w:styleId="a4">
    <w:name w:val="Table Grid"/>
    <w:basedOn w:val="a1"/>
    <w:uiPriority w:val="59"/>
    <w:rsid w:val="00713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568B"/>
  </w:style>
  <w:style w:type="character" w:styleId="a5">
    <w:name w:val="Hyperlink"/>
    <w:basedOn w:val="a0"/>
    <w:uiPriority w:val="99"/>
    <w:unhideWhenUsed/>
    <w:rsid w:val="005F56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6E0B"/>
    <w:pPr>
      <w:ind w:firstLineChars="200" w:firstLine="420"/>
    </w:pPr>
  </w:style>
  <w:style w:type="paragraph" w:styleId="a7">
    <w:name w:val="Date"/>
    <w:basedOn w:val="a"/>
    <w:next w:val="a"/>
    <w:link w:val="Char0"/>
    <w:uiPriority w:val="99"/>
    <w:semiHidden/>
    <w:unhideWhenUsed/>
    <w:rsid w:val="008820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820E9"/>
  </w:style>
  <w:style w:type="table" w:customStyle="1" w:styleId="-11">
    <w:name w:val="浅色底纹 - 强调文字颜色 11"/>
    <w:basedOn w:val="a1"/>
    <w:uiPriority w:val="60"/>
    <w:rsid w:val="00FD642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浅色底纹1"/>
    <w:basedOn w:val="a1"/>
    <w:uiPriority w:val="60"/>
    <w:rsid w:val="00FD642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header"/>
    <w:basedOn w:val="a"/>
    <w:link w:val="Char1"/>
    <w:uiPriority w:val="99"/>
    <w:semiHidden/>
    <w:unhideWhenUsed/>
    <w:rsid w:val="0056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561BEF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56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561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istrator\Desktop\QDII&#26376;&#25253;120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istrator\Desktop\&#20113;&#25991;&#26723;\&#20840;&#29699;&#25968;&#25454;20131105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&#20840;&#29699;&#25968;&#25454;20131105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&#20840;&#29699;&#25968;&#25454;20131105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QDII&#26376;&#25253;1203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istrator\Desktop\QDII&#26376;&#25253;1203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0771062992125985"/>
          <c:y val="7.8911564625850333E-2"/>
          <c:w val="0.74081714785651798"/>
          <c:h val="0.85292067063045907"/>
        </c:manualLayout>
      </c:layout>
      <c:barChart>
        <c:barDir val="bar"/>
        <c:grouping val="clustered"/>
        <c:ser>
          <c:idx val="0"/>
          <c:order val="0"/>
          <c:tx>
            <c:strRef>
              <c:f>Sheet5!$B$1</c:f>
              <c:strCache>
                <c:ptCount val="1"/>
                <c:pt idx="0">
                  <c:v>年初以来涨跌幅（%）</c:v>
                </c:pt>
              </c:strCache>
            </c:strRef>
          </c:tx>
          <c:dLbls>
            <c:dLbl>
              <c:idx val="1"/>
              <c:layout>
                <c:manualLayout>
                  <c:x val="-1.7845422953415742E-2"/>
                  <c:y val="-2.2304832713754743E-2"/>
                </c:manualLayout>
              </c:layout>
              <c:showVal val="1"/>
            </c:dLbl>
            <c:dLbl>
              <c:idx val="2"/>
              <c:layout>
                <c:manualLayout>
                  <c:x val="5.8333333333333487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5000000000000022E-2"/>
                  <c:y val="-2.7210884353741477E-3"/>
                </c:manualLayout>
              </c:layout>
              <c:showVal val="1"/>
            </c:dLbl>
            <c:dLbl>
              <c:idx val="5"/>
              <c:layout>
                <c:manualLayout>
                  <c:x val="1.2414649286157667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0.10277777777777777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4.7222222222222346E-2"/>
                  <c:y val="-2.4943022513672195E-17"/>
                </c:manualLayout>
              </c:layout>
              <c:showVal val="1"/>
            </c:dLbl>
            <c:dLbl>
              <c:idx val="12"/>
              <c:layout>
                <c:manualLayout>
                  <c:x val="1.388888888888893E-2"/>
                  <c:y val="2.4783147459727498E-3"/>
                </c:manualLayout>
              </c:layout>
              <c:showVal val="1"/>
            </c:dLbl>
            <c:dLbl>
              <c:idx val="15"/>
              <c:layout>
                <c:manualLayout>
                  <c:x val="-4.0610957149909338E-2"/>
                  <c:y val="-2.2304832713754649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Sheet5!$A$2:$A$18</c:f>
              <c:strCache>
                <c:ptCount val="17"/>
                <c:pt idx="0">
                  <c:v>日经225</c:v>
                </c:pt>
                <c:pt idx="1">
                  <c:v>恒生国企指数</c:v>
                </c:pt>
                <c:pt idx="2">
                  <c:v>德国DAX</c:v>
                </c:pt>
                <c:pt idx="3">
                  <c:v>纳斯达克指数</c:v>
                </c:pt>
                <c:pt idx="4">
                  <c:v>道琼斯工业指数</c:v>
                </c:pt>
                <c:pt idx="5">
                  <c:v>恒生红筹指数</c:v>
                </c:pt>
                <c:pt idx="6">
                  <c:v>恒生指数</c:v>
                </c:pt>
                <c:pt idx="7">
                  <c:v>标普500</c:v>
                </c:pt>
                <c:pt idx="8">
                  <c:v>韩国综合指数</c:v>
                </c:pt>
                <c:pt idx="9">
                  <c:v>法国CAC40</c:v>
                </c:pt>
                <c:pt idx="10">
                  <c:v>台湾加权指数</c:v>
                </c:pt>
                <c:pt idx="11">
                  <c:v>南非富时综指</c:v>
                </c:pt>
                <c:pt idx="12">
                  <c:v>富时100</c:v>
                </c:pt>
                <c:pt idx="13">
                  <c:v>孟买SENSEX30</c:v>
                </c:pt>
                <c:pt idx="14">
                  <c:v>澳洲标普200</c:v>
                </c:pt>
                <c:pt idx="15">
                  <c:v>巴西IBOVESPA</c:v>
                </c:pt>
                <c:pt idx="16">
                  <c:v>俄罗斯RTS</c:v>
                </c:pt>
              </c:strCache>
            </c:strRef>
          </c:cat>
          <c:val>
            <c:numRef>
              <c:f>Sheet5!$B$2:$B$18</c:f>
              <c:numCache>
                <c:formatCode>###,###,###,##0.00</c:formatCode>
                <c:ptCount val="17"/>
                <c:pt idx="0">
                  <c:v>50.660000000000011</c:v>
                </c:pt>
                <c:pt idx="1">
                  <c:v>4.0000000000000022E-2</c:v>
                </c:pt>
                <c:pt idx="2">
                  <c:v>23.55</c:v>
                </c:pt>
                <c:pt idx="3">
                  <c:v>34.46</c:v>
                </c:pt>
                <c:pt idx="4">
                  <c:v>22.759999999999991</c:v>
                </c:pt>
                <c:pt idx="5">
                  <c:v>3.3699999999999997</c:v>
                </c:pt>
                <c:pt idx="6">
                  <c:v>5.4</c:v>
                </c:pt>
                <c:pt idx="7">
                  <c:v>26.62</c:v>
                </c:pt>
                <c:pt idx="8">
                  <c:v>2.3899999999999997</c:v>
                </c:pt>
                <c:pt idx="9">
                  <c:v>17.97</c:v>
                </c:pt>
                <c:pt idx="10">
                  <c:v>9.19</c:v>
                </c:pt>
                <c:pt idx="11">
                  <c:v>14.59</c:v>
                </c:pt>
                <c:pt idx="12">
                  <c:v>12.76</c:v>
                </c:pt>
                <c:pt idx="13">
                  <c:v>7.03</c:v>
                </c:pt>
                <c:pt idx="14">
                  <c:v>14.44</c:v>
                </c:pt>
                <c:pt idx="15">
                  <c:v>-13.9</c:v>
                </c:pt>
                <c:pt idx="16">
                  <c:v>-8.120000000000001</c:v>
                </c:pt>
              </c:numCache>
            </c:numRef>
          </c:val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11月涨跌幅（%）</c:v>
                </c:pt>
              </c:strCache>
            </c:strRef>
          </c:tx>
          <c:dLbls>
            <c:dLbl>
              <c:idx val="0"/>
              <c:layout>
                <c:manualLayout>
                  <c:x val="-3.6111111111111184E-2"/>
                  <c:y val="-1.982651796778194E-2"/>
                </c:manualLayout>
              </c:layout>
              <c:showVal val="1"/>
            </c:dLbl>
            <c:dLbl>
              <c:idx val="1"/>
              <c:layout>
                <c:manualLayout>
                  <c:x val="-5.5546806649168874E-3"/>
                  <c:y val="-1.9826517967781853E-2"/>
                </c:manualLayout>
              </c:layout>
              <c:showVal val="1"/>
            </c:dLbl>
            <c:dLbl>
              <c:idx val="2"/>
              <c:layout>
                <c:manualLayout>
                  <c:x val="2.4829298572315341E-3"/>
                  <c:y val="-1.7348203221809171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2304832713754649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1.9826517967781912E-2"/>
                </c:manualLayout>
              </c:layout>
              <c:showVal val="1"/>
            </c:dLbl>
            <c:dLbl>
              <c:idx val="5"/>
              <c:layout>
                <c:manualLayout>
                  <c:x val="-2.4829298572315341E-3"/>
                  <c:y val="-2.2304832713754649E-2"/>
                </c:manualLayout>
              </c:layout>
              <c:showVal val="1"/>
            </c:dLbl>
            <c:dLbl>
              <c:idx val="6"/>
              <c:layout>
                <c:manualLayout>
                  <c:x val="-4.9660552207510386E-3"/>
                  <c:y val="-2.7261462205700131E-2"/>
                </c:manualLayout>
              </c:layout>
              <c:showVal val="1"/>
            </c:dLbl>
            <c:dLbl>
              <c:idx val="7"/>
              <c:layout>
                <c:manualLayout>
                  <c:x val="-1.7380509000620735E-2"/>
                  <c:y val="-2.47831474597274E-2"/>
                </c:manualLayout>
              </c:layout>
              <c:showVal val="1"/>
            </c:dLbl>
            <c:dLbl>
              <c:idx val="8"/>
              <c:layout>
                <c:manualLayout>
                  <c:x val="-1.6666885389326386E-2"/>
                  <c:y val="-1.2391573729863723E-2"/>
                </c:manualLayout>
              </c:layout>
              <c:showVal val="1"/>
            </c:dLbl>
            <c:dLbl>
              <c:idx val="9"/>
              <c:layout>
                <c:manualLayout>
                  <c:x val="-1.9444444444444445E-2"/>
                  <c:y val="-1.982651796778194E-2"/>
                </c:manualLayout>
              </c:layout>
              <c:showVal val="1"/>
            </c:dLbl>
            <c:dLbl>
              <c:idx val="10"/>
              <c:layout>
                <c:manualLayout>
                  <c:x val="-2.2222222222222272E-2"/>
                  <c:y val="-1.7348203221809133E-2"/>
                </c:manualLayout>
              </c:layout>
              <c:showVal val="1"/>
            </c:dLbl>
            <c:dLbl>
              <c:idx val="11"/>
              <c:layout>
                <c:manualLayout>
                  <c:x val="-2.2222222222222272E-2"/>
                  <c:y val="-2.2304832713754708E-2"/>
                </c:manualLayout>
              </c:layout>
              <c:showVal val="1"/>
            </c:dLbl>
            <c:dLbl>
              <c:idx val="12"/>
              <c:layout>
                <c:manualLayout>
                  <c:x val="8.8888888888889128E-2"/>
                  <c:y val="-2.4783147459727487E-2"/>
                </c:manualLayout>
              </c:layout>
              <c:showVal val="1"/>
            </c:dLbl>
            <c:dLbl>
              <c:idx val="13"/>
              <c:layout>
                <c:manualLayout>
                  <c:x val="8.333333333333344E-2"/>
                  <c:y val="-2.2304832713754743E-2"/>
                </c:manualLayout>
              </c:layout>
              <c:showVal val="1"/>
            </c:dLbl>
            <c:dLbl>
              <c:idx val="14"/>
              <c:layout>
                <c:manualLayout>
                  <c:x val="9.7222222222222265E-2"/>
                  <c:y val="-1.7348203221809182E-2"/>
                </c:manualLayout>
              </c:layout>
              <c:showVal val="1"/>
            </c:dLbl>
            <c:dLbl>
              <c:idx val="16"/>
              <c:layout>
                <c:manualLayout>
                  <c:x val="-3.6266025406042131E-2"/>
                  <c:y val="-2.2304832713754649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accent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Sheet5!$A$2:$A$18</c:f>
              <c:strCache>
                <c:ptCount val="17"/>
                <c:pt idx="0">
                  <c:v>日经225</c:v>
                </c:pt>
                <c:pt idx="1">
                  <c:v>恒生国企指数</c:v>
                </c:pt>
                <c:pt idx="2">
                  <c:v>德国DAX</c:v>
                </c:pt>
                <c:pt idx="3">
                  <c:v>纳斯达克指数</c:v>
                </c:pt>
                <c:pt idx="4">
                  <c:v>道琼斯工业指数</c:v>
                </c:pt>
                <c:pt idx="5">
                  <c:v>恒生红筹指数</c:v>
                </c:pt>
                <c:pt idx="6">
                  <c:v>恒生指数</c:v>
                </c:pt>
                <c:pt idx="7">
                  <c:v>标普500</c:v>
                </c:pt>
                <c:pt idx="8">
                  <c:v>韩国综合指数</c:v>
                </c:pt>
                <c:pt idx="9">
                  <c:v>法国CAC40</c:v>
                </c:pt>
                <c:pt idx="10">
                  <c:v>台湾加权指数</c:v>
                </c:pt>
                <c:pt idx="11">
                  <c:v>南非富时综指</c:v>
                </c:pt>
                <c:pt idx="12">
                  <c:v>富时100</c:v>
                </c:pt>
                <c:pt idx="13">
                  <c:v>孟买SENSEX30</c:v>
                </c:pt>
                <c:pt idx="14">
                  <c:v>澳洲标普200</c:v>
                </c:pt>
                <c:pt idx="15">
                  <c:v>巴西IBOVESPA</c:v>
                </c:pt>
                <c:pt idx="16">
                  <c:v>俄罗斯RTS</c:v>
                </c:pt>
              </c:strCache>
            </c:strRef>
          </c:cat>
          <c:val>
            <c:numRef>
              <c:f>Sheet5!$C$2:$C$18</c:f>
              <c:numCache>
                <c:formatCode>###,###,###,##0.00</c:formatCode>
                <c:ptCount val="17"/>
                <c:pt idx="0">
                  <c:v>9.31</c:v>
                </c:pt>
                <c:pt idx="1">
                  <c:v>7.6599999999999975</c:v>
                </c:pt>
                <c:pt idx="2">
                  <c:v>4.1099999999999985</c:v>
                </c:pt>
                <c:pt idx="3">
                  <c:v>3.58</c:v>
                </c:pt>
                <c:pt idx="4">
                  <c:v>3.48</c:v>
                </c:pt>
                <c:pt idx="5">
                  <c:v>2.92</c:v>
                </c:pt>
                <c:pt idx="6">
                  <c:v>2.9099999999999997</c:v>
                </c:pt>
                <c:pt idx="7">
                  <c:v>2.8</c:v>
                </c:pt>
                <c:pt idx="8">
                  <c:v>0.73000000000000032</c:v>
                </c:pt>
                <c:pt idx="9">
                  <c:v>-0.11000000000000001</c:v>
                </c:pt>
                <c:pt idx="10">
                  <c:v>-0.51</c:v>
                </c:pt>
                <c:pt idx="11">
                  <c:v>-1.1900000000000006</c:v>
                </c:pt>
                <c:pt idx="12">
                  <c:v>-1.2</c:v>
                </c:pt>
                <c:pt idx="13">
                  <c:v>-1.7600000000000002</c:v>
                </c:pt>
                <c:pt idx="14">
                  <c:v>-1.9400000000000004</c:v>
                </c:pt>
                <c:pt idx="15">
                  <c:v>-3.27</c:v>
                </c:pt>
                <c:pt idx="16">
                  <c:v>-5.23</c:v>
                </c:pt>
              </c:numCache>
            </c:numRef>
          </c:val>
        </c:ser>
        <c:overlap val="100"/>
        <c:axId val="221215744"/>
        <c:axId val="228401920"/>
      </c:barChart>
      <c:catAx>
        <c:axId val="221215744"/>
        <c:scaling>
          <c:orientation val="minMax"/>
        </c:scaling>
        <c:axPos val="l"/>
        <c:tickLblPos val="low"/>
        <c:crossAx val="228401920"/>
        <c:crosses val="autoZero"/>
        <c:auto val="1"/>
        <c:lblAlgn val="ctr"/>
        <c:lblOffset val="100"/>
      </c:catAx>
      <c:valAx>
        <c:axId val="228401920"/>
        <c:scaling>
          <c:orientation val="minMax"/>
        </c:scaling>
        <c:axPos val="b"/>
        <c:majorGridlines>
          <c:spPr>
            <a:ln>
              <a:solidFill>
                <a:schemeClr val="bg1">
                  <a:lumMod val="65000"/>
                </a:schemeClr>
              </a:solidFill>
              <a:prstDash val="dash"/>
            </a:ln>
          </c:spPr>
        </c:majorGridlines>
        <c:numFmt formatCode="###,###,###,##0.00" sourceLinked="1"/>
        <c:tickLblPos val="nextTo"/>
        <c:crossAx val="221215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2097550306211722E-3"/>
          <c:y val="4.5362901065938536E-3"/>
          <c:w val="0.98645691163604388"/>
          <c:h val="6.5757351759601693E-2"/>
        </c:manualLayout>
      </c:layout>
      <c:spPr>
        <a:ln>
          <a:noFill/>
        </a:ln>
      </c:spPr>
    </c:legend>
    <c:plotVisOnly val="1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3775974157077007E-2"/>
          <c:y val="0.12084499854184894"/>
          <c:w val="0.90801889763779564"/>
          <c:h val="0.69678052833323889"/>
        </c:manualLayout>
      </c:layout>
      <c:lineChart>
        <c:grouping val="standard"/>
        <c:ser>
          <c:idx val="0"/>
          <c:order val="0"/>
          <c:tx>
            <c:strRef>
              <c:f>PMI!$B$1</c:f>
              <c:strCache>
                <c:ptCount val="1"/>
                <c:pt idx="0">
                  <c:v>美国</c:v>
                </c:pt>
              </c:strCache>
            </c:strRef>
          </c:tx>
          <c:marker>
            <c:symbol val="none"/>
          </c:marker>
          <c:cat>
            <c:numRef>
              <c:f>PMI!$A$2:$A$49</c:f>
              <c:numCache>
                <c:formatCode>yyyy/mm;@</c:formatCode>
                <c:ptCount val="48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41579</c:v>
                </c:pt>
              </c:numCache>
            </c:numRef>
          </c:cat>
          <c:val>
            <c:numRef>
              <c:f>PMI!$B$2:$B$49</c:f>
              <c:numCache>
                <c:formatCode>###,###,###,###,##0.00_ </c:formatCode>
                <c:ptCount val="48"/>
                <c:pt idx="0">
                  <c:v>56.6</c:v>
                </c:pt>
                <c:pt idx="1">
                  <c:v>55.7</c:v>
                </c:pt>
                <c:pt idx="2">
                  <c:v>59.3</c:v>
                </c:pt>
                <c:pt idx="3">
                  <c:v>58.9</c:v>
                </c:pt>
                <c:pt idx="4">
                  <c:v>57.8</c:v>
                </c:pt>
                <c:pt idx="5">
                  <c:v>56.1</c:v>
                </c:pt>
                <c:pt idx="6">
                  <c:v>56.4</c:v>
                </c:pt>
                <c:pt idx="7">
                  <c:v>57.8</c:v>
                </c:pt>
                <c:pt idx="8">
                  <c:v>56.5</c:v>
                </c:pt>
                <c:pt idx="9">
                  <c:v>57.3</c:v>
                </c:pt>
                <c:pt idx="10">
                  <c:v>58.2</c:v>
                </c:pt>
                <c:pt idx="11">
                  <c:v>57.3</c:v>
                </c:pt>
                <c:pt idx="12">
                  <c:v>59.2</c:v>
                </c:pt>
                <c:pt idx="13">
                  <c:v>59.6</c:v>
                </c:pt>
                <c:pt idx="14">
                  <c:v>59.3</c:v>
                </c:pt>
                <c:pt idx="15">
                  <c:v>59.4</c:v>
                </c:pt>
                <c:pt idx="16">
                  <c:v>53.5</c:v>
                </c:pt>
                <c:pt idx="17">
                  <c:v>55.8</c:v>
                </c:pt>
                <c:pt idx="18">
                  <c:v>52.3</c:v>
                </c:pt>
                <c:pt idx="19">
                  <c:v>53.2</c:v>
                </c:pt>
                <c:pt idx="20">
                  <c:v>53.2</c:v>
                </c:pt>
                <c:pt idx="21">
                  <c:v>51.5</c:v>
                </c:pt>
                <c:pt idx="22">
                  <c:v>52.3</c:v>
                </c:pt>
                <c:pt idx="23">
                  <c:v>52.9</c:v>
                </c:pt>
                <c:pt idx="24">
                  <c:v>53.7</c:v>
                </c:pt>
                <c:pt idx="25">
                  <c:v>51.9</c:v>
                </c:pt>
                <c:pt idx="26">
                  <c:v>53.3</c:v>
                </c:pt>
                <c:pt idx="27">
                  <c:v>54.1</c:v>
                </c:pt>
                <c:pt idx="28">
                  <c:v>52.5</c:v>
                </c:pt>
                <c:pt idx="29">
                  <c:v>50.2</c:v>
                </c:pt>
                <c:pt idx="30">
                  <c:v>50.5</c:v>
                </c:pt>
                <c:pt idx="31">
                  <c:v>50.7</c:v>
                </c:pt>
                <c:pt idx="32">
                  <c:v>51.6</c:v>
                </c:pt>
                <c:pt idx="33">
                  <c:v>51.7</c:v>
                </c:pt>
                <c:pt idx="34">
                  <c:v>49.9</c:v>
                </c:pt>
                <c:pt idx="35">
                  <c:v>50.2</c:v>
                </c:pt>
                <c:pt idx="36">
                  <c:v>53.1</c:v>
                </c:pt>
                <c:pt idx="37">
                  <c:v>54.2</c:v>
                </c:pt>
                <c:pt idx="38">
                  <c:v>51.3</c:v>
                </c:pt>
                <c:pt idx="39">
                  <c:v>50.7</c:v>
                </c:pt>
                <c:pt idx="40">
                  <c:v>49</c:v>
                </c:pt>
                <c:pt idx="41">
                  <c:v>50.9</c:v>
                </c:pt>
                <c:pt idx="42">
                  <c:v>55.4</c:v>
                </c:pt>
                <c:pt idx="43">
                  <c:v>55.7</c:v>
                </c:pt>
                <c:pt idx="44">
                  <c:v>56.2</c:v>
                </c:pt>
                <c:pt idx="45">
                  <c:v>56.4</c:v>
                </c:pt>
                <c:pt idx="46">
                  <c:v>57.3</c:v>
                </c:pt>
              </c:numCache>
            </c:numRef>
          </c:val>
        </c:ser>
        <c:ser>
          <c:idx val="1"/>
          <c:order val="1"/>
          <c:tx>
            <c:strRef>
              <c:f>PMI!$C$1</c:f>
              <c:strCache>
                <c:ptCount val="1"/>
                <c:pt idx="0">
                  <c:v>欧元区</c:v>
                </c:pt>
              </c:strCache>
            </c:strRef>
          </c:tx>
          <c:marker>
            <c:symbol val="none"/>
          </c:marker>
          <c:cat>
            <c:numRef>
              <c:f>PMI!$A$2:$A$49</c:f>
              <c:numCache>
                <c:formatCode>yyyy/mm;@</c:formatCode>
                <c:ptCount val="48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41579</c:v>
                </c:pt>
              </c:numCache>
            </c:numRef>
          </c:cat>
          <c:val>
            <c:numRef>
              <c:f>PMI!$C$2:$C$49</c:f>
              <c:numCache>
                <c:formatCode>###,###,###,###,##0.00_ </c:formatCode>
                <c:ptCount val="48"/>
                <c:pt idx="0">
                  <c:v>52.4</c:v>
                </c:pt>
                <c:pt idx="1">
                  <c:v>54.2</c:v>
                </c:pt>
                <c:pt idx="2">
                  <c:v>56.6</c:v>
                </c:pt>
                <c:pt idx="3">
                  <c:v>57.6</c:v>
                </c:pt>
                <c:pt idx="4">
                  <c:v>55.8</c:v>
                </c:pt>
                <c:pt idx="5">
                  <c:v>55.6</c:v>
                </c:pt>
                <c:pt idx="6">
                  <c:v>56.7</c:v>
                </c:pt>
                <c:pt idx="7">
                  <c:v>55.1</c:v>
                </c:pt>
                <c:pt idx="8">
                  <c:v>53.7</c:v>
                </c:pt>
                <c:pt idx="9">
                  <c:v>54.6</c:v>
                </c:pt>
                <c:pt idx="10">
                  <c:v>55.3</c:v>
                </c:pt>
                <c:pt idx="11">
                  <c:v>57.1</c:v>
                </c:pt>
                <c:pt idx="12">
                  <c:v>57.3</c:v>
                </c:pt>
                <c:pt idx="13">
                  <c:v>59</c:v>
                </c:pt>
                <c:pt idx="14">
                  <c:v>57.5</c:v>
                </c:pt>
                <c:pt idx="15">
                  <c:v>58</c:v>
                </c:pt>
                <c:pt idx="16">
                  <c:v>54.6</c:v>
                </c:pt>
                <c:pt idx="17">
                  <c:v>52</c:v>
                </c:pt>
                <c:pt idx="18">
                  <c:v>50.4</c:v>
                </c:pt>
                <c:pt idx="19">
                  <c:v>49</c:v>
                </c:pt>
                <c:pt idx="20">
                  <c:v>48.5</c:v>
                </c:pt>
                <c:pt idx="21">
                  <c:v>47.1</c:v>
                </c:pt>
                <c:pt idx="22">
                  <c:v>46.4</c:v>
                </c:pt>
                <c:pt idx="23">
                  <c:v>46.9</c:v>
                </c:pt>
                <c:pt idx="24">
                  <c:v>48.8</c:v>
                </c:pt>
                <c:pt idx="25">
                  <c:v>49</c:v>
                </c:pt>
                <c:pt idx="26">
                  <c:v>47.7</c:v>
                </c:pt>
                <c:pt idx="27">
                  <c:v>45.9</c:v>
                </c:pt>
                <c:pt idx="28">
                  <c:v>45.1</c:v>
                </c:pt>
                <c:pt idx="29">
                  <c:v>45.1</c:v>
                </c:pt>
                <c:pt idx="30">
                  <c:v>44</c:v>
                </c:pt>
                <c:pt idx="31">
                  <c:v>45.1</c:v>
                </c:pt>
                <c:pt idx="32">
                  <c:v>46.1</c:v>
                </c:pt>
                <c:pt idx="33">
                  <c:v>45.4</c:v>
                </c:pt>
                <c:pt idx="34">
                  <c:v>46.2</c:v>
                </c:pt>
                <c:pt idx="35">
                  <c:v>46.1</c:v>
                </c:pt>
                <c:pt idx="36">
                  <c:v>47.9</c:v>
                </c:pt>
                <c:pt idx="37">
                  <c:v>47.9</c:v>
                </c:pt>
                <c:pt idx="38">
                  <c:v>46.8</c:v>
                </c:pt>
                <c:pt idx="39">
                  <c:v>46.7</c:v>
                </c:pt>
                <c:pt idx="40">
                  <c:v>48.3</c:v>
                </c:pt>
                <c:pt idx="41">
                  <c:v>48.8</c:v>
                </c:pt>
                <c:pt idx="42">
                  <c:v>50.3</c:v>
                </c:pt>
                <c:pt idx="43">
                  <c:v>51.4</c:v>
                </c:pt>
                <c:pt idx="44">
                  <c:v>51.1</c:v>
                </c:pt>
                <c:pt idx="45">
                  <c:v>51.3</c:v>
                </c:pt>
                <c:pt idx="46">
                  <c:v>51.6</c:v>
                </c:pt>
              </c:numCache>
            </c:numRef>
          </c:val>
        </c:ser>
        <c:ser>
          <c:idx val="2"/>
          <c:order val="2"/>
          <c:tx>
            <c:strRef>
              <c:f>PMI!$D$1</c:f>
              <c:strCache>
                <c:ptCount val="1"/>
                <c:pt idx="0">
                  <c:v>中国</c:v>
                </c:pt>
              </c:strCache>
            </c:strRef>
          </c:tx>
          <c:marker>
            <c:symbol val="none"/>
          </c:marker>
          <c:cat>
            <c:numRef>
              <c:f>PMI!$A$2:$A$49</c:f>
              <c:numCache>
                <c:formatCode>yyyy/mm;@</c:formatCode>
                <c:ptCount val="48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41579</c:v>
                </c:pt>
              </c:numCache>
            </c:numRef>
          </c:cat>
          <c:val>
            <c:numRef>
              <c:f>PMI!$D$2:$D$49</c:f>
              <c:numCache>
                <c:formatCode>###,###,###,###,##0.00_ </c:formatCode>
                <c:ptCount val="48"/>
                <c:pt idx="0">
                  <c:v>55.8</c:v>
                </c:pt>
                <c:pt idx="1">
                  <c:v>52</c:v>
                </c:pt>
                <c:pt idx="2">
                  <c:v>55.1</c:v>
                </c:pt>
                <c:pt idx="3">
                  <c:v>55.7</c:v>
                </c:pt>
                <c:pt idx="4">
                  <c:v>53.9</c:v>
                </c:pt>
                <c:pt idx="5">
                  <c:v>52.1</c:v>
                </c:pt>
                <c:pt idx="6">
                  <c:v>51.2</c:v>
                </c:pt>
                <c:pt idx="7">
                  <c:v>51.7</c:v>
                </c:pt>
                <c:pt idx="8">
                  <c:v>53.8</c:v>
                </c:pt>
                <c:pt idx="9">
                  <c:v>54.7</c:v>
                </c:pt>
                <c:pt idx="10">
                  <c:v>55.2</c:v>
                </c:pt>
                <c:pt idx="11">
                  <c:v>53.9</c:v>
                </c:pt>
                <c:pt idx="12">
                  <c:v>52.9</c:v>
                </c:pt>
                <c:pt idx="13">
                  <c:v>52.2</c:v>
                </c:pt>
                <c:pt idx="14">
                  <c:v>53.4</c:v>
                </c:pt>
                <c:pt idx="15">
                  <c:v>52.9</c:v>
                </c:pt>
                <c:pt idx="16">
                  <c:v>52</c:v>
                </c:pt>
                <c:pt idx="17">
                  <c:v>50.9</c:v>
                </c:pt>
                <c:pt idx="18">
                  <c:v>50.7</c:v>
                </c:pt>
                <c:pt idx="19">
                  <c:v>50.9</c:v>
                </c:pt>
                <c:pt idx="20">
                  <c:v>51.2</c:v>
                </c:pt>
                <c:pt idx="21">
                  <c:v>50.4</c:v>
                </c:pt>
                <c:pt idx="22">
                  <c:v>49</c:v>
                </c:pt>
                <c:pt idx="23">
                  <c:v>50.3</c:v>
                </c:pt>
                <c:pt idx="24">
                  <c:v>50.5</c:v>
                </c:pt>
                <c:pt idx="25">
                  <c:v>51</c:v>
                </c:pt>
                <c:pt idx="26">
                  <c:v>53.1</c:v>
                </c:pt>
                <c:pt idx="27">
                  <c:v>53.3</c:v>
                </c:pt>
                <c:pt idx="28">
                  <c:v>50.4</c:v>
                </c:pt>
                <c:pt idx="29">
                  <c:v>50.2</c:v>
                </c:pt>
                <c:pt idx="30">
                  <c:v>50.1</c:v>
                </c:pt>
                <c:pt idx="31">
                  <c:v>49.2</c:v>
                </c:pt>
                <c:pt idx="32">
                  <c:v>49.8</c:v>
                </c:pt>
                <c:pt idx="33">
                  <c:v>50.2</c:v>
                </c:pt>
                <c:pt idx="34">
                  <c:v>50.6</c:v>
                </c:pt>
                <c:pt idx="35">
                  <c:v>50.6</c:v>
                </c:pt>
                <c:pt idx="36">
                  <c:v>50.4</c:v>
                </c:pt>
                <c:pt idx="37">
                  <c:v>50.1</c:v>
                </c:pt>
                <c:pt idx="38">
                  <c:v>50.9</c:v>
                </c:pt>
                <c:pt idx="39">
                  <c:v>50.6</c:v>
                </c:pt>
                <c:pt idx="40">
                  <c:v>50.8</c:v>
                </c:pt>
                <c:pt idx="41">
                  <c:v>50.1</c:v>
                </c:pt>
                <c:pt idx="42">
                  <c:v>50.3</c:v>
                </c:pt>
                <c:pt idx="43">
                  <c:v>51</c:v>
                </c:pt>
                <c:pt idx="44">
                  <c:v>51.1</c:v>
                </c:pt>
                <c:pt idx="45">
                  <c:v>51.4</c:v>
                </c:pt>
                <c:pt idx="46">
                  <c:v>51.4</c:v>
                </c:pt>
              </c:numCache>
            </c:numRef>
          </c:val>
        </c:ser>
        <c:ser>
          <c:idx val="3"/>
          <c:order val="3"/>
          <c:tx>
            <c:strRef>
              <c:f>PMI!$E$1</c:f>
              <c:strCache>
                <c:ptCount val="1"/>
                <c:pt idx="0">
                  <c:v>日本</c:v>
                </c:pt>
              </c:strCache>
            </c:strRef>
          </c:tx>
          <c:marker>
            <c:symbol val="none"/>
          </c:marker>
          <c:cat>
            <c:numRef>
              <c:f>PMI!$A$2:$A$49</c:f>
              <c:numCache>
                <c:formatCode>yyyy/mm;@</c:formatCode>
                <c:ptCount val="48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41579</c:v>
                </c:pt>
              </c:numCache>
            </c:numRef>
          </c:cat>
          <c:val>
            <c:numRef>
              <c:f>PMI!$E$2:$E$49</c:f>
              <c:numCache>
                <c:formatCode>###,###,###,###,##0.00_ </c:formatCode>
                <c:ptCount val="48"/>
                <c:pt idx="0">
                  <c:v>52.5</c:v>
                </c:pt>
                <c:pt idx="1">
                  <c:v>52.5</c:v>
                </c:pt>
                <c:pt idx="2">
                  <c:v>52.4</c:v>
                </c:pt>
                <c:pt idx="3">
                  <c:v>53.8</c:v>
                </c:pt>
                <c:pt idx="4">
                  <c:v>54.7</c:v>
                </c:pt>
                <c:pt idx="5">
                  <c:v>53.9</c:v>
                </c:pt>
                <c:pt idx="6">
                  <c:v>52.8</c:v>
                </c:pt>
                <c:pt idx="7">
                  <c:v>50.1</c:v>
                </c:pt>
                <c:pt idx="8">
                  <c:v>49.5</c:v>
                </c:pt>
                <c:pt idx="9">
                  <c:v>47.2</c:v>
                </c:pt>
                <c:pt idx="10">
                  <c:v>47.3</c:v>
                </c:pt>
                <c:pt idx="11">
                  <c:v>48.3</c:v>
                </c:pt>
                <c:pt idx="12">
                  <c:v>51.4</c:v>
                </c:pt>
                <c:pt idx="13">
                  <c:v>52.9</c:v>
                </c:pt>
                <c:pt idx="14">
                  <c:v>46.4</c:v>
                </c:pt>
                <c:pt idx="15">
                  <c:v>45.7</c:v>
                </c:pt>
                <c:pt idx="16">
                  <c:v>51.3</c:v>
                </c:pt>
                <c:pt idx="17">
                  <c:v>50.7</c:v>
                </c:pt>
                <c:pt idx="18">
                  <c:v>52.1</c:v>
                </c:pt>
                <c:pt idx="19">
                  <c:v>51.9</c:v>
                </c:pt>
                <c:pt idx="20">
                  <c:v>49.3</c:v>
                </c:pt>
                <c:pt idx="21">
                  <c:v>50.6</c:v>
                </c:pt>
                <c:pt idx="22">
                  <c:v>49.1</c:v>
                </c:pt>
                <c:pt idx="23">
                  <c:v>50.2</c:v>
                </c:pt>
                <c:pt idx="24">
                  <c:v>50.7</c:v>
                </c:pt>
                <c:pt idx="25">
                  <c:v>50.5</c:v>
                </c:pt>
                <c:pt idx="26">
                  <c:v>51.1</c:v>
                </c:pt>
                <c:pt idx="27">
                  <c:v>50.7</c:v>
                </c:pt>
                <c:pt idx="28">
                  <c:v>50.7</c:v>
                </c:pt>
                <c:pt idx="29">
                  <c:v>49.9</c:v>
                </c:pt>
                <c:pt idx="30">
                  <c:v>47.9</c:v>
                </c:pt>
                <c:pt idx="31">
                  <c:v>47.7</c:v>
                </c:pt>
                <c:pt idx="32">
                  <c:v>48</c:v>
                </c:pt>
                <c:pt idx="33">
                  <c:v>46.9</c:v>
                </c:pt>
                <c:pt idx="34">
                  <c:v>46.5</c:v>
                </c:pt>
                <c:pt idx="35">
                  <c:v>45</c:v>
                </c:pt>
                <c:pt idx="36">
                  <c:v>47.7</c:v>
                </c:pt>
                <c:pt idx="37">
                  <c:v>48.5</c:v>
                </c:pt>
                <c:pt idx="38">
                  <c:v>50.4</c:v>
                </c:pt>
                <c:pt idx="39">
                  <c:v>51.1</c:v>
                </c:pt>
                <c:pt idx="40">
                  <c:v>51.5</c:v>
                </c:pt>
                <c:pt idx="41">
                  <c:v>52.3</c:v>
                </c:pt>
                <c:pt idx="42">
                  <c:v>50.7</c:v>
                </c:pt>
                <c:pt idx="43">
                  <c:v>52.2</c:v>
                </c:pt>
                <c:pt idx="44">
                  <c:v>52.5</c:v>
                </c:pt>
                <c:pt idx="45">
                  <c:v>54.2</c:v>
                </c:pt>
                <c:pt idx="46">
                  <c:v>55.1</c:v>
                </c:pt>
              </c:numCache>
            </c:numRef>
          </c:val>
        </c:ser>
        <c:marker val="1"/>
        <c:axId val="143742848"/>
        <c:axId val="143744384"/>
      </c:lineChart>
      <c:catAx>
        <c:axId val="143742848"/>
        <c:scaling>
          <c:orientation val="minMax"/>
        </c:scaling>
        <c:axPos val="b"/>
        <c:numFmt formatCode="yyyy/mm;@" sourceLinked="0"/>
        <c:tickLblPos val="nextTo"/>
        <c:txPr>
          <a:bodyPr/>
          <a:lstStyle/>
          <a:p>
            <a:pPr>
              <a:defRPr sz="800">
                <a:latin typeface="Arial Unicode MS" pitchFamily="34" charset="-122"/>
                <a:ea typeface="Arial Unicode MS" pitchFamily="34" charset="-122"/>
                <a:cs typeface="Arial Unicode MS" pitchFamily="34" charset="-122"/>
              </a:defRPr>
            </a:pPr>
            <a:endParaRPr lang="zh-CN"/>
          </a:p>
        </c:txPr>
        <c:crossAx val="143744384"/>
        <c:crosses val="autoZero"/>
        <c:lblAlgn val="ctr"/>
        <c:lblOffset val="100"/>
      </c:catAx>
      <c:valAx>
        <c:axId val="143744384"/>
        <c:scaling>
          <c:orientation val="minMax"/>
          <c:min val="35"/>
        </c:scaling>
        <c:axPos val="l"/>
        <c:majorGridlines>
          <c:spPr>
            <a:ln>
              <a:prstDash val="dashDot"/>
            </a:ln>
          </c:spPr>
        </c:majorGridlines>
        <c:numFmt formatCode="###,###,###,###,##0.00_ " sourceLinked="1"/>
        <c:tickLblPos val="nextTo"/>
        <c:txPr>
          <a:bodyPr/>
          <a:lstStyle/>
          <a:p>
            <a:pPr>
              <a:defRPr sz="900">
                <a:latin typeface="Arial Unicode MS" pitchFamily="34" charset="-122"/>
                <a:ea typeface="Arial Unicode MS" pitchFamily="34" charset="-122"/>
                <a:cs typeface="Arial Unicode MS" pitchFamily="34" charset="-122"/>
              </a:defRPr>
            </a:pPr>
            <a:endParaRPr lang="zh-CN"/>
          </a:p>
        </c:txPr>
        <c:crossAx val="143742848"/>
        <c:crosses val="autoZero"/>
        <c:crossBetween val="between"/>
      </c:valAx>
      <c:spPr>
        <a:ln>
          <a:prstDash val="dashDot"/>
        </a:ln>
      </c:spPr>
    </c:plotArea>
    <c:legend>
      <c:legendPos val="r"/>
      <c:layout>
        <c:manualLayout>
          <c:xMode val="edge"/>
          <c:yMode val="edge"/>
          <c:x val="7.8974270551947431E-2"/>
          <c:y val="1.7750801983085467E-2"/>
          <c:w val="0.91032339023315523"/>
          <c:h val="8.9498396033829308E-2"/>
        </c:manualLayout>
      </c:layout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6071741032370933E-2"/>
          <c:y val="0.1162153689122196"/>
          <c:w val="0.91392825896762908"/>
          <c:h val="0.64488044876743345"/>
        </c:manualLayout>
      </c:layout>
      <c:lineChart>
        <c:grouping val="standard"/>
        <c:ser>
          <c:idx val="0"/>
          <c:order val="0"/>
          <c:tx>
            <c:strRef>
              <c:f>周失业金!$D$1</c:f>
              <c:strCache>
                <c:ptCount val="1"/>
                <c:pt idx="0">
                  <c:v>美国当周初次申请失业金人数(季调)（千人）</c:v>
                </c:pt>
              </c:strCache>
            </c:strRef>
          </c:tx>
          <c:marker>
            <c:symbol val="none"/>
          </c:marker>
          <c:cat>
            <c:numRef>
              <c:f>周失业金!$C$45:$C$100</c:f>
              <c:numCache>
                <c:formatCode>yyyy/mm/dd;@</c:formatCode>
                <c:ptCount val="56"/>
                <c:pt idx="0">
                  <c:v>41216</c:v>
                </c:pt>
                <c:pt idx="1">
                  <c:v>41223</c:v>
                </c:pt>
                <c:pt idx="2">
                  <c:v>41230</c:v>
                </c:pt>
                <c:pt idx="3">
                  <c:v>41237</c:v>
                </c:pt>
                <c:pt idx="4">
                  <c:v>41244</c:v>
                </c:pt>
                <c:pt idx="5">
                  <c:v>41251</c:v>
                </c:pt>
                <c:pt idx="6">
                  <c:v>41258</c:v>
                </c:pt>
                <c:pt idx="7">
                  <c:v>41265</c:v>
                </c:pt>
                <c:pt idx="8">
                  <c:v>41272</c:v>
                </c:pt>
                <c:pt idx="9">
                  <c:v>41279</c:v>
                </c:pt>
                <c:pt idx="10">
                  <c:v>41286</c:v>
                </c:pt>
                <c:pt idx="11">
                  <c:v>41293</c:v>
                </c:pt>
                <c:pt idx="12">
                  <c:v>41300</c:v>
                </c:pt>
                <c:pt idx="13">
                  <c:v>41307</c:v>
                </c:pt>
                <c:pt idx="14">
                  <c:v>41314</c:v>
                </c:pt>
                <c:pt idx="15">
                  <c:v>41321</c:v>
                </c:pt>
                <c:pt idx="16">
                  <c:v>41328</c:v>
                </c:pt>
                <c:pt idx="17">
                  <c:v>41335</c:v>
                </c:pt>
                <c:pt idx="18">
                  <c:v>41342</c:v>
                </c:pt>
                <c:pt idx="19">
                  <c:v>41349</c:v>
                </c:pt>
                <c:pt idx="20">
                  <c:v>41356</c:v>
                </c:pt>
                <c:pt idx="21">
                  <c:v>41363</c:v>
                </c:pt>
                <c:pt idx="22">
                  <c:v>41370</c:v>
                </c:pt>
                <c:pt idx="23">
                  <c:v>41377</c:v>
                </c:pt>
                <c:pt idx="24">
                  <c:v>41384</c:v>
                </c:pt>
                <c:pt idx="25">
                  <c:v>41391</c:v>
                </c:pt>
                <c:pt idx="26">
                  <c:v>41398</c:v>
                </c:pt>
                <c:pt idx="27">
                  <c:v>41405</c:v>
                </c:pt>
                <c:pt idx="28">
                  <c:v>41412</c:v>
                </c:pt>
                <c:pt idx="29">
                  <c:v>41419</c:v>
                </c:pt>
                <c:pt idx="30">
                  <c:v>41426</c:v>
                </c:pt>
                <c:pt idx="31">
                  <c:v>41433</c:v>
                </c:pt>
                <c:pt idx="32">
                  <c:v>41440</c:v>
                </c:pt>
                <c:pt idx="33">
                  <c:v>41447</c:v>
                </c:pt>
                <c:pt idx="34">
                  <c:v>41454</c:v>
                </c:pt>
                <c:pt idx="35">
                  <c:v>41461</c:v>
                </c:pt>
                <c:pt idx="36">
                  <c:v>41468</c:v>
                </c:pt>
                <c:pt idx="37">
                  <c:v>41475</c:v>
                </c:pt>
                <c:pt idx="38">
                  <c:v>41482</c:v>
                </c:pt>
                <c:pt idx="39">
                  <c:v>41489</c:v>
                </c:pt>
                <c:pt idx="40">
                  <c:v>41496</c:v>
                </c:pt>
                <c:pt idx="41">
                  <c:v>41503</c:v>
                </c:pt>
                <c:pt idx="42">
                  <c:v>41510</c:v>
                </c:pt>
                <c:pt idx="43">
                  <c:v>41517</c:v>
                </c:pt>
                <c:pt idx="44">
                  <c:v>41524</c:v>
                </c:pt>
                <c:pt idx="45">
                  <c:v>41531</c:v>
                </c:pt>
                <c:pt idx="46">
                  <c:v>41538</c:v>
                </c:pt>
                <c:pt idx="47">
                  <c:v>41545</c:v>
                </c:pt>
                <c:pt idx="48">
                  <c:v>41552</c:v>
                </c:pt>
                <c:pt idx="49">
                  <c:v>41559</c:v>
                </c:pt>
                <c:pt idx="50">
                  <c:v>41566</c:v>
                </c:pt>
                <c:pt idx="51">
                  <c:v>41573</c:v>
                </c:pt>
                <c:pt idx="52">
                  <c:v>41580</c:v>
                </c:pt>
                <c:pt idx="53">
                  <c:v>41587</c:v>
                </c:pt>
                <c:pt idx="54">
                  <c:v>41594</c:v>
                </c:pt>
                <c:pt idx="55">
                  <c:v>41601</c:v>
                </c:pt>
              </c:numCache>
            </c:numRef>
          </c:cat>
          <c:val>
            <c:numRef>
              <c:f>周失业金!$D$45:$D$100</c:f>
              <c:numCache>
                <c:formatCode>General</c:formatCode>
                <c:ptCount val="56"/>
                <c:pt idx="0">
                  <c:v>361</c:v>
                </c:pt>
                <c:pt idx="1">
                  <c:v>451</c:v>
                </c:pt>
                <c:pt idx="2">
                  <c:v>416</c:v>
                </c:pt>
                <c:pt idx="3">
                  <c:v>395</c:v>
                </c:pt>
                <c:pt idx="4">
                  <c:v>371</c:v>
                </c:pt>
                <c:pt idx="5">
                  <c:v>344</c:v>
                </c:pt>
                <c:pt idx="6">
                  <c:v>362</c:v>
                </c:pt>
                <c:pt idx="7">
                  <c:v>363</c:v>
                </c:pt>
                <c:pt idx="8">
                  <c:v>367</c:v>
                </c:pt>
                <c:pt idx="9">
                  <c:v>375</c:v>
                </c:pt>
                <c:pt idx="10">
                  <c:v>335</c:v>
                </c:pt>
                <c:pt idx="11">
                  <c:v>330</c:v>
                </c:pt>
                <c:pt idx="12">
                  <c:v>371</c:v>
                </c:pt>
                <c:pt idx="13">
                  <c:v>368</c:v>
                </c:pt>
                <c:pt idx="14">
                  <c:v>342</c:v>
                </c:pt>
                <c:pt idx="15">
                  <c:v>366</c:v>
                </c:pt>
                <c:pt idx="16">
                  <c:v>347</c:v>
                </c:pt>
                <c:pt idx="17">
                  <c:v>342</c:v>
                </c:pt>
                <c:pt idx="18">
                  <c:v>334</c:v>
                </c:pt>
                <c:pt idx="19">
                  <c:v>341</c:v>
                </c:pt>
                <c:pt idx="20">
                  <c:v>357</c:v>
                </c:pt>
                <c:pt idx="21">
                  <c:v>388</c:v>
                </c:pt>
                <c:pt idx="22">
                  <c:v>348</c:v>
                </c:pt>
                <c:pt idx="23">
                  <c:v>355</c:v>
                </c:pt>
                <c:pt idx="24">
                  <c:v>342</c:v>
                </c:pt>
                <c:pt idx="25">
                  <c:v>327</c:v>
                </c:pt>
                <c:pt idx="26">
                  <c:v>328</c:v>
                </c:pt>
                <c:pt idx="27">
                  <c:v>363</c:v>
                </c:pt>
                <c:pt idx="28">
                  <c:v>344</c:v>
                </c:pt>
                <c:pt idx="29">
                  <c:v>357</c:v>
                </c:pt>
                <c:pt idx="30">
                  <c:v>346</c:v>
                </c:pt>
                <c:pt idx="31">
                  <c:v>336</c:v>
                </c:pt>
                <c:pt idx="32">
                  <c:v>355</c:v>
                </c:pt>
                <c:pt idx="33">
                  <c:v>348</c:v>
                </c:pt>
                <c:pt idx="34">
                  <c:v>344</c:v>
                </c:pt>
                <c:pt idx="35">
                  <c:v>358</c:v>
                </c:pt>
                <c:pt idx="36">
                  <c:v>336</c:v>
                </c:pt>
                <c:pt idx="37">
                  <c:v>345</c:v>
                </c:pt>
                <c:pt idx="38">
                  <c:v>328</c:v>
                </c:pt>
                <c:pt idx="39">
                  <c:v>335</c:v>
                </c:pt>
                <c:pt idx="40">
                  <c:v>322</c:v>
                </c:pt>
                <c:pt idx="41">
                  <c:v>337</c:v>
                </c:pt>
                <c:pt idx="42">
                  <c:v>333</c:v>
                </c:pt>
                <c:pt idx="43">
                  <c:v>323</c:v>
                </c:pt>
                <c:pt idx="44">
                  <c:v>294</c:v>
                </c:pt>
                <c:pt idx="45">
                  <c:v>311</c:v>
                </c:pt>
                <c:pt idx="46">
                  <c:v>307</c:v>
                </c:pt>
                <c:pt idx="47">
                  <c:v>308</c:v>
                </c:pt>
                <c:pt idx="48">
                  <c:v>373</c:v>
                </c:pt>
                <c:pt idx="49">
                  <c:v>362</c:v>
                </c:pt>
                <c:pt idx="50">
                  <c:v>350</c:v>
                </c:pt>
                <c:pt idx="51">
                  <c:v>346</c:v>
                </c:pt>
                <c:pt idx="52">
                  <c:v>341</c:v>
                </c:pt>
                <c:pt idx="53">
                  <c:v>344</c:v>
                </c:pt>
                <c:pt idx="54">
                  <c:v>326</c:v>
                </c:pt>
                <c:pt idx="55">
                  <c:v>316</c:v>
                </c:pt>
              </c:numCache>
            </c:numRef>
          </c:val>
        </c:ser>
        <c:marker val="1"/>
        <c:axId val="143829632"/>
        <c:axId val="143749504"/>
      </c:lineChart>
      <c:dateAx>
        <c:axId val="143829632"/>
        <c:scaling>
          <c:orientation val="minMax"/>
        </c:scaling>
        <c:axPos val="b"/>
        <c:numFmt formatCode="yyyy/mm/dd;@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3749504"/>
        <c:crosses val="autoZero"/>
        <c:auto val="1"/>
        <c:lblOffset val="100"/>
      </c:dateAx>
      <c:valAx>
        <c:axId val="143749504"/>
        <c:scaling>
          <c:orientation val="minMax"/>
        </c:scaling>
        <c:axPos val="l"/>
        <c:majorGridlines>
          <c:spPr>
            <a:ln w="9525" cmpd="dbl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lgDashDot"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3829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555555555555562"/>
          <c:y val="4.0536599591717831E-3"/>
          <c:w val="0.83611111111111114"/>
          <c:h val="0.11226268591426072"/>
        </c:manualLayout>
      </c:layout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autoTitleDeleted val="1"/>
    <c:plotArea>
      <c:layout>
        <c:manualLayout>
          <c:layoutTarget val="inner"/>
          <c:xMode val="edge"/>
          <c:yMode val="edge"/>
          <c:x val="7.2892463175199193E-2"/>
          <c:y val="0.15106026032460229"/>
          <c:w val="0.89870018027106047"/>
          <c:h val="0.59204070919706353"/>
        </c:manualLayout>
      </c:layout>
      <c:lineChart>
        <c:grouping val="standard"/>
        <c:ser>
          <c:idx val="0"/>
          <c:order val="0"/>
          <c:tx>
            <c:strRef>
              <c:f>'10年期国债收益率'!$B$231</c:f>
              <c:strCache>
                <c:ptCount val="1"/>
                <c:pt idx="0">
                  <c:v>美国10年期公债殖利率（%）</c:v>
                </c:pt>
              </c:strCache>
            </c:strRef>
          </c:tx>
          <c:marker>
            <c:symbol val="none"/>
          </c:marker>
          <c:cat>
            <c:numRef>
              <c:f>'10年期国债收益率'!$A$232:$A$294</c:f>
              <c:numCache>
                <c:formatCode>yyyy/mm/dd;@</c:formatCode>
                <c:ptCount val="63"/>
                <c:pt idx="0">
                  <c:v>41520</c:v>
                </c:pt>
                <c:pt idx="1">
                  <c:v>41521</c:v>
                </c:pt>
                <c:pt idx="2">
                  <c:v>41522</c:v>
                </c:pt>
                <c:pt idx="3">
                  <c:v>41523</c:v>
                </c:pt>
                <c:pt idx="4">
                  <c:v>41526</c:v>
                </c:pt>
                <c:pt idx="5">
                  <c:v>41527</c:v>
                </c:pt>
                <c:pt idx="6">
                  <c:v>41528</c:v>
                </c:pt>
                <c:pt idx="7">
                  <c:v>41529</c:v>
                </c:pt>
                <c:pt idx="8">
                  <c:v>41530</c:v>
                </c:pt>
                <c:pt idx="9">
                  <c:v>41533</c:v>
                </c:pt>
                <c:pt idx="10">
                  <c:v>41534</c:v>
                </c:pt>
                <c:pt idx="11">
                  <c:v>41535</c:v>
                </c:pt>
                <c:pt idx="12">
                  <c:v>41536</c:v>
                </c:pt>
                <c:pt idx="13">
                  <c:v>41537</c:v>
                </c:pt>
                <c:pt idx="14">
                  <c:v>41540</c:v>
                </c:pt>
                <c:pt idx="15">
                  <c:v>41541</c:v>
                </c:pt>
                <c:pt idx="16">
                  <c:v>41542</c:v>
                </c:pt>
                <c:pt idx="17">
                  <c:v>41543</c:v>
                </c:pt>
                <c:pt idx="18">
                  <c:v>41544</c:v>
                </c:pt>
                <c:pt idx="19">
                  <c:v>41547</c:v>
                </c:pt>
                <c:pt idx="20">
                  <c:v>41548</c:v>
                </c:pt>
                <c:pt idx="21">
                  <c:v>41549</c:v>
                </c:pt>
                <c:pt idx="22">
                  <c:v>41550</c:v>
                </c:pt>
                <c:pt idx="23">
                  <c:v>41551</c:v>
                </c:pt>
                <c:pt idx="24">
                  <c:v>41554</c:v>
                </c:pt>
                <c:pt idx="25">
                  <c:v>41555</c:v>
                </c:pt>
                <c:pt idx="26">
                  <c:v>41556</c:v>
                </c:pt>
                <c:pt idx="27">
                  <c:v>41557</c:v>
                </c:pt>
                <c:pt idx="28">
                  <c:v>41558</c:v>
                </c:pt>
                <c:pt idx="29">
                  <c:v>41562</c:v>
                </c:pt>
                <c:pt idx="30">
                  <c:v>41563</c:v>
                </c:pt>
                <c:pt idx="31">
                  <c:v>41564</c:v>
                </c:pt>
                <c:pt idx="32">
                  <c:v>41565</c:v>
                </c:pt>
                <c:pt idx="33">
                  <c:v>41568</c:v>
                </c:pt>
                <c:pt idx="34">
                  <c:v>41569</c:v>
                </c:pt>
                <c:pt idx="35">
                  <c:v>41570</c:v>
                </c:pt>
                <c:pt idx="36">
                  <c:v>41571</c:v>
                </c:pt>
                <c:pt idx="37">
                  <c:v>41572</c:v>
                </c:pt>
                <c:pt idx="38">
                  <c:v>41575</c:v>
                </c:pt>
                <c:pt idx="39">
                  <c:v>41576</c:v>
                </c:pt>
                <c:pt idx="40">
                  <c:v>41577</c:v>
                </c:pt>
                <c:pt idx="41">
                  <c:v>41578</c:v>
                </c:pt>
                <c:pt idx="42">
                  <c:v>41579</c:v>
                </c:pt>
                <c:pt idx="43">
                  <c:v>41582</c:v>
                </c:pt>
                <c:pt idx="44">
                  <c:v>41583</c:v>
                </c:pt>
                <c:pt idx="45">
                  <c:v>41584</c:v>
                </c:pt>
                <c:pt idx="46">
                  <c:v>41585</c:v>
                </c:pt>
                <c:pt idx="47">
                  <c:v>41586</c:v>
                </c:pt>
                <c:pt idx="48">
                  <c:v>41590</c:v>
                </c:pt>
                <c:pt idx="49">
                  <c:v>41591</c:v>
                </c:pt>
                <c:pt idx="50">
                  <c:v>41592</c:v>
                </c:pt>
                <c:pt idx="51">
                  <c:v>41593</c:v>
                </c:pt>
                <c:pt idx="52">
                  <c:v>41596</c:v>
                </c:pt>
                <c:pt idx="53">
                  <c:v>41597</c:v>
                </c:pt>
                <c:pt idx="54">
                  <c:v>41598</c:v>
                </c:pt>
                <c:pt idx="55">
                  <c:v>41599</c:v>
                </c:pt>
                <c:pt idx="56">
                  <c:v>41600</c:v>
                </c:pt>
                <c:pt idx="57">
                  <c:v>41603</c:v>
                </c:pt>
                <c:pt idx="58">
                  <c:v>41604</c:v>
                </c:pt>
                <c:pt idx="59">
                  <c:v>41605</c:v>
                </c:pt>
                <c:pt idx="60">
                  <c:v>41607</c:v>
                </c:pt>
                <c:pt idx="61">
                  <c:v>41610</c:v>
                </c:pt>
                <c:pt idx="62">
                  <c:v>41611</c:v>
                </c:pt>
              </c:numCache>
            </c:numRef>
          </c:cat>
          <c:val>
            <c:numRef>
              <c:f>'10年期国债收益率'!$B$232:$B$294</c:f>
              <c:numCache>
                <c:formatCode>0.00_);[Red]\(0.00\)</c:formatCode>
                <c:ptCount val="63"/>
                <c:pt idx="0">
                  <c:v>2.86</c:v>
                </c:pt>
                <c:pt idx="1">
                  <c:v>2.9</c:v>
                </c:pt>
                <c:pt idx="2">
                  <c:v>2.98</c:v>
                </c:pt>
                <c:pt idx="3">
                  <c:v>2.94</c:v>
                </c:pt>
                <c:pt idx="4">
                  <c:v>2.9</c:v>
                </c:pt>
                <c:pt idx="5">
                  <c:v>2.96</c:v>
                </c:pt>
                <c:pt idx="6">
                  <c:v>2.9299999999999997</c:v>
                </c:pt>
                <c:pt idx="7">
                  <c:v>2.92</c:v>
                </c:pt>
                <c:pt idx="8">
                  <c:v>2.9</c:v>
                </c:pt>
                <c:pt idx="9">
                  <c:v>2.88</c:v>
                </c:pt>
                <c:pt idx="10">
                  <c:v>2.86</c:v>
                </c:pt>
                <c:pt idx="11">
                  <c:v>2.69</c:v>
                </c:pt>
                <c:pt idx="12">
                  <c:v>2.7600000000000002</c:v>
                </c:pt>
                <c:pt idx="13">
                  <c:v>2.75</c:v>
                </c:pt>
                <c:pt idx="14">
                  <c:v>2.72</c:v>
                </c:pt>
                <c:pt idx="15">
                  <c:v>2.67</c:v>
                </c:pt>
                <c:pt idx="16">
                  <c:v>2.63</c:v>
                </c:pt>
                <c:pt idx="17">
                  <c:v>2.66</c:v>
                </c:pt>
                <c:pt idx="18">
                  <c:v>2.64</c:v>
                </c:pt>
                <c:pt idx="19">
                  <c:v>2.64</c:v>
                </c:pt>
                <c:pt idx="20">
                  <c:v>2.66</c:v>
                </c:pt>
                <c:pt idx="21">
                  <c:v>2.63</c:v>
                </c:pt>
                <c:pt idx="22">
                  <c:v>2.62</c:v>
                </c:pt>
                <c:pt idx="23">
                  <c:v>2.66</c:v>
                </c:pt>
                <c:pt idx="24">
                  <c:v>2.65</c:v>
                </c:pt>
                <c:pt idx="25">
                  <c:v>2.66</c:v>
                </c:pt>
                <c:pt idx="26">
                  <c:v>2.68</c:v>
                </c:pt>
                <c:pt idx="27">
                  <c:v>2.71</c:v>
                </c:pt>
                <c:pt idx="28">
                  <c:v>2.7</c:v>
                </c:pt>
                <c:pt idx="29">
                  <c:v>2.75</c:v>
                </c:pt>
                <c:pt idx="30">
                  <c:v>2.69</c:v>
                </c:pt>
                <c:pt idx="31">
                  <c:v>2.61</c:v>
                </c:pt>
                <c:pt idx="32">
                  <c:v>2.6</c:v>
                </c:pt>
                <c:pt idx="33">
                  <c:v>2.63</c:v>
                </c:pt>
                <c:pt idx="34">
                  <c:v>2.54</c:v>
                </c:pt>
                <c:pt idx="35">
                  <c:v>2.5099999999999998</c:v>
                </c:pt>
                <c:pt idx="36">
                  <c:v>2.5299999999999998</c:v>
                </c:pt>
                <c:pt idx="37">
                  <c:v>2.5299999999999998</c:v>
                </c:pt>
                <c:pt idx="38">
                  <c:v>2.54</c:v>
                </c:pt>
                <c:pt idx="39">
                  <c:v>2.5299999999999998</c:v>
                </c:pt>
                <c:pt idx="40">
                  <c:v>2.5499999999999998</c:v>
                </c:pt>
                <c:pt idx="41">
                  <c:v>2.57</c:v>
                </c:pt>
                <c:pt idx="42">
                  <c:v>2.65</c:v>
                </c:pt>
                <c:pt idx="43">
                  <c:v>2.63</c:v>
                </c:pt>
                <c:pt idx="44">
                  <c:v>2.69</c:v>
                </c:pt>
                <c:pt idx="45">
                  <c:v>2.67</c:v>
                </c:pt>
                <c:pt idx="46">
                  <c:v>2.63</c:v>
                </c:pt>
                <c:pt idx="47">
                  <c:v>2.77</c:v>
                </c:pt>
                <c:pt idx="48">
                  <c:v>2.8</c:v>
                </c:pt>
                <c:pt idx="49">
                  <c:v>2.75</c:v>
                </c:pt>
                <c:pt idx="50">
                  <c:v>2.69</c:v>
                </c:pt>
                <c:pt idx="51">
                  <c:v>2.71</c:v>
                </c:pt>
                <c:pt idx="52">
                  <c:v>2.67</c:v>
                </c:pt>
                <c:pt idx="53">
                  <c:v>2.71</c:v>
                </c:pt>
                <c:pt idx="54">
                  <c:v>2.8</c:v>
                </c:pt>
                <c:pt idx="55">
                  <c:v>2.79</c:v>
                </c:pt>
                <c:pt idx="56">
                  <c:v>2.75</c:v>
                </c:pt>
                <c:pt idx="57">
                  <c:v>2.74</c:v>
                </c:pt>
                <c:pt idx="58">
                  <c:v>2.71</c:v>
                </c:pt>
                <c:pt idx="59">
                  <c:v>2.74</c:v>
                </c:pt>
                <c:pt idx="60">
                  <c:v>2.75</c:v>
                </c:pt>
                <c:pt idx="61">
                  <c:v>2.8099999999999987</c:v>
                </c:pt>
                <c:pt idx="62">
                  <c:v>2.79</c:v>
                </c:pt>
              </c:numCache>
            </c:numRef>
          </c:val>
        </c:ser>
        <c:marker val="1"/>
        <c:axId val="143805824"/>
        <c:axId val="143824000"/>
      </c:lineChart>
      <c:dateAx>
        <c:axId val="143805824"/>
        <c:scaling>
          <c:orientation val="minMax"/>
        </c:scaling>
        <c:axPos val="b"/>
        <c:numFmt formatCode="yyyy/mm/dd;@" sourceLinked="0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143824000"/>
        <c:crosses val="autoZero"/>
        <c:auto val="1"/>
        <c:lblOffset val="100"/>
      </c:dateAx>
      <c:valAx>
        <c:axId val="143824000"/>
        <c:scaling>
          <c:orientation val="minMax"/>
        </c:scaling>
        <c:axPos val="l"/>
        <c:majorGridlines>
          <c:spPr>
            <a:ln>
              <a:prstDash val="dashDot"/>
            </a:ln>
          </c:spPr>
        </c:majorGridlines>
        <c:numFmt formatCode="0.00_);[Red]\(0.00\)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3805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0427326477428813E-3"/>
          <c:y val="4.2457549949113582E-3"/>
          <c:w val="0.99127133129711087"/>
          <c:h val="0.167434356419733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7.9810757082727293E-2"/>
          <c:y val="0.1163630067074949"/>
          <c:w val="0.86908284560339799"/>
          <c:h val="0.83936533974919803"/>
        </c:manualLayout>
      </c:layout>
      <c:lineChart>
        <c:grouping val="standard"/>
        <c:ser>
          <c:idx val="0"/>
          <c:order val="0"/>
          <c:tx>
            <c:strRef>
              <c:f>Sheet4!$B$1</c:f>
              <c:strCache>
                <c:ptCount val="1"/>
                <c:pt idx="0">
                  <c:v>上周EIA原油库存变化（万桶）</c:v>
                </c:pt>
              </c:strCache>
            </c:strRef>
          </c:tx>
          <c:cat>
            <c:numRef>
              <c:f>Sheet4!$A$2:$A$12</c:f>
              <c:numCache>
                <c:formatCode>yyyy/mm/dd</c:formatCode>
                <c:ptCount val="11"/>
                <c:pt idx="0">
                  <c:v>41544</c:v>
                </c:pt>
                <c:pt idx="1">
                  <c:v>41551</c:v>
                </c:pt>
                <c:pt idx="2">
                  <c:v>41558</c:v>
                </c:pt>
                <c:pt idx="3">
                  <c:v>41565</c:v>
                </c:pt>
                <c:pt idx="4">
                  <c:v>41572</c:v>
                </c:pt>
                <c:pt idx="5">
                  <c:v>41579</c:v>
                </c:pt>
                <c:pt idx="6">
                  <c:v>41586</c:v>
                </c:pt>
                <c:pt idx="7">
                  <c:v>41593</c:v>
                </c:pt>
                <c:pt idx="8">
                  <c:v>41600</c:v>
                </c:pt>
                <c:pt idx="9">
                  <c:v>41607</c:v>
                </c:pt>
                <c:pt idx="10">
                  <c:v>41612</c:v>
                </c:pt>
              </c:numCache>
            </c:numRef>
          </c:cat>
          <c:val>
            <c:numRef>
              <c:f>Sheet4!$B$2:$B$12</c:f>
              <c:numCache>
                <c:formatCode>General</c:formatCode>
                <c:ptCount val="11"/>
                <c:pt idx="0">
                  <c:v>263.5</c:v>
                </c:pt>
                <c:pt idx="1">
                  <c:v>547.20000000000005</c:v>
                </c:pt>
                <c:pt idx="2">
                  <c:v>681</c:v>
                </c:pt>
                <c:pt idx="3">
                  <c:v>400</c:v>
                </c:pt>
                <c:pt idx="4">
                  <c:v>524.6</c:v>
                </c:pt>
                <c:pt idx="5">
                  <c:v>408.7</c:v>
                </c:pt>
                <c:pt idx="6">
                  <c:v>160</c:v>
                </c:pt>
                <c:pt idx="7">
                  <c:v>260</c:v>
                </c:pt>
                <c:pt idx="8">
                  <c:v>37.5</c:v>
                </c:pt>
                <c:pt idx="9">
                  <c:v>300</c:v>
                </c:pt>
                <c:pt idx="10">
                  <c:v>-559</c:v>
                </c:pt>
              </c:numCache>
            </c:numRef>
          </c:val>
        </c:ser>
        <c:marker val="1"/>
        <c:axId val="143849728"/>
        <c:axId val="144048128"/>
      </c:lineChart>
      <c:lineChart>
        <c:grouping val="standard"/>
        <c:ser>
          <c:idx val="1"/>
          <c:order val="1"/>
          <c:tx>
            <c:strRef>
              <c:f>Sheet4!$C$1</c:f>
              <c:strCache>
                <c:ptCount val="1"/>
                <c:pt idx="0">
                  <c:v>NYMEX原油（美元/桶）</c:v>
                </c:pt>
              </c:strCache>
            </c:strRef>
          </c:tx>
          <c:cat>
            <c:numRef>
              <c:f>Sheet4!$A$2:$A$12</c:f>
              <c:numCache>
                <c:formatCode>yyyy/mm/dd</c:formatCode>
                <c:ptCount val="11"/>
                <c:pt idx="0">
                  <c:v>41544</c:v>
                </c:pt>
                <c:pt idx="1">
                  <c:v>41551</c:v>
                </c:pt>
                <c:pt idx="2">
                  <c:v>41558</c:v>
                </c:pt>
                <c:pt idx="3">
                  <c:v>41565</c:v>
                </c:pt>
                <c:pt idx="4">
                  <c:v>41572</c:v>
                </c:pt>
                <c:pt idx="5">
                  <c:v>41579</c:v>
                </c:pt>
                <c:pt idx="6">
                  <c:v>41586</c:v>
                </c:pt>
                <c:pt idx="7">
                  <c:v>41593</c:v>
                </c:pt>
                <c:pt idx="8">
                  <c:v>41600</c:v>
                </c:pt>
                <c:pt idx="9">
                  <c:v>41607</c:v>
                </c:pt>
                <c:pt idx="10">
                  <c:v>41612</c:v>
                </c:pt>
              </c:numCache>
            </c:numRef>
          </c:cat>
          <c:val>
            <c:numRef>
              <c:f>Sheet4!$C$2:$C$12</c:f>
              <c:numCache>
                <c:formatCode>General</c:formatCode>
                <c:ptCount val="11"/>
                <c:pt idx="0">
                  <c:v>102.81</c:v>
                </c:pt>
                <c:pt idx="1">
                  <c:v>103.66999999999999</c:v>
                </c:pt>
                <c:pt idx="2">
                  <c:v>101.74000000000002</c:v>
                </c:pt>
                <c:pt idx="3">
                  <c:v>101.14999999999999</c:v>
                </c:pt>
                <c:pt idx="4">
                  <c:v>97.9</c:v>
                </c:pt>
                <c:pt idx="5">
                  <c:v>94.6</c:v>
                </c:pt>
                <c:pt idx="6">
                  <c:v>94.6</c:v>
                </c:pt>
                <c:pt idx="7">
                  <c:v>93.740000000000023</c:v>
                </c:pt>
                <c:pt idx="8">
                  <c:v>94.72</c:v>
                </c:pt>
                <c:pt idx="9">
                  <c:v>92.78</c:v>
                </c:pt>
                <c:pt idx="10">
                  <c:v>97.240000000000023</c:v>
                </c:pt>
              </c:numCache>
            </c:numRef>
          </c:val>
        </c:ser>
        <c:marker val="1"/>
        <c:axId val="144051200"/>
        <c:axId val="144049664"/>
      </c:lineChart>
      <c:dateAx>
        <c:axId val="143849728"/>
        <c:scaling>
          <c:orientation val="minMax"/>
        </c:scaling>
        <c:axPos val="b"/>
        <c:numFmt formatCode="yyyy/mm/dd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4048128"/>
        <c:crosses val="autoZero"/>
        <c:auto val="1"/>
        <c:lblOffset val="100"/>
      </c:dateAx>
      <c:valAx>
        <c:axId val="144048128"/>
        <c:scaling>
          <c:orientation val="minMax"/>
        </c:scaling>
        <c:axPos val="l"/>
        <c:majorGridlines>
          <c:spPr>
            <a:ln>
              <a:prstDash val="lgDashDot"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3849728"/>
        <c:crosses val="autoZero"/>
        <c:crossBetween val="between"/>
      </c:valAx>
      <c:valAx>
        <c:axId val="144049664"/>
        <c:scaling>
          <c:orientation val="minMax"/>
        </c:scaling>
        <c:axPos val="r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44051200"/>
        <c:crosses val="max"/>
        <c:crossBetween val="between"/>
      </c:valAx>
      <c:dateAx>
        <c:axId val="144051200"/>
        <c:scaling>
          <c:orientation val="minMax"/>
        </c:scaling>
        <c:delete val="1"/>
        <c:axPos val="b"/>
        <c:numFmt formatCode="yyyy/mm/dd" sourceLinked="1"/>
        <c:tickLblPos val="none"/>
        <c:crossAx val="144049664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8.5679360601786728E-2"/>
          <c:y val="8.8754009915427735E-3"/>
          <c:w val="0.85790314997649253"/>
          <c:h val="0.11650845727617395"/>
        </c:manualLayout>
      </c:layout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437729658792699"/>
          <c:y val="6.3566546369203863E-2"/>
          <c:w val="0.74081714785651798"/>
          <c:h val="0.85292067063045907"/>
        </c:manualLayout>
      </c:layout>
      <c:barChart>
        <c:barDir val="bar"/>
        <c:grouping val="clustered"/>
        <c:ser>
          <c:idx val="0"/>
          <c:order val="0"/>
          <c:tx>
            <c:strRef>
              <c:f>Sheet3!$B$1</c:f>
              <c:strCache>
                <c:ptCount val="1"/>
                <c:pt idx="0">
                  <c:v>年初以来涨跌幅（%）</c:v>
                </c:pt>
              </c:strCache>
            </c:strRef>
          </c:tx>
          <c:dLbls>
            <c:dLbl>
              <c:idx val="1"/>
              <c:layout>
                <c:manualLayout>
                  <c:x val="6.9444444444444434E-2"/>
                  <c:y val="-9.9772090054688742E-17"/>
                </c:manualLayout>
              </c:layout>
              <c:showVal val="1"/>
            </c:dLbl>
            <c:dLbl>
              <c:idx val="2"/>
              <c:layout>
                <c:manualLayout>
                  <c:x val="8.3335520559930289E-3"/>
                  <c:y val="3.4722222222222242E-3"/>
                </c:manualLayout>
              </c:layout>
              <c:showVal val="1"/>
            </c:dLbl>
            <c:dLbl>
              <c:idx val="3"/>
              <c:layout>
                <c:manualLayout>
                  <c:x val="7.2222222222222368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5000000000000001E-2"/>
                  <c:y val="-2.7210884353741477E-3"/>
                </c:manualLayout>
              </c:layout>
              <c:showVal val="1"/>
            </c:dLbl>
            <c:dLbl>
              <c:idx val="7"/>
              <c:layout>
                <c:manualLayout>
                  <c:x val="0.10277777777777777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4.7222222222222332E-2"/>
                  <c:y val="-2.4943022513672195E-17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Sheet3!$A$2:$A$11</c:f>
              <c:strCache>
                <c:ptCount val="10"/>
                <c:pt idx="0">
                  <c:v>商品型</c:v>
                </c:pt>
                <c:pt idx="1">
                  <c:v>新兴市场股票型</c:v>
                </c:pt>
                <c:pt idx="2">
                  <c:v>房地产信托基金</c:v>
                </c:pt>
                <c:pt idx="3">
                  <c:v>债券型</c:v>
                </c:pt>
                <c:pt idx="4">
                  <c:v>行业股票型</c:v>
                </c:pt>
                <c:pt idx="5">
                  <c:v>全球股票型</c:v>
                </c:pt>
                <c:pt idx="6">
                  <c:v>亚太区股票型</c:v>
                </c:pt>
                <c:pt idx="7">
                  <c:v>大中华区股票型</c:v>
                </c:pt>
                <c:pt idx="8">
                  <c:v>美国股票型</c:v>
                </c:pt>
                <c:pt idx="9">
                  <c:v>混合型</c:v>
                </c:pt>
              </c:strCache>
            </c:strRef>
          </c:cat>
          <c:val>
            <c:numRef>
              <c:f>Sheet3!$B$2:$B$11</c:f>
              <c:numCache>
                <c:formatCode>0.00_ </c:formatCode>
                <c:ptCount val="10"/>
                <c:pt idx="0">
                  <c:v>-21.622796714285716</c:v>
                </c:pt>
                <c:pt idx="1">
                  <c:v>-5.0080780000000003</c:v>
                </c:pt>
                <c:pt idx="2">
                  <c:v>-2.5374223333333337</c:v>
                </c:pt>
                <c:pt idx="3">
                  <c:v>2.0338723333333331</c:v>
                </c:pt>
                <c:pt idx="4">
                  <c:v>8.6233540000000009</c:v>
                </c:pt>
                <c:pt idx="5">
                  <c:v>9.1315495833333333</c:v>
                </c:pt>
                <c:pt idx="6">
                  <c:v>9.2178397142857147</c:v>
                </c:pt>
                <c:pt idx="7">
                  <c:v>10.833295266666671</c:v>
                </c:pt>
                <c:pt idx="8">
                  <c:v>25.06544079999999</c:v>
                </c:pt>
              </c:numCache>
            </c:numRef>
          </c:val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11月涨跌幅（%）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8194444444444448E-2"/>
                </c:manualLayout>
              </c:layout>
              <c:showVal val="1"/>
            </c:dLbl>
            <c:dLbl>
              <c:idx val="1"/>
              <c:layout>
                <c:manualLayout>
                  <c:x val="-5.5553368328958878E-3"/>
                  <c:y val="-4.5138888888888888E-2"/>
                </c:manualLayout>
              </c:layout>
              <c:showVal val="1"/>
            </c:dLbl>
            <c:dLbl>
              <c:idx val="2"/>
              <c:layout>
                <c:manualLayout>
                  <c:x val="4.4444881889763733E-2"/>
                  <c:y val="3.4722222222222242E-3"/>
                </c:manualLayout>
              </c:layout>
              <c:showVal val="1"/>
            </c:dLbl>
            <c:dLbl>
              <c:idx val="3"/>
              <c:layout>
                <c:manualLayout>
                  <c:x val="3.0555555555555582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2.7777777777777913E-3"/>
                  <c:y val="-4.1666666666666664E-2"/>
                </c:manualLayout>
              </c:layout>
              <c:showVal val="1"/>
            </c:dLbl>
            <c:dLbl>
              <c:idx val="6"/>
              <c:layout>
                <c:manualLayout>
                  <c:x val="-2.7777777777777913E-3"/>
                  <c:y val="-3.8194444444444448E-2"/>
                </c:manualLayout>
              </c:layout>
              <c:showVal val="1"/>
            </c:dLbl>
            <c:dLbl>
              <c:idx val="7"/>
              <c:layout>
                <c:manualLayout>
                  <c:x val="-1.3888888888888926E-2"/>
                  <c:y val="-3.125E-2"/>
                </c:manualLayout>
              </c:layout>
              <c:showVal val="1"/>
            </c:dLbl>
            <c:dLbl>
              <c:idx val="8"/>
              <c:layout>
                <c:manualLayout>
                  <c:x val="2.7777777777777913E-3"/>
                  <c:y val="-3.8194444444444427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accent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Sheet3!$A$2:$A$11</c:f>
              <c:strCache>
                <c:ptCount val="10"/>
                <c:pt idx="0">
                  <c:v>商品型</c:v>
                </c:pt>
                <c:pt idx="1">
                  <c:v>新兴市场股票型</c:v>
                </c:pt>
                <c:pt idx="2">
                  <c:v>房地产信托基金</c:v>
                </c:pt>
                <c:pt idx="3">
                  <c:v>债券型</c:v>
                </c:pt>
                <c:pt idx="4">
                  <c:v>行业股票型</c:v>
                </c:pt>
                <c:pt idx="5">
                  <c:v>全球股票型</c:v>
                </c:pt>
                <c:pt idx="6">
                  <c:v>亚太区股票型</c:v>
                </c:pt>
                <c:pt idx="7">
                  <c:v>大中华区股票型</c:v>
                </c:pt>
                <c:pt idx="8">
                  <c:v>美国股票型</c:v>
                </c:pt>
                <c:pt idx="9">
                  <c:v>混合型</c:v>
                </c:pt>
              </c:strCache>
            </c:strRef>
          </c:cat>
          <c:val>
            <c:numRef>
              <c:f>Sheet3!$C$2:$C$11</c:f>
              <c:numCache>
                <c:formatCode>0.00_ </c:formatCode>
                <c:ptCount val="10"/>
                <c:pt idx="0">
                  <c:v>-3.7866205714285712</c:v>
                </c:pt>
                <c:pt idx="1">
                  <c:v>-1.043147166666667</c:v>
                </c:pt>
                <c:pt idx="2">
                  <c:v>-4.2714220000000012</c:v>
                </c:pt>
                <c:pt idx="3">
                  <c:v>0.16772566666666669</c:v>
                </c:pt>
                <c:pt idx="4">
                  <c:v>-0.3854017500000001</c:v>
                </c:pt>
                <c:pt idx="5">
                  <c:v>2.0968316666666662</c:v>
                </c:pt>
                <c:pt idx="6">
                  <c:v>2.1079639999999999</c:v>
                </c:pt>
                <c:pt idx="7">
                  <c:v>4.5912192666666662</c:v>
                </c:pt>
                <c:pt idx="8">
                  <c:v>2.5826582222222223</c:v>
                </c:pt>
                <c:pt idx="9">
                  <c:v>-0.72314000000000012</c:v>
                </c:pt>
              </c:numCache>
            </c:numRef>
          </c:val>
        </c:ser>
        <c:overlap val="100"/>
        <c:axId val="144089088"/>
        <c:axId val="144090624"/>
      </c:barChart>
      <c:catAx>
        <c:axId val="144089088"/>
        <c:scaling>
          <c:orientation val="minMax"/>
        </c:scaling>
        <c:axPos val="l"/>
        <c:tickLblPos val="low"/>
        <c:crossAx val="144090624"/>
        <c:crosses val="autoZero"/>
        <c:auto val="1"/>
        <c:lblAlgn val="ctr"/>
        <c:lblOffset val="100"/>
      </c:catAx>
      <c:valAx>
        <c:axId val="144090624"/>
        <c:scaling>
          <c:orientation val="minMax"/>
        </c:scaling>
        <c:axPos val="b"/>
        <c:majorGridlines>
          <c:spPr>
            <a:ln>
              <a:solidFill>
                <a:schemeClr val="bg1">
                  <a:lumMod val="65000"/>
                </a:schemeClr>
              </a:solidFill>
              <a:prstDash val="dash"/>
            </a:ln>
          </c:spPr>
        </c:majorGridlines>
        <c:numFmt formatCode="0.00_ " sourceLinked="1"/>
        <c:tickLblPos val="nextTo"/>
        <c:crossAx val="144089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2097550306211705E-3"/>
          <c:y val="4.5362901065938536E-3"/>
          <c:w val="0.98645691163604388"/>
          <c:h val="6.5757351759601693E-2"/>
        </c:manualLayout>
      </c:layout>
      <c:spPr>
        <a:ln>
          <a:noFill/>
        </a:ln>
      </c:spPr>
    </c:legend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fanjie</dc:creator>
  <cp:lastModifiedBy>fanjie</cp:lastModifiedBy>
  <cp:revision>25</cp:revision>
  <cp:lastPrinted>2013-12-05T05:09:00Z</cp:lastPrinted>
  <dcterms:created xsi:type="dcterms:W3CDTF">2013-12-05T02:41:00Z</dcterms:created>
  <dcterms:modified xsi:type="dcterms:W3CDTF">2013-12-05T05:18:00Z</dcterms:modified>
</cp:coreProperties>
</file>