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harts/chart10.xml" ContentType="application/vnd.openxmlformats-officedocument.drawingml.chart+xml"/>
  <Override PartName="/customXml/itemProps1.xml" ContentType="application/vnd.openxmlformats-officedocument.customXmlProperties+xml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F0A" w:rsidRPr="009B2B7D" w:rsidRDefault="00FF3FFF" w:rsidP="009D3F5F">
      <w:pPr>
        <w:spacing w:beforeLines="50" w:line="300" w:lineRule="auto"/>
        <w:jc w:val="center"/>
        <w:rPr>
          <w:b/>
          <w:sz w:val="28"/>
          <w:szCs w:val="28"/>
        </w:rPr>
      </w:pPr>
      <w:r w:rsidRPr="009B2B7D">
        <w:rPr>
          <w:rFonts w:hint="eastAsia"/>
          <w:b/>
          <w:sz w:val="28"/>
          <w:szCs w:val="28"/>
        </w:rPr>
        <w:t>QDII</w:t>
      </w:r>
      <w:r w:rsidRPr="009B2B7D">
        <w:rPr>
          <w:rFonts w:hint="eastAsia"/>
          <w:b/>
          <w:sz w:val="28"/>
          <w:szCs w:val="28"/>
        </w:rPr>
        <w:t>基金</w:t>
      </w:r>
      <w:r w:rsidR="00C61438" w:rsidRPr="009B2B7D">
        <w:rPr>
          <w:rFonts w:hint="eastAsia"/>
          <w:b/>
          <w:sz w:val="28"/>
          <w:szCs w:val="28"/>
        </w:rPr>
        <w:t>三</w:t>
      </w:r>
      <w:r w:rsidRPr="009B2B7D">
        <w:rPr>
          <w:rFonts w:hint="eastAsia"/>
          <w:b/>
          <w:sz w:val="28"/>
          <w:szCs w:val="28"/>
        </w:rPr>
        <w:t>季报投资组合分析</w:t>
      </w:r>
      <w:r w:rsidR="00EB0954" w:rsidRPr="009B2B7D">
        <w:rPr>
          <w:rFonts w:hint="eastAsia"/>
          <w:b/>
          <w:sz w:val="28"/>
          <w:szCs w:val="28"/>
        </w:rPr>
        <w:t>报告</w:t>
      </w:r>
    </w:p>
    <w:p w:rsidR="00AB6D0C" w:rsidRPr="00EB0954" w:rsidRDefault="00EB0954" w:rsidP="009D3F5F">
      <w:pPr>
        <w:spacing w:beforeLines="50" w:line="300" w:lineRule="auto"/>
        <w:jc w:val="right"/>
      </w:pPr>
      <w:proofErr w:type="gramStart"/>
      <w:r>
        <w:rPr>
          <w:rFonts w:hint="eastAsia"/>
        </w:rPr>
        <w:t>众禄基金</w:t>
      </w:r>
      <w:proofErr w:type="gramEnd"/>
      <w:r>
        <w:rPr>
          <w:rFonts w:hint="eastAsia"/>
        </w:rPr>
        <w:t>研究中心</w:t>
      </w:r>
      <w:r>
        <w:rPr>
          <w:rFonts w:hint="eastAsia"/>
        </w:rPr>
        <w:t xml:space="preserve"> </w:t>
      </w:r>
      <w:r>
        <w:rPr>
          <w:rFonts w:hint="eastAsia"/>
        </w:rPr>
        <w:t>朱炎钊</w:t>
      </w:r>
      <w:r>
        <w:rPr>
          <w:rFonts w:hint="eastAsia"/>
        </w:rPr>
        <w:t>/</w:t>
      </w:r>
      <w:r>
        <w:rPr>
          <w:rFonts w:hint="eastAsia"/>
        </w:rPr>
        <w:t>文</w:t>
      </w:r>
    </w:p>
    <w:p w:rsidR="009F2C63" w:rsidRPr="00EB0954" w:rsidRDefault="00A932D4" w:rsidP="009D3F5F">
      <w:pPr>
        <w:spacing w:beforeLines="50" w:line="300" w:lineRule="auto"/>
        <w:rPr>
          <w:b/>
        </w:rPr>
      </w:pPr>
      <w:r>
        <w:rPr>
          <w:rFonts w:hint="eastAsia"/>
          <w:b/>
        </w:rPr>
        <w:t>一、</w:t>
      </w:r>
      <w:r w:rsidR="00984E9A">
        <w:rPr>
          <w:rFonts w:hint="eastAsia"/>
          <w:b/>
        </w:rPr>
        <w:t>三季度</w:t>
      </w:r>
      <w:r w:rsidR="00984E9A">
        <w:rPr>
          <w:rFonts w:hint="eastAsia"/>
          <w:b/>
        </w:rPr>
        <w:t>QDII</w:t>
      </w:r>
      <w:r w:rsidR="00984E9A">
        <w:rPr>
          <w:rFonts w:hint="eastAsia"/>
          <w:b/>
        </w:rPr>
        <w:t>基金业绩向好，赎回压力不减</w:t>
      </w:r>
      <w:r w:rsidR="00074E8C" w:rsidRPr="00EB0954">
        <w:rPr>
          <w:b/>
        </w:rPr>
        <w:t xml:space="preserve"> </w:t>
      </w:r>
    </w:p>
    <w:p w:rsidR="00DF67E8" w:rsidRDefault="00264A9A" w:rsidP="009D3F5F">
      <w:pPr>
        <w:spacing w:beforeLines="50" w:line="300" w:lineRule="auto"/>
      </w:pPr>
      <w:r>
        <w:rPr>
          <w:rFonts w:hint="eastAsia"/>
        </w:rPr>
        <w:t>截止</w:t>
      </w:r>
      <w:r>
        <w:rPr>
          <w:rFonts w:hint="eastAsia"/>
        </w:rPr>
        <w:t>2013</w:t>
      </w:r>
      <w:r w:rsidR="000F0798">
        <w:rPr>
          <w:rFonts w:hint="eastAsia"/>
        </w:rPr>
        <w:t>年三</w:t>
      </w:r>
      <w:r>
        <w:rPr>
          <w:rFonts w:hint="eastAsia"/>
        </w:rPr>
        <w:t>季度末，市场上正在运作的</w:t>
      </w:r>
      <w:r>
        <w:rPr>
          <w:rFonts w:hint="eastAsia"/>
        </w:rPr>
        <w:t>QDII</w:t>
      </w:r>
      <w:r>
        <w:rPr>
          <w:rFonts w:hint="eastAsia"/>
        </w:rPr>
        <w:t>基金共有</w:t>
      </w:r>
      <w:r w:rsidR="000F0798">
        <w:rPr>
          <w:rFonts w:hint="eastAsia"/>
        </w:rPr>
        <w:t>76</w:t>
      </w:r>
      <w:r>
        <w:rPr>
          <w:rFonts w:hint="eastAsia"/>
        </w:rPr>
        <w:t>只（剔除了</w:t>
      </w:r>
      <w:r>
        <w:rPr>
          <w:rFonts w:hint="eastAsia"/>
        </w:rPr>
        <w:t>ETF</w:t>
      </w:r>
      <w:r>
        <w:rPr>
          <w:rFonts w:hint="eastAsia"/>
        </w:rPr>
        <w:t>联接基金），基金份额总数达</w:t>
      </w:r>
      <w:r w:rsidR="000F0798">
        <w:rPr>
          <w:rFonts w:hint="eastAsia"/>
        </w:rPr>
        <w:t>799.83</w:t>
      </w:r>
      <w:r>
        <w:rPr>
          <w:rFonts w:hint="eastAsia"/>
        </w:rPr>
        <w:t>亿份，基金资产净值达</w:t>
      </w:r>
      <w:r w:rsidR="000F0798">
        <w:rPr>
          <w:rFonts w:hint="eastAsia"/>
        </w:rPr>
        <w:t>579.96</w:t>
      </w:r>
      <w:r w:rsidR="00A21EF7">
        <w:rPr>
          <w:rFonts w:hint="eastAsia"/>
        </w:rPr>
        <w:t>亿元人民币。</w:t>
      </w:r>
    </w:p>
    <w:p w:rsidR="000343BA" w:rsidRDefault="000343BA" w:rsidP="009D3F5F">
      <w:pPr>
        <w:spacing w:beforeLines="50" w:line="300" w:lineRule="auto"/>
      </w:pPr>
      <w:r>
        <w:rPr>
          <w:rFonts w:hint="eastAsia"/>
        </w:rPr>
        <w:t>三季度超过九成</w:t>
      </w:r>
      <w:r>
        <w:rPr>
          <w:rFonts w:hint="eastAsia"/>
        </w:rPr>
        <w:t>QDII</w:t>
      </w:r>
      <w:r>
        <w:rPr>
          <w:rFonts w:hint="eastAsia"/>
        </w:rPr>
        <w:t>基金取得了正收益，平均回报</w:t>
      </w:r>
      <w:r>
        <w:rPr>
          <w:rFonts w:hint="eastAsia"/>
        </w:rPr>
        <w:t>6.13%</w:t>
      </w:r>
      <w:r>
        <w:rPr>
          <w:rFonts w:hint="eastAsia"/>
        </w:rPr>
        <w:t>。</w:t>
      </w:r>
      <w:r w:rsidR="006D0920">
        <w:rPr>
          <w:rFonts w:hint="eastAsia"/>
        </w:rPr>
        <w:t>但良好的业绩表现与基金份额变化形成了一定反差，三季度多数</w:t>
      </w:r>
      <w:r w:rsidR="006D0920">
        <w:rPr>
          <w:rFonts w:hint="eastAsia"/>
        </w:rPr>
        <w:t>QDII</w:t>
      </w:r>
      <w:r w:rsidR="006D0920">
        <w:rPr>
          <w:rFonts w:hint="eastAsia"/>
        </w:rPr>
        <w:t>基金投资者选择了落袋为安，</w:t>
      </w:r>
      <w:r w:rsidR="006D0920">
        <w:rPr>
          <w:rFonts w:hint="eastAsia"/>
        </w:rPr>
        <w:t>QDII</w:t>
      </w:r>
      <w:r w:rsidR="006D0920">
        <w:rPr>
          <w:rFonts w:hint="eastAsia"/>
        </w:rPr>
        <w:t>基金整体份额减少了</w:t>
      </w:r>
      <w:r w:rsidR="006D0920">
        <w:rPr>
          <w:rFonts w:hint="eastAsia"/>
        </w:rPr>
        <w:t>35.61</w:t>
      </w:r>
      <w:r w:rsidR="006D0920">
        <w:rPr>
          <w:rFonts w:hint="eastAsia"/>
        </w:rPr>
        <w:t>亿份。其中</w:t>
      </w:r>
      <w:r w:rsidR="006D0920">
        <w:rPr>
          <w:rFonts w:hint="eastAsia"/>
        </w:rPr>
        <w:t>73</w:t>
      </w:r>
      <w:r w:rsidR="006D0920">
        <w:rPr>
          <w:rFonts w:hint="eastAsia"/>
        </w:rPr>
        <w:t>只老基金中有</w:t>
      </w:r>
      <w:r w:rsidR="006D0920">
        <w:rPr>
          <w:rFonts w:hint="eastAsia"/>
        </w:rPr>
        <w:t>67</w:t>
      </w:r>
      <w:r w:rsidR="006D0920">
        <w:rPr>
          <w:rFonts w:hint="eastAsia"/>
        </w:rPr>
        <w:t>只遭遇净赎回，上投摩根亚太优势、嘉</w:t>
      </w:r>
      <w:proofErr w:type="gramStart"/>
      <w:r w:rsidR="006D0920">
        <w:rPr>
          <w:rFonts w:hint="eastAsia"/>
        </w:rPr>
        <w:t>实海外</w:t>
      </w:r>
      <w:proofErr w:type="gramEnd"/>
      <w:r w:rsidR="006D0920">
        <w:rPr>
          <w:rFonts w:hint="eastAsia"/>
        </w:rPr>
        <w:t>中国股票、华夏全球精选、南方全球精选</w:t>
      </w:r>
      <w:r w:rsidR="00070163">
        <w:rPr>
          <w:rFonts w:hint="eastAsia"/>
        </w:rPr>
        <w:t>四只规模最大的</w:t>
      </w:r>
      <w:r w:rsidR="00070163">
        <w:rPr>
          <w:rFonts w:hint="eastAsia"/>
        </w:rPr>
        <w:t>QDII</w:t>
      </w:r>
      <w:r w:rsidR="00070163">
        <w:rPr>
          <w:rFonts w:hint="eastAsia"/>
        </w:rPr>
        <w:t>基金</w:t>
      </w:r>
      <w:r w:rsidR="006242BF">
        <w:rPr>
          <w:rFonts w:hint="eastAsia"/>
        </w:rPr>
        <w:t>共计</w:t>
      </w:r>
      <w:r w:rsidR="00070163">
        <w:rPr>
          <w:rFonts w:hint="eastAsia"/>
        </w:rPr>
        <w:t>净赎回</w:t>
      </w:r>
      <w:r w:rsidR="00070163">
        <w:rPr>
          <w:rFonts w:hint="eastAsia"/>
        </w:rPr>
        <w:t>27.24</w:t>
      </w:r>
      <w:r w:rsidR="00070163">
        <w:rPr>
          <w:rFonts w:hint="eastAsia"/>
        </w:rPr>
        <w:t>亿份。另外，</w:t>
      </w:r>
      <w:r w:rsidR="00070163">
        <w:rPr>
          <w:rFonts w:hint="eastAsia"/>
        </w:rPr>
        <w:t>QDII</w:t>
      </w:r>
      <w:r w:rsidR="00070163">
        <w:rPr>
          <w:rFonts w:hint="eastAsia"/>
        </w:rPr>
        <w:t>基金新发市场表现持续向好，三季度新发</w:t>
      </w:r>
      <w:r w:rsidR="00070163">
        <w:rPr>
          <w:rFonts w:hint="eastAsia"/>
        </w:rPr>
        <w:t>QDII</w:t>
      </w:r>
      <w:r w:rsidR="00070163">
        <w:rPr>
          <w:rFonts w:hint="eastAsia"/>
        </w:rPr>
        <w:t>基金三只，募集规模达</w:t>
      </w:r>
      <w:r w:rsidR="00070163">
        <w:rPr>
          <w:rFonts w:hint="eastAsia"/>
        </w:rPr>
        <w:t>9.81</w:t>
      </w:r>
      <w:r w:rsidR="00070163">
        <w:rPr>
          <w:rFonts w:hint="eastAsia"/>
        </w:rPr>
        <w:t>亿份。</w:t>
      </w: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8222"/>
      </w:tblGrid>
      <w:tr w:rsidR="006C1C13" w:rsidTr="00E21C13">
        <w:tc>
          <w:tcPr>
            <w:tcW w:w="8222" w:type="dxa"/>
            <w:tcBorders>
              <w:bottom w:val="single" w:sz="4" w:space="0" w:color="auto"/>
            </w:tcBorders>
          </w:tcPr>
          <w:p w:rsidR="006C1C13" w:rsidRPr="00B32872" w:rsidRDefault="00B32872" w:rsidP="009D3F5F">
            <w:pPr>
              <w:spacing w:beforeLines="50" w:line="300" w:lineRule="auto"/>
              <w:rPr>
                <w:rFonts w:ascii="华文细黑" w:eastAsia="华文细黑" w:hAnsi="华文细黑"/>
                <w:i/>
              </w:rPr>
            </w:pPr>
            <w:r w:rsidRPr="00B32872">
              <w:rPr>
                <w:rFonts w:ascii="华文细黑" w:eastAsia="华文细黑" w:hAnsi="华文细黑" w:hint="eastAsia"/>
                <w:i/>
              </w:rPr>
              <w:t>图表：</w:t>
            </w:r>
            <w:r w:rsidR="00384C4C">
              <w:rPr>
                <w:rFonts w:ascii="华文细黑" w:eastAsia="华文细黑" w:hAnsi="华文细黑" w:hint="eastAsia"/>
                <w:i/>
              </w:rPr>
              <w:t>QDII基金市场规模变化</w:t>
            </w:r>
          </w:p>
        </w:tc>
      </w:tr>
      <w:tr w:rsidR="006C1C13" w:rsidTr="00E21C13">
        <w:trPr>
          <w:trHeight w:val="4479"/>
        </w:trPr>
        <w:tc>
          <w:tcPr>
            <w:tcW w:w="8222" w:type="dxa"/>
            <w:tcBorders>
              <w:top w:val="single" w:sz="4" w:space="0" w:color="auto"/>
              <w:bottom w:val="single" w:sz="4" w:space="0" w:color="auto"/>
            </w:tcBorders>
          </w:tcPr>
          <w:p w:rsidR="006C1C13" w:rsidRDefault="00C61438" w:rsidP="00C61438">
            <w:pPr>
              <w:spacing w:line="300" w:lineRule="auto"/>
            </w:pPr>
            <w:r w:rsidRPr="00C61438">
              <w:rPr>
                <w:noProof/>
              </w:rPr>
              <w:drawing>
                <wp:inline distT="0" distB="0" distL="0" distR="0">
                  <wp:extent cx="5143500" cy="2771775"/>
                  <wp:effectExtent l="19050" t="0" r="0" b="0"/>
                  <wp:docPr id="3" name="图表 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</w:tc>
      </w:tr>
      <w:tr w:rsidR="006C1C13" w:rsidTr="00E21C13">
        <w:tc>
          <w:tcPr>
            <w:tcW w:w="8222" w:type="dxa"/>
            <w:tcBorders>
              <w:top w:val="single" w:sz="4" w:space="0" w:color="auto"/>
            </w:tcBorders>
          </w:tcPr>
          <w:p w:rsidR="006C1C13" w:rsidRPr="00B32872" w:rsidRDefault="00B32872" w:rsidP="00B32872">
            <w:pPr>
              <w:spacing w:line="300" w:lineRule="auto"/>
              <w:rPr>
                <w:sz w:val="18"/>
                <w:szCs w:val="18"/>
              </w:rPr>
            </w:pPr>
            <w:r w:rsidRPr="00B32872">
              <w:rPr>
                <w:rFonts w:hint="eastAsia"/>
                <w:sz w:val="18"/>
                <w:szCs w:val="18"/>
              </w:rPr>
              <w:t>数据来源：</w:t>
            </w:r>
            <w:proofErr w:type="gramStart"/>
            <w:r w:rsidRPr="00B32872">
              <w:rPr>
                <w:rFonts w:hint="eastAsia"/>
                <w:sz w:val="18"/>
                <w:szCs w:val="18"/>
              </w:rPr>
              <w:t>众禄基金</w:t>
            </w:r>
            <w:proofErr w:type="gramEnd"/>
            <w:r w:rsidRPr="00B32872">
              <w:rPr>
                <w:rFonts w:hint="eastAsia"/>
                <w:sz w:val="18"/>
                <w:szCs w:val="18"/>
              </w:rPr>
              <w:t>研究中心</w:t>
            </w:r>
          </w:p>
        </w:tc>
      </w:tr>
    </w:tbl>
    <w:p w:rsidR="00983F9C" w:rsidRDefault="00983F9C" w:rsidP="009D3F5F">
      <w:pPr>
        <w:spacing w:beforeLines="50" w:line="300" w:lineRule="auto"/>
      </w:pPr>
    </w:p>
    <w:p w:rsidR="006242BF" w:rsidRDefault="006242BF" w:rsidP="009D3F5F">
      <w:pPr>
        <w:spacing w:beforeLines="50" w:line="300" w:lineRule="auto"/>
      </w:pPr>
    </w:p>
    <w:p w:rsidR="006242BF" w:rsidRDefault="006242BF" w:rsidP="009D3F5F">
      <w:pPr>
        <w:spacing w:beforeLines="50" w:line="300" w:lineRule="auto"/>
      </w:pPr>
    </w:p>
    <w:p w:rsidR="006242BF" w:rsidRDefault="006242BF" w:rsidP="009D3F5F">
      <w:pPr>
        <w:spacing w:beforeLines="50" w:line="300" w:lineRule="auto"/>
      </w:pPr>
    </w:p>
    <w:p w:rsidR="006242BF" w:rsidRDefault="006242BF" w:rsidP="009D3F5F">
      <w:pPr>
        <w:spacing w:beforeLines="50" w:line="300" w:lineRule="auto"/>
      </w:pPr>
    </w:p>
    <w:p w:rsidR="006242BF" w:rsidRPr="006C1C13" w:rsidRDefault="006242BF" w:rsidP="009D3F5F">
      <w:pPr>
        <w:spacing w:beforeLines="50" w:line="300" w:lineRule="auto"/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8222"/>
      </w:tblGrid>
      <w:tr w:rsidR="00B32872" w:rsidTr="00211298">
        <w:tc>
          <w:tcPr>
            <w:tcW w:w="8222" w:type="dxa"/>
            <w:tcBorders>
              <w:bottom w:val="single" w:sz="4" w:space="0" w:color="auto"/>
            </w:tcBorders>
          </w:tcPr>
          <w:p w:rsidR="00B32872" w:rsidRPr="00B32872" w:rsidRDefault="00B32872" w:rsidP="009D3F5F">
            <w:pPr>
              <w:spacing w:beforeLines="50" w:line="300" w:lineRule="auto"/>
              <w:rPr>
                <w:rFonts w:ascii="华文细黑" w:eastAsia="华文细黑" w:hAnsi="华文细黑"/>
                <w:i/>
              </w:rPr>
            </w:pPr>
            <w:r w:rsidRPr="00B32872">
              <w:rPr>
                <w:rFonts w:ascii="华文细黑" w:eastAsia="华文细黑" w:hAnsi="华文细黑" w:hint="eastAsia"/>
                <w:i/>
              </w:rPr>
              <w:lastRenderedPageBreak/>
              <w:t>图表：</w:t>
            </w:r>
            <w:r w:rsidR="00384C4C">
              <w:rPr>
                <w:rFonts w:ascii="华文细黑" w:eastAsia="华文细黑" w:hAnsi="华文细黑" w:hint="eastAsia"/>
                <w:i/>
              </w:rPr>
              <w:t>QDII基金各季度净申购赎回净额（亿份）</w:t>
            </w:r>
          </w:p>
        </w:tc>
      </w:tr>
      <w:tr w:rsidR="00B32872" w:rsidTr="00211298">
        <w:trPr>
          <w:trHeight w:val="4479"/>
        </w:trPr>
        <w:tc>
          <w:tcPr>
            <w:tcW w:w="8222" w:type="dxa"/>
            <w:tcBorders>
              <w:top w:val="single" w:sz="4" w:space="0" w:color="auto"/>
              <w:bottom w:val="single" w:sz="4" w:space="0" w:color="auto"/>
            </w:tcBorders>
          </w:tcPr>
          <w:p w:rsidR="00B32872" w:rsidRDefault="00C61438" w:rsidP="00B32872">
            <w:pPr>
              <w:spacing w:line="300" w:lineRule="auto"/>
            </w:pPr>
            <w:r w:rsidRPr="00C61438">
              <w:rPr>
                <w:noProof/>
              </w:rPr>
              <w:drawing>
                <wp:inline distT="0" distB="0" distL="0" distR="0">
                  <wp:extent cx="5172075" cy="2743200"/>
                  <wp:effectExtent l="0" t="0" r="0" b="0"/>
                  <wp:docPr id="7" name="图表 3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</w:tr>
      <w:tr w:rsidR="00B32872" w:rsidTr="00211298">
        <w:tc>
          <w:tcPr>
            <w:tcW w:w="8222" w:type="dxa"/>
            <w:tcBorders>
              <w:top w:val="single" w:sz="4" w:space="0" w:color="auto"/>
            </w:tcBorders>
          </w:tcPr>
          <w:p w:rsidR="00B32872" w:rsidRPr="00B32872" w:rsidRDefault="00B32872" w:rsidP="00C61438">
            <w:pPr>
              <w:spacing w:line="300" w:lineRule="auto"/>
              <w:rPr>
                <w:sz w:val="18"/>
                <w:szCs w:val="18"/>
              </w:rPr>
            </w:pPr>
            <w:r w:rsidRPr="00B32872">
              <w:rPr>
                <w:rFonts w:hint="eastAsia"/>
                <w:sz w:val="18"/>
                <w:szCs w:val="18"/>
              </w:rPr>
              <w:t>数据来源：</w:t>
            </w:r>
            <w:proofErr w:type="gramStart"/>
            <w:r w:rsidRPr="00B32872">
              <w:rPr>
                <w:rFonts w:hint="eastAsia"/>
                <w:sz w:val="18"/>
                <w:szCs w:val="18"/>
              </w:rPr>
              <w:t>众禄基金</w:t>
            </w:r>
            <w:proofErr w:type="gramEnd"/>
            <w:r w:rsidRPr="00B32872">
              <w:rPr>
                <w:rFonts w:hint="eastAsia"/>
                <w:sz w:val="18"/>
                <w:szCs w:val="18"/>
              </w:rPr>
              <w:t>研究中心</w:t>
            </w:r>
          </w:p>
        </w:tc>
      </w:tr>
    </w:tbl>
    <w:p w:rsidR="00384C4C" w:rsidRPr="00256378" w:rsidRDefault="00070163" w:rsidP="009D3F5F">
      <w:pPr>
        <w:spacing w:beforeLines="50" w:afterLines="50" w:line="300" w:lineRule="auto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三</w:t>
      </w:r>
      <w:r w:rsidR="00384C4C" w:rsidRPr="00256378">
        <w:rPr>
          <w:rFonts w:asciiTheme="minorEastAsia" w:hAnsiTheme="minorEastAsia" w:hint="eastAsia"/>
          <w:szCs w:val="21"/>
        </w:rPr>
        <w:t>季度新发</w:t>
      </w:r>
      <w:r>
        <w:rPr>
          <w:rFonts w:asciiTheme="minorEastAsia" w:hAnsiTheme="minorEastAsia" w:hint="eastAsia"/>
          <w:szCs w:val="21"/>
        </w:rPr>
        <w:t>QDII基金以投资美国市场为主，</w:t>
      </w:r>
      <w:r w:rsidR="00384C4C" w:rsidRPr="00256378">
        <w:rPr>
          <w:rFonts w:asciiTheme="minorEastAsia" w:hAnsiTheme="minorEastAsia" w:hint="eastAsia"/>
          <w:szCs w:val="21"/>
        </w:rPr>
        <w:t>分别是</w:t>
      </w:r>
      <w:r w:rsidR="00256378" w:rsidRPr="00256378">
        <w:rPr>
          <w:rFonts w:asciiTheme="minorEastAsia" w:hAnsiTheme="minorEastAsia" w:hint="eastAsia"/>
          <w:color w:val="000000"/>
          <w:szCs w:val="21"/>
        </w:rPr>
        <w:t>华安纳斯达克100</w:t>
      </w:r>
      <w:r w:rsidR="00384C4C" w:rsidRPr="00256378">
        <w:rPr>
          <w:rFonts w:asciiTheme="minorEastAsia" w:hAnsiTheme="minorEastAsia" w:hint="eastAsia"/>
          <w:szCs w:val="21"/>
        </w:rPr>
        <w:t>（美股QDII）、</w:t>
      </w:r>
      <w:r w:rsidR="00256378" w:rsidRPr="00256378">
        <w:rPr>
          <w:rFonts w:asciiTheme="minorEastAsia" w:hAnsiTheme="minorEastAsia" w:hint="eastAsia"/>
          <w:color w:val="000000"/>
          <w:szCs w:val="21"/>
        </w:rPr>
        <w:t>国泰美国房地产开发</w:t>
      </w:r>
      <w:r w:rsidR="00384C4C" w:rsidRPr="00256378">
        <w:rPr>
          <w:rFonts w:asciiTheme="minorEastAsia" w:hAnsiTheme="minorEastAsia" w:hint="eastAsia"/>
          <w:szCs w:val="21"/>
        </w:rPr>
        <w:t>（</w:t>
      </w:r>
      <w:r w:rsidR="00256378" w:rsidRPr="00256378">
        <w:rPr>
          <w:rFonts w:asciiTheme="minorEastAsia" w:hAnsiTheme="minorEastAsia" w:hint="eastAsia"/>
          <w:szCs w:val="21"/>
        </w:rPr>
        <w:t>美股</w:t>
      </w:r>
      <w:r w:rsidR="00384C4C" w:rsidRPr="00256378">
        <w:rPr>
          <w:rFonts w:asciiTheme="minorEastAsia" w:hAnsiTheme="minorEastAsia" w:hint="eastAsia"/>
          <w:szCs w:val="21"/>
        </w:rPr>
        <w:t>QDII）、</w:t>
      </w:r>
      <w:r w:rsidR="00256378" w:rsidRPr="00256378">
        <w:rPr>
          <w:rFonts w:asciiTheme="minorEastAsia" w:hAnsiTheme="minorEastAsia" w:hint="eastAsia"/>
          <w:color w:val="000000"/>
          <w:szCs w:val="21"/>
        </w:rPr>
        <w:t>广发美国房地产</w:t>
      </w:r>
      <w:r w:rsidR="00384C4C" w:rsidRPr="00256378">
        <w:rPr>
          <w:rFonts w:asciiTheme="minorEastAsia" w:hAnsiTheme="minorEastAsia" w:hint="eastAsia"/>
          <w:szCs w:val="21"/>
        </w:rPr>
        <w:t>（</w:t>
      </w:r>
      <w:r w:rsidR="00256378" w:rsidRPr="00256378">
        <w:rPr>
          <w:rFonts w:asciiTheme="minorEastAsia" w:hAnsiTheme="minorEastAsia" w:hint="eastAsia"/>
          <w:szCs w:val="21"/>
        </w:rPr>
        <w:t>REITs-</w:t>
      </w:r>
      <w:r w:rsidR="00384C4C" w:rsidRPr="00256378">
        <w:rPr>
          <w:rFonts w:asciiTheme="minorEastAsia" w:hAnsiTheme="minorEastAsia" w:hint="eastAsia"/>
          <w:szCs w:val="21"/>
        </w:rPr>
        <w:t>QDII）。</w:t>
      </w:r>
      <w:r w:rsidR="00E21E41" w:rsidRPr="00256378">
        <w:rPr>
          <w:rFonts w:asciiTheme="minorEastAsia" w:hAnsiTheme="minorEastAsia" w:hint="eastAsia"/>
          <w:szCs w:val="21"/>
        </w:rPr>
        <w:t>募集资金最大的为</w:t>
      </w:r>
      <w:r w:rsidR="00256378" w:rsidRPr="00256378">
        <w:rPr>
          <w:rFonts w:asciiTheme="minorEastAsia" w:hAnsiTheme="minorEastAsia" w:hint="eastAsia"/>
          <w:color w:val="000000"/>
          <w:szCs w:val="21"/>
        </w:rPr>
        <w:t>广发美国房地产</w:t>
      </w:r>
      <w:r w:rsidR="00E21E41" w:rsidRPr="00256378">
        <w:rPr>
          <w:rFonts w:asciiTheme="minorEastAsia" w:hAnsiTheme="minorEastAsia" w:hint="eastAsia"/>
          <w:szCs w:val="21"/>
        </w:rPr>
        <w:t>，总共募集人民币</w:t>
      </w:r>
      <w:r w:rsidR="00256378">
        <w:rPr>
          <w:rFonts w:asciiTheme="minorEastAsia" w:hAnsiTheme="minorEastAsia" w:hint="eastAsia"/>
          <w:szCs w:val="21"/>
        </w:rPr>
        <w:t>4.96</w:t>
      </w:r>
      <w:r w:rsidR="00E21E41" w:rsidRPr="00256378">
        <w:rPr>
          <w:rFonts w:asciiTheme="minorEastAsia" w:hAnsiTheme="minorEastAsia" w:hint="eastAsia"/>
          <w:szCs w:val="21"/>
        </w:rPr>
        <w:t>亿元。</w:t>
      </w:r>
    </w:p>
    <w:tbl>
      <w:tblPr>
        <w:tblStyle w:val="-11"/>
        <w:tblW w:w="8330" w:type="dxa"/>
        <w:tblLook w:val="04A0"/>
      </w:tblPr>
      <w:tblGrid>
        <w:gridCol w:w="2235"/>
        <w:gridCol w:w="1275"/>
        <w:gridCol w:w="1276"/>
        <w:gridCol w:w="1134"/>
        <w:gridCol w:w="2410"/>
      </w:tblGrid>
      <w:tr w:rsidR="00384C4C" w:rsidRPr="00A37EAE" w:rsidTr="00384C4C">
        <w:trPr>
          <w:cnfStyle w:val="100000000000"/>
          <w:trHeight w:val="340"/>
        </w:trPr>
        <w:tc>
          <w:tcPr>
            <w:cnfStyle w:val="001000000000"/>
            <w:tcW w:w="8330" w:type="dxa"/>
            <w:gridSpan w:val="5"/>
            <w:tcBorders>
              <w:bottom w:val="single" w:sz="4" w:space="0" w:color="auto"/>
            </w:tcBorders>
            <w:noWrap/>
            <w:hideMark/>
          </w:tcPr>
          <w:p w:rsidR="00C61438" w:rsidRPr="00C61438" w:rsidRDefault="00384C4C" w:rsidP="00C61438">
            <w:pPr>
              <w:widowControl/>
              <w:jc w:val="left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A37EAE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图表：</w:t>
            </w:r>
            <w:r w:rsidR="00C61438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三</w:t>
            </w:r>
            <w:r w:rsidRPr="00A37EAE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季度新发QDII</w:t>
            </w:r>
            <w:r w:rsidR="00C61438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基金募集规模</w:t>
            </w:r>
          </w:p>
        </w:tc>
      </w:tr>
      <w:tr w:rsidR="00BF008E" w:rsidRPr="00A37EAE" w:rsidTr="00BF008E">
        <w:trPr>
          <w:cnfStyle w:val="000000100000"/>
          <w:trHeight w:val="540"/>
        </w:trPr>
        <w:tc>
          <w:tcPr>
            <w:cnfStyle w:val="001000000000"/>
            <w:tcW w:w="2235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BF008E" w:rsidRPr="00A37EAE" w:rsidRDefault="00BF008E" w:rsidP="00C61438">
            <w:pPr>
              <w:widowControl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基金名称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BF008E" w:rsidRPr="00A37EAE" w:rsidRDefault="00BF008E" w:rsidP="00E61710">
            <w:pPr>
              <w:widowControl/>
              <w:jc w:val="center"/>
              <w:cnfStyle w:val="000000100000"/>
              <w:rPr>
                <w:rFonts w:ascii="宋体" w:eastAsia="宋体" w:hAnsi="宋体" w:cs="宋体"/>
                <w:b/>
                <w:color w:val="auto"/>
                <w:kern w:val="0"/>
                <w:sz w:val="20"/>
                <w:szCs w:val="20"/>
              </w:rPr>
            </w:pPr>
            <w:proofErr w:type="gramStart"/>
            <w:r w:rsidRPr="00A37EAE">
              <w:rPr>
                <w:rFonts w:ascii="宋体" w:eastAsia="宋体" w:hAnsi="宋体" w:cs="宋体" w:hint="eastAsia"/>
                <w:b/>
                <w:color w:val="auto"/>
                <w:kern w:val="0"/>
                <w:sz w:val="20"/>
                <w:szCs w:val="20"/>
              </w:rPr>
              <w:t>众禄分类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BF008E" w:rsidRPr="00A37EAE" w:rsidRDefault="00BF008E" w:rsidP="00E61710">
            <w:pPr>
              <w:widowControl/>
              <w:jc w:val="center"/>
              <w:cnfStyle w:val="000000100000"/>
              <w:rPr>
                <w:rFonts w:ascii="宋体" w:eastAsia="宋体" w:hAnsi="宋体" w:cs="宋体"/>
                <w:b/>
                <w:color w:val="auto"/>
                <w:kern w:val="0"/>
                <w:sz w:val="20"/>
                <w:szCs w:val="20"/>
              </w:rPr>
            </w:pPr>
            <w:r w:rsidRPr="00A37EAE">
              <w:rPr>
                <w:rFonts w:ascii="宋体" w:eastAsia="宋体" w:hAnsi="宋体" w:cs="宋体" w:hint="eastAsia"/>
                <w:b/>
                <w:color w:val="auto"/>
                <w:kern w:val="0"/>
                <w:sz w:val="20"/>
                <w:szCs w:val="20"/>
              </w:rPr>
              <w:t>基金成立日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BF008E" w:rsidRPr="00A37EAE" w:rsidRDefault="00BF008E" w:rsidP="00E61710">
            <w:pPr>
              <w:widowControl/>
              <w:jc w:val="center"/>
              <w:cnfStyle w:val="000000100000"/>
              <w:rPr>
                <w:rFonts w:ascii="宋体" w:eastAsia="宋体" w:hAnsi="宋体" w:cs="宋体"/>
                <w:b/>
                <w:color w:val="auto"/>
                <w:kern w:val="0"/>
                <w:sz w:val="20"/>
                <w:szCs w:val="20"/>
              </w:rPr>
            </w:pPr>
            <w:r w:rsidRPr="00A37EAE">
              <w:rPr>
                <w:rFonts w:ascii="宋体" w:eastAsia="宋体" w:hAnsi="宋体" w:cs="宋体" w:hint="eastAsia"/>
                <w:b/>
                <w:color w:val="auto"/>
                <w:kern w:val="0"/>
                <w:sz w:val="20"/>
                <w:szCs w:val="20"/>
              </w:rPr>
              <w:t>发行总份额</w:t>
            </w:r>
            <w:r w:rsidRPr="00A37EAE">
              <w:rPr>
                <w:rFonts w:ascii="宋体" w:eastAsia="宋体" w:hAnsi="宋体" w:cs="宋体" w:hint="eastAsia"/>
                <w:b/>
                <w:color w:val="auto"/>
                <w:kern w:val="0"/>
                <w:sz w:val="20"/>
                <w:szCs w:val="20"/>
              </w:rPr>
              <w:br/>
              <w:t>（亿份）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F008E" w:rsidRPr="00A37EAE" w:rsidRDefault="00BF008E" w:rsidP="00BF008E">
            <w:pPr>
              <w:widowControl/>
              <w:jc w:val="center"/>
              <w:cnfStyle w:val="000000100000"/>
              <w:rPr>
                <w:rFonts w:ascii="宋体" w:eastAsia="宋体" w:hAnsi="宋体" w:cs="宋体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auto"/>
                <w:kern w:val="0"/>
                <w:sz w:val="20"/>
                <w:szCs w:val="20"/>
              </w:rPr>
              <w:t>基金经理</w:t>
            </w:r>
          </w:p>
        </w:tc>
      </w:tr>
      <w:tr w:rsidR="00BF008E" w:rsidRPr="00A37EAE" w:rsidTr="00BF008E">
        <w:trPr>
          <w:trHeight w:val="285"/>
        </w:trPr>
        <w:tc>
          <w:tcPr>
            <w:cnfStyle w:val="001000000000"/>
            <w:tcW w:w="2235" w:type="dxa"/>
            <w:tcBorders>
              <w:top w:val="single" w:sz="4" w:space="0" w:color="auto"/>
            </w:tcBorders>
            <w:noWrap/>
            <w:hideMark/>
          </w:tcPr>
          <w:p w:rsidR="00BF008E" w:rsidRPr="00256378" w:rsidRDefault="00BF008E" w:rsidP="00C61438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256378">
              <w:rPr>
                <w:rFonts w:hint="eastAsia"/>
                <w:color w:val="000000"/>
                <w:sz w:val="20"/>
                <w:szCs w:val="20"/>
              </w:rPr>
              <w:t>华安纳斯达克</w:t>
            </w:r>
            <w:r w:rsidRPr="00256378">
              <w:rPr>
                <w:rFonts w:hint="eastAsia"/>
                <w:color w:val="000000"/>
                <w:sz w:val="20"/>
                <w:szCs w:val="20"/>
              </w:rPr>
              <w:t>100</w:t>
            </w:r>
            <w:r w:rsidRPr="00256378">
              <w:rPr>
                <w:rFonts w:ascii="宋体" w:eastAsia="宋体" w:hAnsi="宋体" w:cs="宋体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noWrap/>
            <w:hideMark/>
          </w:tcPr>
          <w:p w:rsidR="00BF008E" w:rsidRPr="00A37EAE" w:rsidRDefault="00BF008E" w:rsidP="00E61710">
            <w:pPr>
              <w:widowControl/>
              <w:jc w:val="center"/>
              <w:cnfStyle w:val="000000000000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A37EAE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美国股票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noWrap/>
            <w:hideMark/>
          </w:tcPr>
          <w:p w:rsidR="00BF008E" w:rsidRDefault="00BF008E">
            <w:pPr>
              <w:jc w:val="right"/>
              <w:cnfStyle w:val="00000000000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2013/08/02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noWrap/>
            <w:vAlign w:val="center"/>
            <w:hideMark/>
          </w:tcPr>
          <w:p w:rsidR="00BF008E" w:rsidRDefault="00BF008E">
            <w:pPr>
              <w:jc w:val="right"/>
              <w:cnfStyle w:val="000000000000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2.73 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noWrap/>
            <w:vAlign w:val="center"/>
            <w:hideMark/>
          </w:tcPr>
          <w:p w:rsidR="00BF008E" w:rsidRPr="00A37EAE" w:rsidRDefault="00BF008E" w:rsidP="00BF008E">
            <w:pPr>
              <w:widowControl/>
              <w:jc w:val="center"/>
              <w:cnfStyle w:val="000000000000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徐宜</w:t>
            </w:r>
            <w:proofErr w:type="gramStart"/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宜</w:t>
            </w:r>
            <w:proofErr w:type="gramEnd"/>
          </w:p>
        </w:tc>
      </w:tr>
      <w:tr w:rsidR="00BF008E" w:rsidRPr="00A37EAE" w:rsidTr="00BF008E">
        <w:trPr>
          <w:cnfStyle w:val="000000100000"/>
          <w:trHeight w:val="285"/>
        </w:trPr>
        <w:tc>
          <w:tcPr>
            <w:cnfStyle w:val="001000000000"/>
            <w:tcW w:w="2235" w:type="dxa"/>
            <w:noWrap/>
            <w:hideMark/>
          </w:tcPr>
          <w:p w:rsidR="00BF008E" w:rsidRDefault="00BF008E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国泰美国房地产开发</w:t>
            </w:r>
          </w:p>
        </w:tc>
        <w:tc>
          <w:tcPr>
            <w:tcW w:w="1275" w:type="dxa"/>
            <w:noWrap/>
            <w:hideMark/>
          </w:tcPr>
          <w:p w:rsidR="00BF008E" w:rsidRPr="00A37EAE" w:rsidRDefault="00BF008E" w:rsidP="00E61710">
            <w:pPr>
              <w:widowControl/>
              <w:jc w:val="center"/>
              <w:cnfStyle w:val="000000100000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A37EAE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美国股票</w:t>
            </w:r>
          </w:p>
        </w:tc>
        <w:tc>
          <w:tcPr>
            <w:tcW w:w="1276" w:type="dxa"/>
            <w:noWrap/>
            <w:hideMark/>
          </w:tcPr>
          <w:p w:rsidR="00BF008E" w:rsidRDefault="00BF008E">
            <w:pPr>
              <w:jc w:val="right"/>
              <w:cnfStyle w:val="00000010000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2013/08/07</w:t>
            </w:r>
          </w:p>
        </w:tc>
        <w:tc>
          <w:tcPr>
            <w:tcW w:w="1134" w:type="dxa"/>
            <w:noWrap/>
            <w:vAlign w:val="center"/>
            <w:hideMark/>
          </w:tcPr>
          <w:p w:rsidR="00BF008E" w:rsidRDefault="00BF008E">
            <w:pPr>
              <w:jc w:val="right"/>
              <w:cnfStyle w:val="000000100000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2.12 </w:t>
            </w:r>
          </w:p>
        </w:tc>
        <w:tc>
          <w:tcPr>
            <w:tcW w:w="2410" w:type="dxa"/>
            <w:noWrap/>
            <w:vAlign w:val="center"/>
            <w:hideMark/>
          </w:tcPr>
          <w:p w:rsidR="00BF008E" w:rsidRPr="00A37EAE" w:rsidRDefault="00BF008E" w:rsidP="00BF008E">
            <w:pPr>
              <w:widowControl/>
              <w:jc w:val="center"/>
              <w:cnfStyle w:val="000000100000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吴向军</w:t>
            </w:r>
          </w:p>
        </w:tc>
      </w:tr>
      <w:tr w:rsidR="00BF008E" w:rsidRPr="00A37EAE" w:rsidTr="00BF008E">
        <w:trPr>
          <w:trHeight w:val="285"/>
        </w:trPr>
        <w:tc>
          <w:tcPr>
            <w:cnfStyle w:val="001000000000"/>
            <w:tcW w:w="2235" w:type="dxa"/>
            <w:noWrap/>
            <w:hideMark/>
          </w:tcPr>
          <w:p w:rsidR="00BF008E" w:rsidRDefault="00BF008E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广发美国房地产</w:t>
            </w:r>
          </w:p>
        </w:tc>
        <w:tc>
          <w:tcPr>
            <w:tcW w:w="1275" w:type="dxa"/>
            <w:noWrap/>
            <w:hideMark/>
          </w:tcPr>
          <w:p w:rsidR="00BF008E" w:rsidRPr="00A37EAE" w:rsidRDefault="00BF008E" w:rsidP="00E61710">
            <w:pPr>
              <w:widowControl/>
              <w:jc w:val="center"/>
              <w:cnfStyle w:val="000000000000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REITs</w:t>
            </w:r>
          </w:p>
        </w:tc>
        <w:tc>
          <w:tcPr>
            <w:tcW w:w="1276" w:type="dxa"/>
            <w:noWrap/>
            <w:hideMark/>
          </w:tcPr>
          <w:p w:rsidR="00BF008E" w:rsidRDefault="00BF008E">
            <w:pPr>
              <w:jc w:val="right"/>
              <w:cnfStyle w:val="00000000000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2013/08/09</w:t>
            </w:r>
          </w:p>
        </w:tc>
        <w:tc>
          <w:tcPr>
            <w:tcW w:w="1134" w:type="dxa"/>
            <w:noWrap/>
            <w:vAlign w:val="center"/>
            <w:hideMark/>
          </w:tcPr>
          <w:p w:rsidR="00BF008E" w:rsidRDefault="00BF008E">
            <w:pPr>
              <w:jc w:val="right"/>
              <w:cnfStyle w:val="000000000000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4.96 </w:t>
            </w:r>
          </w:p>
        </w:tc>
        <w:tc>
          <w:tcPr>
            <w:tcW w:w="2410" w:type="dxa"/>
            <w:noWrap/>
            <w:vAlign w:val="center"/>
            <w:hideMark/>
          </w:tcPr>
          <w:p w:rsidR="00BF008E" w:rsidRPr="00A37EAE" w:rsidRDefault="00BF008E" w:rsidP="00BF008E">
            <w:pPr>
              <w:widowControl/>
              <w:jc w:val="center"/>
              <w:cnfStyle w:val="000000000000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邱炜</w:t>
            </w:r>
          </w:p>
        </w:tc>
      </w:tr>
      <w:tr w:rsidR="00BF008E" w:rsidRPr="00A37EAE" w:rsidTr="00BF008E">
        <w:trPr>
          <w:cnfStyle w:val="000000100000"/>
          <w:trHeight w:val="285"/>
        </w:trPr>
        <w:tc>
          <w:tcPr>
            <w:cnfStyle w:val="001000000000"/>
            <w:tcW w:w="2235" w:type="dxa"/>
            <w:tcBorders>
              <w:top w:val="nil"/>
              <w:bottom w:val="single" w:sz="4" w:space="0" w:color="auto"/>
            </w:tcBorders>
            <w:noWrap/>
            <w:hideMark/>
          </w:tcPr>
          <w:p w:rsidR="00BF008E" w:rsidRPr="00A37EAE" w:rsidRDefault="00BF008E" w:rsidP="00E61710">
            <w:pPr>
              <w:widowControl/>
              <w:jc w:val="left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A37EAE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总和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noWrap/>
            <w:hideMark/>
          </w:tcPr>
          <w:p w:rsidR="00BF008E" w:rsidRPr="00A37EAE" w:rsidRDefault="00BF008E" w:rsidP="00E61710">
            <w:pPr>
              <w:widowControl/>
              <w:jc w:val="left"/>
              <w:cnfStyle w:val="000000100000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noWrap/>
            <w:hideMark/>
          </w:tcPr>
          <w:p w:rsidR="00BF008E" w:rsidRPr="00A37EAE" w:rsidRDefault="00BF008E" w:rsidP="00E61710">
            <w:pPr>
              <w:widowControl/>
              <w:jc w:val="left"/>
              <w:cnfStyle w:val="000000100000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noWrap/>
            <w:hideMark/>
          </w:tcPr>
          <w:p w:rsidR="00BF008E" w:rsidRPr="00A37EAE" w:rsidRDefault="00BF008E" w:rsidP="00BF008E">
            <w:pPr>
              <w:widowControl/>
              <w:jc w:val="right"/>
              <w:cnfStyle w:val="000000100000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</w:rPr>
              <w:t>9.81</w:t>
            </w: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:rsidR="00BF008E" w:rsidRPr="00A37EAE" w:rsidRDefault="00BF008E" w:rsidP="00BF008E">
            <w:pPr>
              <w:widowControl/>
              <w:jc w:val="center"/>
              <w:cnfStyle w:val="000000100000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</w:p>
        </w:tc>
      </w:tr>
      <w:tr w:rsidR="00663423" w:rsidRPr="00A37EAE" w:rsidTr="00384C4C">
        <w:trPr>
          <w:trHeight w:val="285"/>
        </w:trPr>
        <w:tc>
          <w:tcPr>
            <w:cnfStyle w:val="001000000000"/>
            <w:tcW w:w="8330" w:type="dxa"/>
            <w:gridSpan w:val="5"/>
            <w:tcBorders>
              <w:top w:val="single" w:sz="4" w:space="0" w:color="auto"/>
            </w:tcBorders>
            <w:noWrap/>
            <w:hideMark/>
          </w:tcPr>
          <w:p w:rsidR="00663423" w:rsidRPr="00A37EAE" w:rsidRDefault="00663423" w:rsidP="00E61710">
            <w:pPr>
              <w:widowControl/>
              <w:jc w:val="left"/>
              <w:rPr>
                <w:rFonts w:ascii="宋体" w:eastAsia="宋体" w:hAnsi="宋体" w:cs="宋体"/>
                <w:b w:val="0"/>
                <w:color w:val="auto"/>
                <w:kern w:val="0"/>
                <w:sz w:val="20"/>
                <w:szCs w:val="20"/>
              </w:rPr>
            </w:pPr>
            <w:r w:rsidRPr="00A37EAE">
              <w:rPr>
                <w:rFonts w:ascii="宋体" w:eastAsia="宋体" w:hAnsi="宋体" w:cs="宋体" w:hint="eastAsia"/>
                <w:b w:val="0"/>
                <w:color w:val="auto"/>
                <w:kern w:val="0"/>
                <w:sz w:val="20"/>
                <w:szCs w:val="20"/>
              </w:rPr>
              <w:t>数据来源：</w:t>
            </w:r>
            <w:proofErr w:type="gramStart"/>
            <w:r w:rsidRPr="00A37EAE">
              <w:rPr>
                <w:rFonts w:ascii="宋体" w:eastAsia="宋体" w:hAnsi="宋体" w:cs="宋体" w:hint="eastAsia"/>
                <w:b w:val="0"/>
                <w:color w:val="auto"/>
                <w:kern w:val="0"/>
                <w:sz w:val="20"/>
                <w:szCs w:val="20"/>
              </w:rPr>
              <w:t>众禄基金</w:t>
            </w:r>
            <w:proofErr w:type="gramEnd"/>
            <w:r w:rsidRPr="00A37EAE">
              <w:rPr>
                <w:rFonts w:ascii="宋体" w:eastAsia="宋体" w:hAnsi="宋体" w:cs="宋体" w:hint="eastAsia"/>
                <w:b w:val="0"/>
                <w:color w:val="auto"/>
                <w:kern w:val="0"/>
                <w:sz w:val="20"/>
                <w:szCs w:val="20"/>
              </w:rPr>
              <w:t>研究中心</w:t>
            </w:r>
          </w:p>
        </w:tc>
      </w:tr>
    </w:tbl>
    <w:p w:rsidR="008D1830" w:rsidRPr="00256378" w:rsidRDefault="00A06F4A" w:rsidP="009D3F5F">
      <w:pPr>
        <w:spacing w:beforeLines="50" w:afterLines="50" w:line="300" w:lineRule="auto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三季度有6只QDII基金发生净申购，分别是</w:t>
      </w:r>
      <w:r w:rsidRPr="00256378">
        <w:rPr>
          <w:rFonts w:asciiTheme="minorEastAsia" w:hAnsiTheme="minorEastAsia" w:hint="eastAsia"/>
          <w:color w:val="000000"/>
          <w:szCs w:val="21"/>
        </w:rPr>
        <w:t>博时标普500</w:t>
      </w:r>
      <w:r w:rsidRPr="00256378">
        <w:rPr>
          <w:rFonts w:asciiTheme="minorEastAsia" w:hAnsiTheme="minorEastAsia" w:hint="eastAsia"/>
          <w:szCs w:val="21"/>
        </w:rPr>
        <w:t>、</w:t>
      </w:r>
      <w:proofErr w:type="gramStart"/>
      <w:r w:rsidRPr="00256378">
        <w:rPr>
          <w:rFonts w:asciiTheme="minorEastAsia" w:hAnsiTheme="minorEastAsia" w:hint="eastAsia"/>
          <w:color w:val="000000"/>
          <w:szCs w:val="21"/>
        </w:rPr>
        <w:t>大成标普500等</w:t>
      </w:r>
      <w:proofErr w:type="gramEnd"/>
      <w:r w:rsidRPr="00256378">
        <w:rPr>
          <w:rFonts w:asciiTheme="minorEastAsia" w:hAnsiTheme="minorEastAsia" w:hint="eastAsia"/>
          <w:color w:val="000000"/>
          <w:szCs w:val="21"/>
        </w:rPr>
        <w:t>权重</w:t>
      </w:r>
      <w:r w:rsidRPr="00256378">
        <w:rPr>
          <w:rFonts w:asciiTheme="minorEastAsia" w:hAnsiTheme="minorEastAsia" w:hint="eastAsia"/>
          <w:szCs w:val="21"/>
        </w:rPr>
        <w:t>、</w:t>
      </w:r>
      <w:r w:rsidRPr="00256378">
        <w:rPr>
          <w:rFonts w:asciiTheme="minorEastAsia" w:hAnsiTheme="minorEastAsia" w:hint="eastAsia"/>
          <w:color w:val="000000"/>
          <w:szCs w:val="21"/>
        </w:rPr>
        <w:t>广发纳斯达克100</w:t>
      </w:r>
      <w:r w:rsidRPr="00256378">
        <w:rPr>
          <w:rFonts w:asciiTheme="minorEastAsia" w:hAnsiTheme="minorEastAsia" w:hint="eastAsia"/>
          <w:szCs w:val="21"/>
        </w:rPr>
        <w:t>、</w:t>
      </w:r>
      <w:r w:rsidRPr="00256378">
        <w:rPr>
          <w:rFonts w:asciiTheme="minorEastAsia" w:hAnsiTheme="minorEastAsia" w:hint="eastAsia"/>
          <w:color w:val="000000"/>
          <w:szCs w:val="21"/>
        </w:rPr>
        <w:t>鹏华美国房地产</w:t>
      </w:r>
      <w:r w:rsidRPr="00256378">
        <w:rPr>
          <w:rFonts w:asciiTheme="minorEastAsia" w:hAnsiTheme="minorEastAsia" w:hint="eastAsia"/>
          <w:szCs w:val="21"/>
        </w:rPr>
        <w:t>、</w:t>
      </w:r>
      <w:r w:rsidRPr="00256378">
        <w:rPr>
          <w:rFonts w:asciiTheme="minorEastAsia" w:hAnsiTheme="minorEastAsia" w:hint="eastAsia"/>
          <w:color w:val="000000"/>
          <w:szCs w:val="21"/>
        </w:rPr>
        <w:t>长信标普100等权重</w:t>
      </w:r>
      <w:r>
        <w:rPr>
          <w:rFonts w:asciiTheme="minorEastAsia" w:hAnsiTheme="minorEastAsia" w:hint="eastAsia"/>
          <w:color w:val="000000"/>
          <w:szCs w:val="21"/>
        </w:rPr>
        <w:t>、</w:t>
      </w:r>
      <w:r w:rsidRPr="00A06F4A">
        <w:rPr>
          <w:rFonts w:asciiTheme="minorEastAsia" w:hAnsiTheme="minorEastAsia" w:hint="eastAsia"/>
          <w:color w:val="000000"/>
          <w:szCs w:val="21"/>
        </w:rPr>
        <w:t>国泰纳斯达克100</w:t>
      </w:r>
      <w:r>
        <w:rPr>
          <w:rFonts w:asciiTheme="minorEastAsia" w:hAnsiTheme="minorEastAsia" w:hint="eastAsia"/>
          <w:color w:val="000000"/>
          <w:szCs w:val="21"/>
        </w:rPr>
        <w:t>，今年以来</w:t>
      </w:r>
      <w:r w:rsidR="008D1830">
        <w:rPr>
          <w:rFonts w:asciiTheme="minorEastAsia" w:hAnsiTheme="minorEastAsia" w:hint="eastAsia"/>
          <w:color w:val="000000"/>
          <w:szCs w:val="21"/>
        </w:rPr>
        <w:t>美股屡创历史新高</w:t>
      </w:r>
      <w:r>
        <w:rPr>
          <w:rFonts w:asciiTheme="minorEastAsia" w:hAnsiTheme="minorEastAsia" w:hint="eastAsia"/>
          <w:color w:val="000000"/>
          <w:szCs w:val="21"/>
        </w:rPr>
        <w:t>，美股指</w:t>
      </w:r>
      <w:proofErr w:type="gramStart"/>
      <w:r>
        <w:rPr>
          <w:rFonts w:asciiTheme="minorEastAsia" w:hAnsiTheme="minorEastAsia" w:hint="eastAsia"/>
          <w:color w:val="000000"/>
          <w:szCs w:val="21"/>
        </w:rPr>
        <w:t>数基金</w:t>
      </w:r>
      <w:proofErr w:type="gramEnd"/>
      <w:r>
        <w:rPr>
          <w:rFonts w:asciiTheme="minorEastAsia" w:hAnsiTheme="minorEastAsia" w:hint="eastAsia"/>
          <w:color w:val="000000"/>
          <w:szCs w:val="21"/>
        </w:rPr>
        <w:t>对投资人吸引力持续增加。</w:t>
      </w:r>
      <w:r w:rsidR="008D1830">
        <w:rPr>
          <w:rFonts w:asciiTheme="minorEastAsia" w:hAnsiTheme="minorEastAsia" w:hint="eastAsia"/>
          <w:color w:val="000000"/>
          <w:szCs w:val="21"/>
        </w:rPr>
        <w:t>而三季度净赎回规模较大的有</w:t>
      </w:r>
      <w:r w:rsidR="008D1830" w:rsidRPr="00256378">
        <w:rPr>
          <w:rFonts w:asciiTheme="minorEastAsia" w:hAnsiTheme="minorEastAsia" w:hint="eastAsia"/>
          <w:color w:val="000000"/>
          <w:szCs w:val="21"/>
        </w:rPr>
        <w:t>嘉实美国成长人民币</w:t>
      </w:r>
      <w:r w:rsidR="008D1830" w:rsidRPr="00256378">
        <w:rPr>
          <w:rFonts w:asciiTheme="minorEastAsia" w:hAnsiTheme="minorEastAsia" w:hint="eastAsia"/>
          <w:szCs w:val="21"/>
        </w:rPr>
        <w:t>、</w:t>
      </w:r>
      <w:r w:rsidR="008D1830" w:rsidRPr="00256378">
        <w:rPr>
          <w:rFonts w:asciiTheme="minorEastAsia" w:hAnsiTheme="minorEastAsia" w:hint="eastAsia"/>
          <w:color w:val="000000"/>
          <w:szCs w:val="21"/>
        </w:rPr>
        <w:t>信</w:t>
      </w:r>
      <w:proofErr w:type="gramStart"/>
      <w:r w:rsidR="008D1830" w:rsidRPr="00256378">
        <w:rPr>
          <w:rFonts w:asciiTheme="minorEastAsia" w:hAnsiTheme="minorEastAsia" w:hint="eastAsia"/>
          <w:color w:val="000000"/>
          <w:szCs w:val="21"/>
        </w:rPr>
        <w:t>诚全球</w:t>
      </w:r>
      <w:proofErr w:type="gramEnd"/>
      <w:r w:rsidR="008D1830" w:rsidRPr="00256378">
        <w:rPr>
          <w:rFonts w:asciiTheme="minorEastAsia" w:hAnsiTheme="minorEastAsia" w:hint="eastAsia"/>
          <w:color w:val="000000"/>
          <w:szCs w:val="21"/>
        </w:rPr>
        <w:t>商品主题</w:t>
      </w:r>
      <w:r w:rsidR="008D1830" w:rsidRPr="00256378">
        <w:rPr>
          <w:rFonts w:asciiTheme="minorEastAsia" w:hAnsiTheme="minorEastAsia" w:hint="eastAsia"/>
          <w:szCs w:val="21"/>
        </w:rPr>
        <w:t>、</w:t>
      </w:r>
      <w:r w:rsidR="008D1830" w:rsidRPr="00256378">
        <w:rPr>
          <w:rFonts w:asciiTheme="minorEastAsia" w:hAnsiTheme="minorEastAsia" w:hint="eastAsia"/>
          <w:color w:val="000000"/>
          <w:szCs w:val="21"/>
        </w:rPr>
        <w:t>工</w:t>
      </w:r>
      <w:proofErr w:type="gramStart"/>
      <w:r w:rsidR="008D1830" w:rsidRPr="00256378">
        <w:rPr>
          <w:rFonts w:asciiTheme="minorEastAsia" w:hAnsiTheme="minorEastAsia" w:hint="eastAsia"/>
          <w:color w:val="000000"/>
          <w:szCs w:val="21"/>
        </w:rPr>
        <w:t>银瑞信标普全球</w:t>
      </w:r>
      <w:proofErr w:type="gramEnd"/>
      <w:r w:rsidR="008D1830" w:rsidRPr="00256378">
        <w:rPr>
          <w:rFonts w:asciiTheme="minorEastAsia" w:hAnsiTheme="minorEastAsia" w:hint="eastAsia"/>
          <w:color w:val="000000"/>
          <w:szCs w:val="21"/>
        </w:rPr>
        <w:t>资源</w:t>
      </w:r>
      <w:r w:rsidR="008D1830" w:rsidRPr="00256378">
        <w:rPr>
          <w:rFonts w:asciiTheme="minorEastAsia" w:hAnsiTheme="minorEastAsia" w:hint="eastAsia"/>
          <w:szCs w:val="21"/>
        </w:rPr>
        <w:t>、</w:t>
      </w:r>
      <w:r w:rsidR="008D1830" w:rsidRPr="00256378">
        <w:rPr>
          <w:rFonts w:asciiTheme="minorEastAsia" w:hAnsiTheme="minorEastAsia" w:hint="eastAsia"/>
          <w:color w:val="000000"/>
          <w:szCs w:val="21"/>
        </w:rPr>
        <w:t>景顺长城大中华</w:t>
      </w:r>
      <w:r w:rsidR="008D1830" w:rsidRPr="00256378">
        <w:rPr>
          <w:rFonts w:asciiTheme="minorEastAsia" w:hAnsiTheme="minorEastAsia" w:hint="eastAsia"/>
          <w:szCs w:val="21"/>
        </w:rPr>
        <w:t>、</w:t>
      </w:r>
      <w:r w:rsidR="008D1830" w:rsidRPr="00256378">
        <w:rPr>
          <w:rFonts w:asciiTheme="minorEastAsia" w:hAnsiTheme="minorEastAsia" w:hint="eastAsia"/>
          <w:color w:val="000000"/>
          <w:szCs w:val="21"/>
        </w:rPr>
        <w:t>中银</w:t>
      </w:r>
      <w:proofErr w:type="gramStart"/>
      <w:r w:rsidR="008D1830" w:rsidRPr="00256378">
        <w:rPr>
          <w:rFonts w:asciiTheme="minorEastAsia" w:hAnsiTheme="minorEastAsia" w:hint="eastAsia"/>
          <w:color w:val="000000"/>
          <w:szCs w:val="21"/>
        </w:rPr>
        <w:t>标普全球</w:t>
      </w:r>
      <w:proofErr w:type="gramEnd"/>
      <w:r w:rsidR="008D1830" w:rsidRPr="00256378">
        <w:rPr>
          <w:rFonts w:asciiTheme="minorEastAsia" w:hAnsiTheme="minorEastAsia" w:hint="eastAsia"/>
          <w:color w:val="000000"/>
          <w:szCs w:val="21"/>
        </w:rPr>
        <w:t>精选</w:t>
      </w:r>
      <w:r w:rsidR="008D1830">
        <w:rPr>
          <w:rFonts w:asciiTheme="minorEastAsia" w:hAnsiTheme="minorEastAsia" w:hint="eastAsia"/>
          <w:szCs w:val="21"/>
        </w:rPr>
        <w:t>，其中嘉实美国成长</w:t>
      </w:r>
      <w:r w:rsidR="00E43625">
        <w:rPr>
          <w:rFonts w:asciiTheme="minorEastAsia" w:hAnsiTheme="minorEastAsia" w:hint="eastAsia"/>
          <w:szCs w:val="21"/>
        </w:rPr>
        <w:t>基金</w:t>
      </w:r>
      <w:r w:rsidR="008D1830">
        <w:rPr>
          <w:rFonts w:asciiTheme="minorEastAsia" w:hAnsiTheme="minorEastAsia" w:hint="eastAsia"/>
          <w:szCs w:val="21"/>
        </w:rPr>
        <w:t>成立三个月后即遭遇大幅赎回。</w:t>
      </w:r>
      <w:r w:rsidR="00E43625">
        <w:rPr>
          <w:rFonts w:asciiTheme="minorEastAsia" w:hAnsiTheme="minorEastAsia" w:hint="eastAsia"/>
          <w:szCs w:val="21"/>
        </w:rPr>
        <w:t>另</w:t>
      </w:r>
      <w:r w:rsidR="008D1830">
        <w:rPr>
          <w:rFonts w:asciiTheme="minorEastAsia" w:hAnsiTheme="minorEastAsia" w:hint="eastAsia"/>
          <w:szCs w:val="21"/>
        </w:rPr>
        <w:t>值得关注的是，截止三季末，共有36只QDII基金份额规模低于1亿，其中有</w:t>
      </w:r>
      <w:r w:rsidR="00163EEF">
        <w:rPr>
          <w:rFonts w:asciiTheme="minorEastAsia" w:hAnsiTheme="minorEastAsia" w:hint="eastAsia"/>
          <w:szCs w:val="21"/>
        </w:rPr>
        <w:t>15只规模不足5</w:t>
      </w:r>
      <w:proofErr w:type="gramStart"/>
      <w:r w:rsidR="00163EEF">
        <w:rPr>
          <w:rFonts w:asciiTheme="minorEastAsia" w:hAnsiTheme="minorEastAsia" w:hint="eastAsia"/>
          <w:szCs w:val="21"/>
        </w:rPr>
        <w:t>千万</w:t>
      </w:r>
      <w:proofErr w:type="gramEnd"/>
      <w:r w:rsidR="00163EEF">
        <w:rPr>
          <w:rFonts w:asciiTheme="minorEastAsia" w:hAnsiTheme="minorEastAsia" w:hint="eastAsia"/>
          <w:szCs w:val="21"/>
        </w:rPr>
        <w:t>，触及清盘红线。</w:t>
      </w:r>
    </w:p>
    <w:p w:rsidR="00983F9C" w:rsidRDefault="00983F9C" w:rsidP="009D3F5F">
      <w:pPr>
        <w:spacing w:beforeLines="50" w:afterLines="50" w:line="300" w:lineRule="auto"/>
      </w:pPr>
    </w:p>
    <w:p w:rsidR="006242BF" w:rsidRDefault="006242BF" w:rsidP="009D3F5F">
      <w:pPr>
        <w:spacing w:beforeLines="50" w:afterLines="50" w:line="300" w:lineRule="auto"/>
      </w:pPr>
    </w:p>
    <w:tbl>
      <w:tblPr>
        <w:tblStyle w:val="-11"/>
        <w:tblW w:w="8330" w:type="dxa"/>
        <w:tblLook w:val="04A0"/>
      </w:tblPr>
      <w:tblGrid>
        <w:gridCol w:w="2224"/>
        <w:gridCol w:w="1678"/>
        <w:gridCol w:w="2498"/>
        <w:gridCol w:w="1930"/>
      </w:tblGrid>
      <w:tr w:rsidR="00384C4C" w:rsidRPr="00817ECE" w:rsidTr="00C61438">
        <w:trPr>
          <w:cnfStyle w:val="100000000000"/>
          <w:trHeight w:val="340"/>
        </w:trPr>
        <w:tc>
          <w:tcPr>
            <w:cnfStyle w:val="001000000000"/>
            <w:tcW w:w="8330" w:type="dxa"/>
            <w:gridSpan w:val="4"/>
            <w:tcBorders>
              <w:bottom w:val="single" w:sz="4" w:space="0" w:color="auto"/>
            </w:tcBorders>
            <w:noWrap/>
            <w:hideMark/>
          </w:tcPr>
          <w:p w:rsidR="00384C4C" w:rsidRPr="00817ECE" w:rsidRDefault="009D3F5F" w:rsidP="00817EC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图表：三</w:t>
            </w:r>
            <w:r w:rsidR="00384C4C" w:rsidRPr="00817EC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季度QDII基金申购/赎回前五名</w:t>
            </w:r>
          </w:p>
        </w:tc>
      </w:tr>
      <w:tr w:rsidR="00817ECE" w:rsidRPr="00817ECE" w:rsidTr="00384C4C">
        <w:trPr>
          <w:cnfStyle w:val="000000100000"/>
          <w:trHeight w:val="270"/>
        </w:trPr>
        <w:tc>
          <w:tcPr>
            <w:cnfStyle w:val="001000000000"/>
            <w:tcW w:w="2224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817ECE" w:rsidRPr="00817ECE" w:rsidRDefault="00817ECE" w:rsidP="00E21C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17EC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净申购前五名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817ECE" w:rsidRPr="00817ECE" w:rsidRDefault="00E21C13" w:rsidP="00E21C13">
            <w:pPr>
              <w:widowControl/>
              <w:jc w:val="center"/>
              <w:cnfStyle w:val="000000100000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净申购</w:t>
            </w:r>
            <w:r w:rsidR="00817ECE" w:rsidRPr="00817ECE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率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（%）</w:t>
            </w:r>
          </w:p>
        </w:tc>
        <w:tc>
          <w:tcPr>
            <w:tcW w:w="2498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817ECE" w:rsidRPr="00817ECE" w:rsidRDefault="00817ECE" w:rsidP="00E21C13">
            <w:pPr>
              <w:widowControl/>
              <w:jc w:val="center"/>
              <w:cnfStyle w:val="000000100000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</w:rPr>
            </w:pPr>
            <w:r w:rsidRPr="00817ECE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净赎回前五</w:t>
            </w:r>
          </w:p>
        </w:tc>
        <w:tc>
          <w:tcPr>
            <w:tcW w:w="193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817ECE" w:rsidRPr="00817ECE" w:rsidRDefault="00817ECE" w:rsidP="00E21C13">
            <w:pPr>
              <w:widowControl/>
              <w:jc w:val="center"/>
              <w:cnfStyle w:val="000000100000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</w:rPr>
            </w:pPr>
            <w:r w:rsidRPr="00817ECE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净赎回</w:t>
            </w:r>
            <w:r w:rsidR="00E21C13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率</w:t>
            </w:r>
            <w:r w:rsidR="00E21C13" w:rsidRPr="00E21C13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（%）</w:t>
            </w:r>
          </w:p>
        </w:tc>
      </w:tr>
      <w:tr w:rsidR="00D73907" w:rsidRPr="00817ECE" w:rsidTr="00984E9A">
        <w:trPr>
          <w:trHeight w:val="270"/>
        </w:trPr>
        <w:tc>
          <w:tcPr>
            <w:cnfStyle w:val="001000000000"/>
            <w:tcW w:w="2224" w:type="dxa"/>
            <w:tcBorders>
              <w:top w:val="single" w:sz="4" w:space="0" w:color="auto"/>
            </w:tcBorders>
            <w:noWrap/>
            <w:hideMark/>
          </w:tcPr>
          <w:p w:rsidR="00D73907" w:rsidRPr="00F07EC3" w:rsidRDefault="00D73907" w:rsidP="00F07EC3">
            <w:pPr>
              <w:jc w:val="center"/>
              <w:rPr>
                <w:rFonts w:ascii="宋体" w:eastAsia="宋体" w:hAnsi="宋体" w:cs="宋体"/>
                <w:b w:val="0"/>
                <w:color w:val="000000"/>
                <w:sz w:val="20"/>
                <w:szCs w:val="20"/>
              </w:rPr>
            </w:pPr>
            <w:r w:rsidRPr="00F07EC3">
              <w:rPr>
                <w:rFonts w:hint="eastAsia"/>
                <w:b w:val="0"/>
                <w:color w:val="000000"/>
                <w:sz w:val="20"/>
                <w:szCs w:val="20"/>
              </w:rPr>
              <w:t>博时标普</w:t>
            </w:r>
            <w:r w:rsidRPr="00F07EC3">
              <w:rPr>
                <w:rFonts w:hint="eastAsia"/>
                <w:b w:val="0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678" w:type="dxa"/>
            <w:tcBorders>
              <w:top w:val="single" w:sz="4" w:space="0" w:color="auto"/>
            </w:tcBorders>
            <w:noWrap/>
            <w:vAlign w:val="center"/>
            <w:hideMark/>
          </w:tcPr>
          <w:p w:rsidR="00D73907" w:rsidRDefault="00D73907" w:rsidP="00F07EC3">
            <w:pPr>
              <w:jc w:val="center"/>
              <w:cnfStyle w:val="000000000000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53.90</w:t>
            </w:r>
          </w:p>
        </w:tc>
        <w:tc>
          <w:tcPr>
            <w:tcW w:w="2498" w:type="dxa"/>
            <w:tcBorders>
              <w:top w:val="single" w:sz="4" w:space="0" w:color="auto"/>
            </w:tcBorders>
            <w:noWrap/>
            <w:hideMark/>
          </w:tcPr>
          <w:p w:rsidR="00D73907" w:rsidRDefault="00D73907" w:rsidP="00D73907">
            <w:pPr>
              <w:jc w:val="center"/>
              <w:cnfStyle w:val="00000000000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嘉实美国成长人民币</w:t>
            </w:r>
          </w:p>
        </w:tc>
        <w:tc>
          <w:tcPr>
            <w:tcW w:w="1930" w:type="dxa"/>
            <w:tcBorders>
              <w:top w:val="single" w:sz="4" w:space="0" w:color="auto"/>
            </w:tcBorders>
            <w:noWrap/>
            <w:vAlign w:val="center"/>
            <w:hideMark/>
          </w:tcPr>
          <w:p w:rsidR="00D73907" w:rsidRDefault="00D73907" w:rsidP="00D73907">
            <w:pPr>
              <w:jc w:val="center"/>
              <w:cnfStyle w:val="000000000000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81.54</w:t>
            </w:r>
          </w:p>
        </w:tc>
      </w:tr>
      <w:tr w:rsidR="00D73907" w:rsidRPr="00817ECE" w:rsidTr="00984E9A">
        <w:trPr>
          <w:cnfStyle w:val="000000100000"/>
          <w:trHeight w:val="270"/>
        </w:trPr>
        <w:tc>
          <w:tcPr>
            <w:cnfStyle w:val="001000000000"/>
            <w:tcW w:w="2224" w:type="dxa"/>
            <w:noWrap/>
            <w:hideMark/>
          </w:tcPr>
          <w:p w:rsidR="00D73907" w:rsidRPr="00F07EC3" w:rsidRDefault="00D73907" w:rsidP="00F07EC3">
            <w:pPr>
              <w:jc w:val="center"/>
              <w:rPr>
                <w:rFonts w:ascii="宋体" w:eastAsia="宋体" w:hAnsi="宋体" w:cs="宋体"/>
                <w:b w:val="0"/>
                <w:color w:val="000000"/>
                <w:sz w:val="20"/>
                <w:szCs w:val="20"/>
              </w:rPr>
            </w:pPr>
            <w:proofErr w:type="gramStart"/>
            <w:r w:rsidRPr="00F07EC3">
              <w:rPr>
                <w:rFonts w:hint="eastAsia"/>
                <w:b w:val="0"/>
                <w:color w:val="000000"/>
                <w:sz w:val="20"/>
                <w:szCs w:val="20"/>
              </w:rPr>
              <w:t>大成标普</w:t>
            </w:r>
            <w:r w:rsidRPr="00F07EC3">
              <w:rPr>
                <w:rFonts w:hint="eastAsia"/>
                <w:b w:val="0"/>
                <w:color w:val="000000"/>
                <w:sz w:val="20"/>
                <w:szCs w:val="20"/>
              </w:rPr>
              <w:t>500</w:t>
            </w:r>
            <w:r w:rsidRPr="00F07EC3">
              <w:rPr>
                <w:rFonts w:hint="eastAsia"/>
                <w:b w:val="0"/>
                <w:color w:val="000000"/>
                <w:sz w:val="20"/>
                <w:szCs w:val="20"/>
              </w:rPr>
              <w:t>等</w:t>
            </w:r>
            <w:proofErr w:type="gramEnd"/>
            <w:r w:rsidRPr="00F07EC3">
              <w:rPr>
                <w:rFonts w:hint="eastAsia"/>
                <w:b w:val="0"/>
                <w:color w:val="000000"/>
                <w:sz w:val="20"/>
                <w:szCs w:val="20"/>
              </w:rPr>
              <w:t>权重</w:t>
            </w:r>
          </w:p>
        </w:tc>
        <w:tc>
          <w:tcPr>
            <w:tcW w:w="1678" w:type="dxa"/>
            <w:noWrap/>
            <w:vAlign w:val="center"/>
            <w:hideMark/>
          </w:tcPr>
          <w:p w:rsidR="00D73907" w:rsidRDefault="00D73907" w:rsidP="00F07EC3">
            <w:pPr>
              <w:jc w:val="center"/>
              <w:cnfStyle w:val="000000100000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25.01</w:t>
            </w:r>
          </w:p>
        </w:tc>
        <w:tc>
          <w:tcPr>
            <w:tcW w:w="2498" w:type="dxa"/>
            <w:noWrap/>
            <w:hideMark/>
          </w:tcPr>
          <w:p w:rsidR="00D73907" w:rsidRDefault="00D73907" w:rsidP="00D73907">
            <w:pPr>
              <w:jc w:val="center"/>
              <w:cnfStyle w:val="00000010000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信</w:t>
            </w: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诚全球</w:t>
            </w:r>
            <w:proofErr w:type="gramEnd"/>
            <w:r>
              <w:rPr>
                <w:rFonts w:hint="eastAsia"/>
                <w:color w:val="000000"/>
                <w:sz w:val="20"/>
                <w:szCs w:val="20"/>
              </w:rPr>
              <w:t>商品主题</w:t>
            </w:r>
          </w:p>
        </w:tc>
        <w:tc>
          <w:tcPr>
            <w:tcW w:w="1930" w:type="dxa"/>
            <w:noWrap/>
            <w:vAlign w:val="center"/>
            <w:hideMark/>
          </w:tcPr>
          <w:p w:rsidR="00D73907" w:rsidRDefault="00D73907" w:rsidP="00D73907">
            <w:pPr>
              <w:jc w:val="center"/>
              <w:cnfStyle w:val="000000100000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79.34</w:t>
            </w:r>
          </w:p>
        </w:tc>
      </w:tr>
      <w:tr w:rsidR="00D73907" w:rsidRPr="00817ECE" w:rsidTr="00984E9A">
        <w:trPr>
          <w:trHeight w:val="270"/>
        </w:trPr>
        <w:tc>
          <w:tcPr>
            <w:cnfStyle w:val="001000000000"/>
            <w:tcW w:w="2224" w:type="dxa"/>
            <w:noWrap/>
            <w:hideMark/>
          </w:tcPr>
          <w:p w:rsidR="00D73907" w:rsidRPr="00F07EC3" w:rsidRDefault="00D73907" w:rsidP="00F07EC3">
            <w:pPr>
              <w:jc w:val="center"/>
              <w:rPr>
                <w:rFonts w:ascii="宋体" w:eastAsia="宋体" w:hAnsi="宋体" w:cs="宋体"/>
                <w:b w:val="0"/>
                <w:color w:val="000000"/>
                <w:sz w:val="20"/>
                <w:szCs w:val="20"/>
              </w:rPr>
            </w:pPr>
            <w:r w:rsidRPr="00F07EC3">
              <w:rPr>
                <w:rFonts w:hint="eastAsia"/>
                <w:b w:val="0"/>
                <w:color w:val="000000"/>
                <w:sz w:val="20"/>
                <w:szCs w:val="20"/>
              </w:rPr>
              <w:t>广发纳斯达克</w:t>
            </w:r>
            <w:r w:rsidRPr="00F07EC3">
              <w:rPr>
                <w:rFonts w:hint="eastAsia"/>
                <w:b w:val="0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78" w:type="dxa"/>
            <w:noWrap/>
            <w:vAlign w:val="center"/>
            <w:hideMark/>
          </w:tcPr>
          <w:p w:rsidR="00D73907" w:rsidRDefault="00D73907" w:rsidP="00F07EC3">
            <w:pPr>
              <w:jc w:val="center"/>
              <w:cnfStyle w:val="000000000000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17.27</w:t>
            </w:r>
          </w:p>
        </w:tc>
        <w:tc>
          <w:tcPr>
            <w:tcW w:w="2498" w:type="dxa"/>
            <w:noWrap/>
            <w:hideMark/>
          </w:tcPr>
          <w:p w:rsidR="00D73907" w:rsidRDefault="00D73907" w:rsidP="00D73907">
            <w:pPr>
              <w:jc w:val="center"/>
              <w:cnfStyle w:val="00000000000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工</w:t>
            </w: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银瑞信标普全球</w:t>
            </w:r>
            <w:proofErr w:type="gramEnd"/>
            <w:r>
              <w:rPr>
                <w:rFonts w:hint="eastAsia"/>
                <w:color w:val="000000"/>
                <w:sz w:val="20"/>
                <w:szCs w:val="20"/>
              </w:rPr>
              <w:t>资源</w:t>
            </w:r>
          </w:p>
        </w:tc>
        <w:tc>
          <w:tcPr>
            <w:tcW w:w="1930" w:type="dxa"/>
            <w:noWrap/>
            <w:vAlign w:val="center"/>
            <w:hideMark/>
          </w:tcPr>
          <w:p w:rsidR="00D73907" w:rsidRDefault="00D73907" w:rsidP="00D73907">
            <w:pPr>
              <w:jc w:val="center"/>
              <w:cnfStyle w:val="000000000000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72.49</w:t>
            </w:r>
          </w:p>
        </w:tc>
      </w:tr>
      <w:tr w:rsidR="00D73907" w:rsidRPr="00817ECE" w:rsidTr="00984E9A">
        <w:trPr>
          <w:cnfStyle w:val="000000100000"/>
          <w:trHeight w:val="270"/>
        </w:trPr>
        <w:tc>
          <w:tcPr>
            <w:cnfStyle w:val="001000000000"/>
            <w:tcW w:w="2224" w:type="dxa"/>
            <w:tcBorders>
              <w:bottom w:val="nil"/>
            </w:tcBorders>
            <w:noWrap/>
            <w:hideMark/>
          </w:tcPr>
          <w:p w:rsidR="00D73907" w:rsidRPr="00F07EC3" w:rsidRDefault="00D73907" w:rsidP="00F07EC3">
            <w:pPr>
              <w:jc w:val="center"/>
              <w:rPr>
                <w:rFonts w:ascii="宋体" w:eastAsia="宋体" w:hAnsi="宋体" w:cs="宋体"/>
                <w:b w:val="0"/>
                <w:color w:val="000000"/>
                <w:sz w:val="20"/>
                <w:szCs w:val="20"/>
              </w:rPr>
            </w:pPr>
            <w:r w:rsidRPr="00F07EC3">
              <w:rPr>
                <w:rFonts w:hint="eastAsia"/>
                <w:b w:val="0"/>
                <w:color w:val="000000"/>
                <w:sz w:val="20"/>
                <w:szCs w:val="20"/>
              </w:rPr>
              <w:t>鹏华美国房地产</w:t>
            </w:r>
          </w:p>
        </w:tc>
        <w:tc>
          <w:tcPr>
            <w:tcW w:w="1678" w:type="dxa"/>
            <w:tcBorders>
              <w:bottom w:val="nil"/>
            </w:tcBorders>
            <w:noWrap/>
            <w:vAlign w:val="center"/>
            <w:hideMark/>
          </w:tcPr>
          <w:p w:rsidR="00D73907" w:rsidRDefault="00D73907" w:rsidP="00F07EC3">
            <w:pPr>
              <w:jc w:val="center"/>
              <w:cnfStyle w:val="000000100000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16.19</w:t>
            </w:r>
          </w:p>
        </w:tc>
        <w:tc>
          <w:tcPr>
            <w:tcW w:w="2498" w:type="dxa"/>
            <w:tcBorders>
              <w:bottom w:val="nil"/>
            </w:tcBorders>
            <w:noWrap/>
            <w:hideMark/>
          </w:tcPr>
          <w:p w:rsidR="00D73907" w:rsidRDefault="00D73907" w:rsidP="00D73907">
            <w:pPr>
              <w:jc w:val="center"/>
              <w:cnfStyle w:val="00000010000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景顺长城大中华</w:t>
            </w:r>
          </w:p>
        </w:tc>
        <w:tc>
          <w:tcPr>
            <w:tcW w:w="1930" w:type="dxa"/>
            <w:tcBorders>
              <w:bottom w:val="nil"/>
            </w:tcBorders>
            <w:noWrap/>
            <w:vAlign w:val="center"/>
            <w:hideMark/>
          </w:tcPr>
          <w:p w:rsidR="00D73907" w:rsidRDefault="00D73907" w:rsidP="00D73907">
            <w:pPr>
              <w:jc w:val="center"/>
              <w:cnfStyle w:val="000000100000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67.68</w:t>
            </w:r>
          </w:p>
        </w:tc>
      </w:tr>
      <w:tr w:rsidR="00D73907" w:rsidRPr="00817ECE" w:rsidTr="00984E9A">
        <w:trPr>
          <w:trHeight w:val="270"/>
        </w:trPr>
        <w:tc>
          <w:tcPr>
            <w:cnfStyle w:val="001000000000"/>
            <w:tcW w:w="2224" w:type="dxa"/>
            <w:tcBorders>
              <w:top w:val="nil"/>
              <w:bottom w:val="single" w:sz="4" w:space="0" w:color="auto"/>
            </w:tcBorders>
            <w:noWrap/>
            <w:hideMark/>
          </w:tcPr>
          <w:p w:rsidR="00D73907" w:rsidRPr="00F07EC3" w:rsidRDefault="00D73907" w:rsidP="00F07EC3">
            <w:pPr>
              <w:jc w:val="center"/>
              <w:rPr>
                <w:rFonts w:ascii="宋体" w:eastAsia="宋体" w:hAnsi="宋体" w:cs="宋体"/>
                <w:b w:val="0"/>
                <w:color w:val="000000"/>
                <w:sz w:val="20"/>
                <w:szCs w:val="20"/>
              </w:rPr>
            </w:pPr>
            <w:r w:rsidRPr="00F07EC3">
              <w:rPr>
                <w:rFonts w:hint="eastAsia"/>
                <w:b w:val="0"/>
                <w:color w:val="000000"/>
                <w:sz w:val="20"/>
                <w:szCs w:val="20"/>
              </w:rPr>
              <w:t>长信标普</w:t>
            </w:r>
            <w:r w:rsidRPr="00F07EC3">
              <w:rPr>
                <w:rFonts w:hint="eastAsia"/>
                <w:b w:val="0"/>
                <w:color w:val="000000"/>
                <w:sz w:val="20"/>
                <w:szCs w:val="20"/>
              </w:rPr>
              <w:t>100</w:t>
            </w:r>
            <w:r w:rsidRPr="00F07EC3">
              <w:rPr>
                <w:rFonts w:hint="eastAsia"/>
                <w:b w:val="0"/>
                <w:color w:val="000000"/>
                <w:sz w:val="20"/>
                <w:szCs w:val="20"/>
              </w:rPr>
              <w:t>等权重</w:t>
            </w:r>
          </w:p>
        </w:tc>
        <w:tc>
          <w:tcPr>
            <w:tcW w:w="1678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:rsidR="00D73907" w:rsidRDefault="00D73907" w:rsidP="00F07EC3">
            <w:pPr>
              <w:jc w:val="center"/>
              <w:cnfStyle w:val="000000000000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5.97</w:t>
            </w:r>
          </w:p>
        </w:tc>
        <w:tc>
          <w:tcPr>
            <w:tcW w:w="2498" w:type="dxa"/>
            <w:tcBorders>
              <w:top w:val="nil"/>
              <w:bottom w:val="single" w:sz="4" w:space="0" w:color="auto"/>
            </w:tcBorders>
            <w:noWrap/>
            <w:hideMark/>
          </w:tcPr>
          <w:p w:rsidR="00D73907" w:rsidRDefault="00D73907" w:rsidP="00D73907">
            <w:pPr>
              <w:jc w:val="center"/>
              <w:cnfStyle w:val="00000000000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中银</w:t>
            </w: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标普全球</w:t>
            </w:r>
            <w:proofErr w:type="gramEnd"/>
            <w:r>
              <w:rPr>
                <w:rFonts w:hint="eastAsia"/>
                <w:color w:val="000000"/>
                <w:sz w:val="20"/>
                <w:szCs w:val="20"/>
              </w:rPr>
              <w:t>精选</w:t>
            </w:r>
          </w:p>
        </w:tc>
        <w:tc>
          <w:tcPr>
            <w:tcW w:w="1930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:rsidR="00D73907" w:rsidRDefault="00D73907" w:rsidP="00D73907">
            <w:pPr>
              <w:jc w:val="center"/>
              <w:cnfStyle w:val="000000000000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45.69</w:t>
            </w:r>
          </w:p>
        </w:tc>
      </w:tr>
      <w:tr w:rsidR="00817ECE" w:rsidRPr="008D1830" w:rsidTr="00384C4C">
        <w:trPr>
          <w:cnfStyle w:val="000000100000"/>
          <w:trHeight w:val="270"/>
        </w:trPr>
        <w:tc>
          <w:tcPr>
            <w:cnfStyle w:val="001000000000"/>
            <w:tcW w:w="3902" w:type="dxa"/>
            <w:gridSpan w:val="2"/>
            <w:tcBorders>
              <w:top w:val="single" w:sz="4" w:space="0" w:color="auto"/>
            </w:tcBorders>
            <w:noWrap/>
            <w:hideMark/>
          </w:tcPr>
          <w:p w:rsidR="00817ECE" w:rsidRPr="00384C4C" w:rsidRDefault="00817ECE" w:rsidP="00817ECE">
            <w:pPr>
              <w:widowControl/>
              <w:jc w:val="left"/>
              <w:rPr>
                <w:rFonts w:ascii="宋体" w:eastAsia="宋体" w:hAnsi="宋体" w:cs="宋体"/>
                <w:b w:val="0"/>
                <w:color w:val="000000"/>
                <w:kern w:val="0"/>
                <w:sz w:val="20"/>
                <w:szCs w:val="20"/>
              </w:rPr>
            </w:pPr>
            <w:r w:rsidRPr="00384C4C">
              <w:rPr>
                <w:rFonts w:ascii="宋体" w:eastAsia="宋体" w:hAnsi="宋体" w:cs="宋体" w:hint="eastAsia"/>
                <w:b w:val="0"/>
                <w:color w:val="000000"/>
                <w:kern w:val="0"/>
                <w:sz w:val="20"/>
                <w:szCs w:val="20"/>
              </w:rPr>
              <w:t>数据来源：</w:t>
            </w:r>
            <w:proofErr w:type="gramStart"/>
            <w:r w:rsidRPr="00384C4C">
              <w:rPr>
                <w:rFonts w:ascii="宋体" w:eastAsia="宋体" w:hAnsi="宋体" w:cs="宋体" w:hint="eastAsia"/>
                <w:b w:val="0"/>
                <w:color w:val="000000"/>
                <w:kern w:val="0"/>
                <w:sz w:val="20"/>
                <w:szCs w:val="20"/>
              </w:rPr>
              <w:t>众禄基金</w:t>
            </w:r>
            <w:proofErr w:type="gramEnd"/>
            <w:r w:rsidRPr="00384C4C">
              <w:rPr>
                <w:rFonts w:ascii="宋体" w:eastAsia="宋体" w:hAnsi="宋体" w:cs="宋体" w:hint="eastAsia"/>
                <w:b w:val="0"/>
                <w:color w:val="000000"/>
                <w:kern w:val="0"/>
                <w:sz w:val="20"/>
                <w:szCs w:val="20"/>
              </w:rPr>
              <w:t>研究中心</w:t>
            </w:r>
          </w:p>
        </w:tc>
        <w:tc>
          <w:tcPr>
            <w:tcW w:w="2498" w:type="dxa"/>
            <w:tcBorders>
              <w:top w:val="single" w:sz="4" w:space="0" w:color="auto"/>
            </w:tcBorders>
            <w:noWrap/>
            <w:hideMark/>
          </w:tcPr>
          <w:p w:rsidR="00817ECE" w:rsidRPr="00817ECE" w:rsidRDefault="00817ECE" w:rsidP="00817ECE">
            <w:pPr>
              <w:widowControl/>
              <w:jc w:val="left"/>
              <w:cnfStyle w:val="00000010000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30" w:type="dxa"/>
            <w:tcBorders>
              <w:top w:val="single" w:sz="4" w:space="0" w:color="auto"/>
            </w:tcBorders>
            <w:noWrap/>
            <w:hideMark/>
          </w:tcPr>
          <w:p w:rsidR="00817ECE" w:rsidRPr="00817ECE" w:rsidRDefault="00817ECE" w:rsidP="00817ECE">
            <w:pPr>
              <w:widowControl/>
              <w:jc w:val="left"/>
              <w:cnfStyle w:val="00000010000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 w:rsidR="008D1830" w:rsidRDefault="008D1830" w:rsidP="009D3F5F">
      <w:pPr>
        <w:spacing w:beforeLines="50" w:line="300" w:lineRule="auto"/>
        <w:rPr>
          <w:b/>
        </w:rPr>
      </w:pPr>
    </w:p>
    <w:p w:rsidR="00FF3FFF" w:rsidRPr="001C5DF6" w:rsidRDefault="00A932D4" w:rsidP="009D3F5F">
      <w:pPr>
        <w:spacing w:beforeLines="50" w:line="300" w:lineRule="auto"/>
        <w:rPr>
          <w:b/>
        </w:rPr>
      </w:pPr>
      <w:r>
        <w:rPr>
          <w:rFonts w:hint="eastAsia"/>
          <w:b/>
        </w:rPr>
        <w:t>二、</w:t>
      </w:r>
      <w:r w:rsidR="00E43625">
        <w:rPr>
          <w:rFonts w:hint="eastAsia"/>
          <w:b/>
        </w:rPr>
        <w:t>三季度</w:t>
      </w:r>
      <w:r w:rsidR="00E43625">
        <w:rPr>
          <w:rFonts w:hint="eastAsia"/>
          <w:b/>
        </w:rPr>
        <w:t>QDII</w:t>
      </w:r>
      <w:r w:rsidR="00E43625">
        <w:rPr>
          <w:rFonts w:hint="eastAsia"/>
          <w:b/>
        </w:rPr>
        <w:t>基金普遍加仓股票</w:t>
      </w:r>
      <w:r w:rsidR="00C237BA">
        <w:rPr>
          <w:rFonts w:hint="eastAsia"/>
          <w:b/>
        </w:rPr>
        <w:t>资产</w:t>
      </w:r>
    </w:p>
    <w:p w:rsidR="00A35955" w:rsidRPr="00D80094" w:rsidRDefault="00BB6DB5" w:rsidP="009D3F5F">
      <w:pPr>
        <w:spacing w:beforeLines="50" w:line="300" w:lineRule="auto"/>
      </w:pPr>
      <w:r w:rsidRPr="00BB6DB5">
        <w:rPr>
          <w:rFonts w:hint="eastAsia"/>
        </w:rPr>
        <w:t>截止</w:t>
      </w:r>
      <w:r w:rsidR="00B74B4E">
        <w:rPr>
          <w:rFonts w:hint="eastAsia"/>
        </w:rPr>
        <w:t>三</w:t>
      </w:r>
      <w:r w:rsidRPr="00BB6DB5">
        <w:rPr>
          <w:rFonts w:hint="eastAsia"/>
        </w:rPr>
        <w:t>季度末，</w:t>
      </w:r>
      <w:r w:rsidRPr="00BB6DB5">
        <w:rPr>
          <w:rFonts w:hint="eastAsia"/>
        </w:rPr>
        <w:t>QDII</w:t>
      </w:r>
      <w:r w:rsidRPr="00BB6DB5">
        <w:rPr>
          <w:rFonts w:hint="eastAsia"/>
        </w:rPr>
        <w:t>基金</w:t>
      </w:r>
      <w:r>
        <w:rPr>
          <w:rFonts w:hint="eastAsia"/>
        </w:rPr>
        <w:t>的</w:t>
      </w:r>
      <w:r w:rsidRPr="00BB6DB5">
        <w:rPr>
          <w:rFonts w:hint="eastAsia"/>
        </w:rPr>
        <w:t>股票、基金、债券及现金四项大类资产占比分别为</w:t>
      </w:r>
      <w:r w:rsidRPr="00BB6DB5">
        <w:rPr>
          <w:rFonts w:hint="eastAsia"/>
        </w:rPr>
        <w:t>6</w:t>
      </w:r>
      <w:r w:rsidR="00B74B4E">
        <w:rPr>
          <w:rFonts w:hint="eastAsia"/>
        </w:rPr>
        <w:t>9</w:t>
      </w:r>
      <w:r w:rsidRPr="00BB6DB5">
        <w:rPr>
          <w:rFonts w:hint="eastAsia"/>
        </w:rPr>
        <w:t>%</w:t>
      </w:r>
      <w:r w:rsidRPr="00BB6DB5">
        <w:rPr>
          <w:rFonts w:hint="eastAsia"/>
        </w:rPr>
        <w:t>、</w:t>
      </w:r>
      <w:r w:rsidRPr="00BB6DB5">
        <w:rPr>
          <w:rFonts w:hint="eastAsia"/>
        </w:rPr>
        <w:t>17%</w:t>
      </w:r>
      <w:r w:rsidRPr="00BB6DB5">
        <w:rPr>
          <w:rFonts w:hint="eastAsia"/>
        </w:rPr>
        <w:t>、</w:t>
      </w:r>
      <w:r w:rsidR="00B74B4E">
        <w:rPr>
          <w:rFonts w:hint="eastAsia"/>
        </w:rPr>
        <w:t>5</w:t>
      </w:r>
      <w:r w:rsidRPr="00BB6DB5">
        <w:rPr>
          <w:rFonts w:hint="eastAsia"/>
        </w:rPr>
        <w:t>%</w:t>
      </w:r>
      <w:r w:rsidRPr="00BB6DB5">
        <w:rPr>
          <w:rFonts w:hint="eastAsia"/>
        </w:rPr>
        <w:t>及</w:t>
      </w:r>
      <w:r w:rsidR="00B74B4E">
        <w:rPr>
          <w:rFonts w:hint="eastAsia"/>
        </w:rPr>
        <w:t>8</w:t>
      </w:r>
      <w:r w:rsidRPr="00BB6DB5">
        <w:rPr>
          <w:rFonts w:hint="eastAsia"/>
        </w:rPr>
        <w:t>%</w:t>
      </w:r>
      <w:r w:rsidRPr="00BB6DB5">
        <w:rPr>
          <w:rFonts w:hint="eastAsia"/>
        </w:rPr>
        <w:t>。</w:t>
      </w:r>
      <w:r w:rsidR="00D80094">
        <w:rPr>
          <w:rFonts w:hint="eastAsia"/>
        </w:rPr>
        <w:t>其中股票资产</w:t>
      </w:r>
      <w:proofErr w:type="gramStart"/>
      <w:r w:rsidR="00D80094">
        <w:rPr>
          <w:rFonts w:hint="eastAsia"/>
        </w:rPr>
        <w:t>占比较</w:t>
      </w:r>
      <w:proofErr w:type="gramEnd"/>
      <w:r w:rsidR="00D80094">
        <w:rPr>
          <w:rFonts w:hint="eastAsia"/>
        </w:rPr>
        <w:t>二季度上涨两个百分点。</w:t>
      </w:r>
      <w:r w:rsidR="00527747">
        <w:rPr>
          <w:rFonts w:hint="eastAsia"/>
        </w:rPr>
        <w:t>三季度，全球流动性仍比较宽裕，主要经济体</w:t>
      </w:r>
      <w:r w:rsidR="009A6019">
        <w:rPr>
          <w:rFonts w:hint="eastAsia"/>
        </w:rPr>
        <w:t>经济</w:t>
      </w:r>
      <w:r w:rsidR="008A2627">
        <w:rPr>
          <w:rFonts w:hint="eastAsia"/>
        </w:rPr>
        <w:t>活动指数持续向好，全球股指</w:t>
      </w:r>
      <w:r w:rsidR="00E25D51">
        <w:rPr>
          <w:rFonts w:hint="eastAsia"/>
        </w:rPr>
        <w:t>普遍走高，</w:t>
      </w:r>
      <w:r w:rsidR="00E25D51">
        <w:rPr>
          <w:rFonts w:hint="eastAsia"/>
        </w:rPr>
        <w:t>QDII</w:t>
      </w:r>
      <w:r w:rsidR="00E25D51">
        <w:rPr>
          <w:rFonts w:hint="eastAsia"/>
        </w:rPr>
        <w:t>基金整体风险偏好有所抬升。</w:t>
      </w: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8222"/>
      </w:tblGrid>
      <w:tr w:rsidR="00A35955" w:rsidTr="00C61438">
        <w:tc>
          <w:tcPr>
            <w:tcW w:w="8222" w:type="dxa"/>
            <w:tcBorders>
              <w:bottom w:val="single" w:sz="4" w:space="0" w:color="auto"/>
            </w:tcBorders>
          </w:tcPr>
          <w:p w:rsidR="00A35955" w:rsidRPr="00B32872" w:rsidRDefault="00A35955" w:rsidP="009D3F5F">
            <w:pPr>
              <w:spacing w:beforeLines="50" w:line="300" w:lineRule="auto"/>
              <w:rPr>
                <w:rFonts w:ascii="华文细黑" w:eastAsia="华文细黑" w:hAnsi="华文细黑"/>
                <w:i/>
              </w:rPr>
            </w:pPr>
            <w:r w:rsidRPr="00B32872">
              <w:rPr>
                <w:rFonts w:ascii="华文细黑" w:eastAsia="华文细黑" w:hAnsi="华文细黑" w:hint="eastAsia"/>
                <w:i/>
              </w:rPr>
              <w:t>图表：</w:t>
            </w:r>
            <w:r>
              <w:rPr>
                <w:rFonts w:ascii="华文细黑" w:eastAsia="华文细黑" w:hAnsi="华文细黑" w:hint="eastAsia"/>
                <w:i/>
              </w:rPr>
              <w:t>QDII基金大类资产配置变化</w:t>
            </w:r>
          </w:p>
        </w:tc>
      </w:tr>
      <w:tr w:rsidR="00A35955" w:rsidTr="00C61438">
        <w:trPr>
          <w:trHeight w:val="4479"/>
        </w:trPr>
        <w:tc>
          <w:tcPr>
            <w:tcW w:w="8222" w:type="dxa"/>
            <w:tcBorders>
              <w:top w:val="single" w:sz="4" w:space="0" w:color="auto"/>
              <w:bottom w:val="single" w:sz="4" w:space="0" w:color="auto"/>
            </w:tcBorders>
          </w:tcPr>
          <w:p w:rsidR="00A35955" w:rsidRDefault="00A40171" w:rsidP="00A35955">
            <w:pPr>
              <w:spacing w:line="300" w:lineRule="auto"/>
            </w:pPr>
            <w:r w:rsidRPr="00A40171">
              <w:rPr>
                <w:noProof/>
              </w:rPr>
              <w:drawing>
                <wp:inline distT="0" distB="0" distL="0" distR="0">
                  <wp:extent cx="5105400" cy="2743200"/>
                  <wp:effectExtent l="0" t="0" r="0" b="0"/>
                  <wp:docPr id="10" name="图表 5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</w:tr>
      <w:tr w:rsidR="00A35955" w:rsidTr="00C61438">
        <w:tc>
          <w:tcPr>
            <w:tcW w:w="8222" w:type="dxa"/>
            <w:tcBorders>
              <w:top w:val="single" w:sz="4" w:space="0" w:color="auto"/>
            </w:tcBorders>
          </w:tcPr>
          <w:p w:rsidR="00A35955" w:rsidRPr="00B32872" w:rsidRDefault="00A35955" w:rsidP="00C61438">
            <w:pPr>
              <w:spacing w:line="300" w:lineRule="auto"/>
              <w:rPr>
                <w:sz w:val="18"/>
                <w:szCs w:val="18"/>
              </w:rPr>
            </w:pPr>
            <w:r w:rsidRPr="00B32872">
              <w:rPr>
                <w:rFonts w:hint="eastAsia"/>
                <w:sz w:val="18"/>
                <w:szCs w:val="18"/>
              </w:rPr>
              <w:t>数据来源：</w:t>
            </w:r>
            <w:proofErr w:type="gramStart"/>
            <w:r w:rsidRPr="00B32872">
              <w:rPr>
                <w:rFonts w:hint="eastAsia"/>
                <w:sz w:val="18"/>
                <w:szCs w:val="18"/>
              </w:rPr>
              <w:t>众禄基金</w:t>
            </w:r>
            <w:proofErr w:type="gramEnd"/>
            <w:r w:rsidRPr="00B32872">
              <w:rPr>
                <w:rFonts w:hint="eastAsia"/>
                <w:sz w:val="18"/>
                <w:szCs w:val="18"/>
              </w:rPr>
              <w:t>研究中心</w:t>
            </w:r>
          </w:p>
        </w:tc>
      </w:tr>
    </w:tbl>
    <w:p w:rsidR="00A35955" w:rsidRDefault="00233F0B" w:rsidP="009D3F5F">
      <w:pPr>
        <w:spacing w:beforeLines="50" w:line="300" w:lineRule="auto"/>
      </w:pPr>
      <w:r>
        <w:rPr>
          <w:rFonts w:hint="eastAsia"/>
        </w:rPr>
        <w:t>截止三</w:t>
      </w:r>
      <w:r w:rsidR="00311409">
        <w:rPr>
          <w:rFonts w:hint="eastAsia"/>
        </w:rPr>
        <w:t>季度末，纳入统计的主动</w:t>
      </w:r>
      <w:r w:rsidR="00311409" w:rsidRPr="00311409">
        <w:rPr>
          <w:rFonts w:hint="eastAsia"/>
        </w:rPr>
        <w:t>股票型</w:t>
      </w:r>
      <w:r w:rsidR="00311409">
        <w:rPr>
          <w:rFonts w:hint="eastAsia"/>
        </w:rPr>
        <w:t>QDII</w:t>
      </w:r>
      <w:r w:rsidR="00311409" w:rsidRPr="00311409">
        <w:rPr>
          <w:rFonts w:hint="eastAsia"/>
        </w:rPr>
        <w:t>基金</w:t>
      </w:r>
      <w:r w:rsidR="00311409">
        <w:rPr>
          <w:rFonts w:hint="eastAsia"/>
        </w:rPr>
        <w:t>（</w:t>
      </w:r>
      <w:r w:rsidR="00311409" w:rsidRPr="00311409">
        <w:rPr>
          <w:rFonts w:hint="eastAsia"/>
        </w:rPr>
        <w:t>剔除</w:t>
      </w:r>
      <w:r w:rsidR="00311409" w:rsidRPr="00311409">
        <w:rPr>
          <w:rFonts w:hint="eastAsia"/>
        </w:rPr>
        <w:t>FOF</w:t>
      </w:r>
      <w:r w:rsidR="00311409" w:rsidRPr="00311409">
        <w:rPr>
          <w:rFonts w:hint="eastAsia"/>
        </w:rPr>
        <w:t>、</w:t>
      </w:r>
      <w:r w:rsidR="00311409" w:rsidRPr="00311409">
        <w:rPr>
          <w:rFonts w:hint="eastAsia"/>
        </w:rPr>
        <w:t>ETF</w:t>
      </w:r>
      <w:r w:rsidR="00311409" w:rsidRPr="00311409">
        <w:rPr>
          <w:rFonts w:hint="eastAsia"/>
        </w:rPr>
        <w:t>联接、仍在建仓期的基金</w:t>
      </w:r>
      <w:r w:rsidR="00311409">
        <w:rPr>
          <w:rFonts w:hint="eastAsia"/>
        </w:rPr>
        <w:t>）平均</w:t>
      </w:r>
      <w:proofErr w:type="gramStart"/>
      <w:r w:rsidR="00311409">
        <w:rPr>
          <w:rFonts w:hint="eastAsia"/>
        </w:rPr>
        <w:t>仓位</w:t>
      </w:r>
      <w:proofErr w:type="gramEnd"/>
      <w:r w:rsidR="00311409">
        <w:rPr>
          <w:rFonts w:hint="eastAsia"/>
        </w:rPr>
        <w:t>为</w:t>
      </w:r>
      <w:r>
        <w:rPr>
          <w:rFonts w:hint="eastAsia"/>
        </w:rPr>
        <w:t>88.95</w:t>
      </w:r>
      <w:r w:rsidR="00311409">
        <w:rPr>
          <w:rFonts w:hint="eastAsia"/>
        </w:rPr>
        <w:t>%</w:t>
      </w:r>
      <w:r w:rsidR="00311409">
        <w:rPr>
          <w:rFonts w:hint="eastAsia"/>
        </w:rPr>
        <w:t>，较</w:t>
      </w:r>
      <w:r>
        <w:rPr>
          <w:rFonts w:hint="eastAsia"/>
        </w:rPr>
        <w:t>二</w:t>
      </w:r>
      <w:r w:rsidR="00311409">
        <w:rPr>
          <w:rFonts w:hint="eastAsia"/>
        </w:rPr>
        <w:t>季度</w:t>
      </w:r>
      <w:r>
        <w:rPr>
          <w:rFonts w:hint="eastAsia"/>
        </w:rPr>
        <w:t>（</w:t>
      </w:r>
      <w:r>
        <w:rPr>
          <w:rFonts w:hint="eastAsia"/>
        </w:rPr>
        <w:t>86.72%</w:t>
      </w:r>
      <w:r>
        <w:rPr>
          <w:rFonts w:hint="eastAsia"/>
        </w:rPr>
        <w:t>）上升</w:t>
      </w:r>
      <w:r>
        <w:rPr>
          <w:rFonts w:hint="eastAsia"/>
        </w:rPr>
        <w:t>2.23</w:t>
      </w:r>
      <w:r w:rsidR="00311409">
        <w:rPr>
          <w:rFonts w:hint="eastAsia"/>
        </w:rPr>
        <w:t>%</w:t>
      </w:r>
      <w:r w:rsidR="00311409">
        <w:rPr>
          <w:rFonts w:hint="eastAsia"/>
        </w:rPr>
        <w:t>。当前</w:t>
      </w:r>
      <w:r w:rsidR="00311409" w:rsidRPr="00311409">
        <w:rPr>
          <w:rFonts w:hint="eastAsia"/>
        </w:rPr>
        <w:t>的主动股票型</w:t>
      </w:r>
      <w:r w:rsidR="00311409" w:rsidRPr="00311409">
        <w:rPr>
          <w:rFonts w:hint="eastAsia"/>
        </w:rPr>
        <w:t>QDII</w:t>
      </w:r>
      <w:r w:rsidR="00311409" w:rsidRPr="00311409">
        <w:rPr>
          <w:rFonts w:hint="eastAsia"/>
        </w:rPr>
        <w:t>基金</w:t>
      </w:r>
      <w:proofErr w:type="gramStart"/>
      <w:r w:rsidR="00311409">
        <w:rPr>
          <w:rFonts w:hint="eastAsia"/>
        </w:rPr>
        <w:t>仓位</w:t>
      </w:r>
      <w:proofErr w:type="gramEnd"/>
      <w:r w:rsidR="00311409">
        <w:rPr>
          <w:rFonts w:hint="eastAsia"/>
        </w:rPr>
        <w:t>处于历史较高水平，比历史均值高出</w:t>
      </w:r>
      <w:r>
        <w:rPr>
          <w:rFonts w:hint="eastAsia"/>
        </w:rPr>
        <w:t>4.03</w:t>
      </w:r>
      <w:r w:rsidR="00311409">
        <w:rPr>
          <w:rFonts w:hint="eastAsia"/>
        </w:rPr>
        <w:t>%</w:t>
      </w:r>
      <w:r w:rsidR="00311409">
        <w:rPr>
          <w:rFonts w:hint="eastAsia"/>
        </w:rPr>
        <w:t>。</w:t>
      </w:r>
    </w:p>
    <w:p w:rsidR="00983F9C" w:rsidRDefault="00983F9C" w:rsidP="009D3F5F">
      <w:pPr>
        <w:spacing w:beforeLines="50" w:line="300" w:lineRule="auto"/>
      </w:pPr>
    </w:p>
    <w:p w:rsidR="006242BF" w:rsidRDefault="006242BF" w:rsidP="009D3F5F">
      <w:pPr>
        <w:spacing w:beforeLines="50" w:line="300" w:lineRule="auto"/>
      </w:pPr>
    </w:p>
    <w:p w:rsidR="006242BF" w:rsidRDefault="006242BF" w:rsidP="009D3F5F">
      <w:pPr>
        <w:spacing w:beforeLines="50" w:line="300" w:lineRule="auto"/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8222"/>
      </w:tblGrid>
      <w:tr w:rsidR="004C1D39" w:rsidTr="00C61438">
        <w:tc>
          <w:tcPr>
            <w:tcW w:w="8222" w:type="dxa"/>
            <w:tcBorders>
              <w:bottom w:val="single" w:sz="4" w:space="0" w:color="auto"/>
            </w:tcBorders>
          </w:tcPr>
          <w:p w:rsidR="004C1D39" w:rsidRPr="00B32872" w:rsidRDefault="004C1D39" w:rsidP="009D3F5F">
            <w:pPr>
              <w:spacing w:beforeLines="50" w:line="300" w:lineRule="auto"/>
              <w:rPr>
                <w:rFonts w:ascii="华文细黑" w:eastAsia="华文细黑" w:hAnsi="华文细黑"/>
                <w:i/>
              </w:rPr>
            </w:pPr>
            <w:r w:rsidRPr="00B32872">
              <w:rPr>
                <w:rFonts w:ascii="华文细黑" w:eastAsia="华文细黑" w:hAnsi="华文细黑" w:hint="eastAsia"/>
                <w:i/>
              </w:rPr>
              <w:lastRenderedPageBreak/>
              <w:t>图表：</w:t>
            </w:r>
            <w:r w:rsidR="00D07C5C">
              <w:rPr>
                <w:rFonts w:ascii="华文细黑" w:eastAsia="华文细黑" w:hAnsi="华文细黑" w:hint="eastAsia"/>
                <w:i/>
              </w:rPr>
              <w:t>股票</w:t>
            </w:r>
            <w:proofErr w:type="gramStart"/>
            <w:r w:rsidR="00D07C5C">
              <w:rPr>
                <w:rFonts w:ascii="华文细黑" w:eastAsia="华文细黑" w:hAnsi="华文细黑" w:hint="eastAsia"/>
                <w:i/>
              </w:rPr>
              <w:t>仓位</w:t>
            </w:r>
            <w:proofErr w:type="gramEnd"/>
          </w:p>
        </w:tc>
      </w:tr>
      <w:tr w:rsidR="004C1D39" w:rsidTr="00C61438">
        <w:trPr>
          <w:trHeight w:val="4479"/>
        </w:trPr>
        <w:tc>
          <w:tcPr>
            <w:tcW w:w="8222" w:type="dxa"/>
            <w:tcBorders>
              <w:top w:val="single" w:sz="4" w:space="0" w:color="auto"/>
              <w:bottom w:val="single" w:sz="4" w:space="0" w:color="auto"/>
            </w:tcBorders>
          </w:tcPr>
          <w:p w:rsidR="004C1D39" w:rsidRDefault="00CD68BD" w:rsidP="00311409">
            <w:pPr>
              <w:spacing w:line="300" w:lineRule="auto"/>
            </w:pPr>
            <w:r w:rsidRPr="00CD68BD">
              <w:rPr>
                <w:noProof/>
              </w:rPr>
              <w:drawing>
                <wp:inline distT="0" distB="0" distL="0" distR="0">
                  <wp:extent cx="5133975" cy="2943225"/>
                  <wp:effectExtent l="19050" t="0" r="0" b="0"/>
                  <wp:docPr id="11" name="图表 6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</w:tc>
      </w:tr>
      <w:tr w:rsidR="004C1D39" w:rsidTr="00C61438">
        <w:tc>
          <w:tcPr>
            <w:tcW w:w="8222" w:type="dxa"/>
            <w:tcBorders>
              <w:top w:val="single" w:sz="4" w:space="0" w:color="auto"/>
            </w:tcBorders>
          </w:tcPr>
          <w:p w:rsidR="004C1D39" w:rsidRPr="00B32872" w:rsidRDefault="004C1D39" w:rsidP="00C61438">
            <w:pPr>
              <w:spacing w:line="300" w:lineRule="auto"/>
              <w:rPr>
                <w:sz w:val="18"/>
                <w:szCs w:val="18"/>
              </w:rPr>
            </w:pPr>
            <w:r w:rsidRPr="00B32872">
              <w:rPr>
                <w:rFonts w:hint="eastAsia"/>
                <w:sz w:val="18"/>
                <w:szCs w:val="18"/>
              </w:rPr>
              <w:t>数据来源：</w:t>
            </w:r>
            <w:proofErr w:type="gramStart"/>
            <w:r w:rsidRPr="00B32872">
              <w:rPr>
                <w:rFonts w:hint="eastAsia"/>
                <w:sz w:val="18"/>
                <w:szCs w:val="18"/>
              </w:rPr>
              <w:t>众禄基金</w:t>
            </w:r>
            <w:proofErr w:type="gramEnd"/>
            <w:r w:rsidRPr="00B32872">
              <w:rPr>
                <w:rFonts w:hint="eastAsia"/>
                <w:sz w:val="18"/>
                <w:szCs w:val="18"/>
              </w:rPr>
              <w:t>研究中心</w:t>
            </w:r>
          </w:p>
        </w:tc>
      </w:tr>
    </w:tbl>
    <w:p w:rsidR="0078500A" w:rsidRDefault="00C61ED0" w:rsidP="009D3F5F">
      <w:pPr>
        <w:spacing w:beforeLines="50" w:line="300" w:lineRule="auto"/>
      </w:pPr>
      <w:r>
        <w:rPr>
          <w:rFonts w:hint="eastAsia"/>
        </w:rPr>
        <w:t>三</w:t>
      </w:r>
      <w:r w:rsidR="007D20BD">
        <w:rPr>
          <w:rFonts w:hint="eastAsia"/>
        </w:rPr>
        <w:t>季度加仓幅度较大的主动股票型</w:t>
      </w:r>
      <w:r w:rsidR="007D20BD">
        <w:rPr>
          <w:rFonts w:hint="eastAsia"/>
        </w:rPr>
        <w:t>QDII</w:t>
      </w:r>
      <w:r w:rsidR="007D20BD">
        <w:rPr>
          <w:rFonts w:hint="eastAsia"/>
        </w:rPr>
        <w:t>基金有</w:t>
      </w:r>
      <w:r w:rsidR="00E25D51">
        <w:rPr>
          <w:rFonts w:hint="eastAsia"/>
        </w:rPr>
        <w:t>景顺长城大中华（</w:t>
      </w:r>
      <w:r w:rsidR="009A6019">
        <w:rPr>
          <w:rFonts w:hint="eastAsia"/>
        </w:rPr>
        <w:t>+</w:t>
      </w:r>
      <w:r w:rsidR="00E25D51">
        <w:t>21.88</w:t>
      </w:r>
      <w:r w:rsidR="00E25D51">
        <w:rPr>
          <w:rFonts w:hint="eastAsia"/>
        </w:rPr>
        <w:t>%</w:t>
      </w:r>
      <w:r w:rsidR="00E25D51">
        <w:rPr>
          <w:rFonts w:hint="eastAsia"/>
        </w:rPr>
        <w:t>）、国富亚洲机会（</w:t>
      </w:r>
      <w:r w:rsidR="009A6019">
        <w:rPr>
          <w:rFonts w:hint="eastAsia"/>
        </w:rPr>
        <w:t>+</w:t>
      </w:r>
      <w:r w:rsidR="00E25D51">
        <w:t>16.71</w:t>
      </w:r>
      <w:r w:rsidR="00E25D51">
        <w:rPr>
          <w:rFonts w:hint="eastAsia"/>
        </w:rPr>
        <w:t>%</w:t>
      </w:r>
      <w:r w:rsidR="00E25D51">
        <w:rPr>
          <w:rFonts w:hint="eastAsia"/>
        </w:rPr>
        <w:t>）、</w:t>
      </w:r>
      <w:proofErr w:type="gramStart"/>
      <w:r w:rsidR="00E25D51">
        <w:rPr>
          <w:rFonts w:hint="eastAsia"/>
        </w:rPr>
        <w:t>诺安全球收益</w:t>
      </w:r>
      <w:proofErr w:type="gramEnd"/>
      <w:r w:rsidR="00E25D51">
        <w:rPr>
          <w:rFonts w:hint="eastAsia"/>
        </w:rPr>
        <w:t>不动产（</w:t>
      </w:r>
      <w:r w:rsidR="009A6019">
        <w:rPr>
          <w:rFonts w:hint="eastAsia"/>
        </w:rPr>
        <w:t>+</w:t>
      </w:r>
      <w:r w:rsidR="00E25D51">
        <w:t>15.92</w:t>
      </w:r>
      <w:r w:rsidR="00E25D51">
        <w:rPr>
          <w:rFonts w:hint="eastAsia"/>
        </w:rPr>
        <w:t>%</w:t>
      </w:r>
      <w:r w:rsidR="00E25D51">
        <w:rPr>
          <w:rFonts w:hint="eastAsia"/>
        </w:rPr>
        <w:t>）、交</w:t>
      </w:r>
      <w:proofErr w:type="gramStart"/>
      <w:r w:rsidR="00E25D51">
        <w:rPr>
          <w:rFonts w:hint="eastAsia"/>
        </w:rPr>
        <w:t>银全球</w:t>
      </w:r>
      <w:proofErr w:type="gramEnd"/>
      <w:r w:rsidR="00E25D51">
        <w:rPr>
          <w:rFonts w:hint="eastAsia"/>
        </w:rPr>
        <w:t>自然资（</w:t>
      </w:r>
      <w:r w:rsidR="009A6019">
        <w:rPr>
          <w:rFonts w:hint="eastAsia"/>
        </w:rPr>
        <w:t>+</w:t>
      </w:r>
      <w:r w:rsidR="00E25D51">
        <w:t>12.03</w:t>
      </w:r>
      <w:r w:rsidR="00E25D51">
        <w:rPr>
          <w:rFonts w:hint="eastAsia"/>
        </w:rPr>
        <w:t>%</w:t>
      </w:r>
      <w:r w:rsidR="00E25D51">
        <w:rPr>
          <w:rFonts w:hint="eastAsia"/>
        </w:rPr>
        <w:t>）、嘉</w:t>
      </w:r>
      <w:proofErr w:type="gramStart"/>
      <w:r w:rsidR="00E25D51">
        <w:rPr>
          <w:rFonts w:hint="eastAsia"/>
        </w:rPr>
        <w:t>实全球</w:t>
      </w:r>
      <w:proofErr w:type="gramEnd"/>
      <w:r w:rsidR="00E25D51">
        <w:rPr>
          <w:rFonts w:hint="eastAsia"/>
        </w:rPr>
        <w:t>房地产（</w:t>
      </w:r>
      <w:r w:rsidR="00E25D51">
        <w:t>9.63</w:t>
      </w:r>
      <w:r w:rsidR="00E25D51">
        <w:rPr>
          <w:rFonts w:hint="eastAsia"/>
        </w:rPr>
        <w:t>%</w:t>
      </w:r>
      <w:r w:rsidR="00E25D51">
        <w:rPr>
          <w:rFonts w:hint="eastAsia"/>
        </w:rPr>
        <w:t>）；</w:t>
      </w:r>
      <w:r w:rsidR="00E25D51" w:rsidRPr="00E25D51">
        <w:rPr>
          <w:rFonts w:hint="eastAsia"/>
        </w:rPr>
        <w:t>减仓幅度较大的主动股票型</w:t>
      </w:r>
      <w:r w:rsidR="00E25D51" w:rsidRPr="00E25D51">
        <w:rPr>
          <w:rFonts w:hint="eastAsia"/>
        </w:rPr>
        <w:t>QDII</w:t>
      </w:r>
      <w:r w:rsidR="00E25D51" w:rsidRPr="00E25D51">
        <w:rPr>
          <w:rFonts w:hint="eastAsia"/>
        </w:rPr>
        <w:t>基金有</w:t>
      </w:r>
      <w:r w:rsidR="00E25D51">
        <w:rPr>
          <w:rFonts w:hint="eastAsia"/>
        </w:rPr>
        <w:t>海富通大中华精选（</w:t>
      </w:r>
      <w:r w:rsidR="00E25D51">
        <w:rPr>
          <w:rFonts w:hint="eastAsia"/>
        </w:rPr>
        <w:t>-</w:t>
      </w:r>
      <w:r w:rsidR="00E25D51">
        <w:t>11.49</w:t>
      </w:r>
      <w:r w:rsidR="00E25D51">
        <w:rPr>
          <w:rFonts w:hint="eastAsia"/>
        </w:rPr>
        <w:t>%</w:t>
      </w:r>
      <w:r w:rsidR="00E25D51">
        <w:rPr>
          <w:rFonts w:hint="eastAsia"/>
        </w:rPr>
        <w:t>）、华泰柏瑞亚洲企业（</w:t>
      </w:r>
      <w:r w:rsidR="00E25D51">
        <w:rPr>
          <w:rFonts w:hint="eastAsia"/>
        </w:rPr>
        <w:t>-</w:t>
      </w:r>
      <w:r w:rsidR="00E25D51">
        <w:t>11.25</w:t>
      </w:r>
      <w:r w:rsidR="00E25D51">
        <w:rPr>
          <w:rFonts w:hint="eastAsia"/>
        </w:rPr>
        <w:t>%</w:t>
      </w:r>
      <w:r w:rsidR="00E25D51">
        <w:rPr>
          <w:rFonts w:hint="eastAsia"/>
        </w:rPr>
        <w:t>）、海</w:t>
      </w:r>
      <w:proofErr w:type="gramStart"/>
      <w:r w:rsidR="00E25D51">
        <w:rPr>
          <w:rFonts w:hint="eastAsia"/>
        </w:rPr>
        <w:t>富通海外</w:t>
      </w:r>
      <w:proofErr w:type="gramEnd"/>
      <w:r w:rsidR="00E25D51">
        <w:rPr>
          <w:rFonts w:hint="eastAsia"/>
        </w:rPr>
        <w:t>精选（</w:t>
      </w:r>
      <w:r w:rsidR="00E25D51">
        <w:rPr>
          <w:rFonts w:hint="eastAsia"/>
        </w:rPr>
        <w:t>-</w:t>
      </w:r>
      <w:r w:rsidR="00E25D51">
        <w:t>10.65</w:t>
      </w:r>
      <w:r w:rsidR="00E25D51">
        <w:rPr>
          <w:rFonts w:hint="eastAsia"/>
        </w:rPr>
        <w:t>）、博时大中华亚太精选（</w:t>
      </w:r>
      <w:r w:rsidR="00E25D51">
        <w:rPr>
          <w:rFonts w:hint="eastAsia"/>
        </w:rPr>
        <w:t>-</w:t>
      </w:r>
      <w:r w:rsidR="00E25D51">
        <w:t>8.16</w:t>
      </w:r>
      <w:r w:rsidR="00E25D51">
        <w:rPr>
          <w:rFonts w:hint="eastAsia"/>
        </w:rPr>
        <w:t>）、华夏全球精选（</w:t>
      </w:r>
      <w:r w:rsidR="00E25D51">
        <w:rPr>
          <w:rFonts w:hint="eastAsia"/>
        </w:rPr>
        <w:t>-</w:t>
      </w:r>
      <w:r w:rsidR="00E25D51">
        <w:t>4.60</w:t>
      </w:r>
      <w:r w:rsidR="00E25D51">
        <w:rPr>
          <w:rFonts w:hint="eastAsia"/>
        </w:rPr>
        <w:t>）。</w:t>
      </w:r>
    </w:p>
    <w:p w:rsidR="006242BF" w:rsidRDefault="006242BF" w:rsidP="009D3F5F">
      <w:pPr>
        <w:spacing w:beforeLines="50" w:line="300" w:lineRule="auto"/>
      </w:pPr>
    </w:p>
    <w:p w:rsidR="006242BF" w:rsidRDefault="006242BF" w:rsidP="009D3F5F">
      <w:pPr>
        <w:spacing w:beforeLines="50" w:line="300" w:lineRule="auto"/>
      </w:pPr>
    </w:p>
    <w:p w:rsidR="006242BF" w:rsidRDefault="006242BF" w:rsidP="009D3F5F">
      <w:pPr>
        <w:spacing w:beforeLines="50" w:line="300" w:lineRule="auto"/>
      </w:pPr>
    </w:p>
    <w:p w:rsidR="006242BF" w:rsidRDefault="006242BF" w:rsidP="009D3F5F">
      <w:pPr>
        <w:spacing w:beforeLines="50" w:line="300" w:lineRule="auto"/>
      </w:pPr>
    </w:p>
    <w:p w:rsidR="006242BF" w:rsidRDefault="006242BF" w:rsidP="009D3F5F">
      <w:pPr>
        <w:spacing w:beforeLines="50" w:line="300" w:lineRule="auto"/>
      </w:pPr>
    </w:p>
    <w:p w:rsidR="006242BF" w:rsidRDefault="006242BF" w:rsidP="009D3F5F">
      <w:pPr>
        <w:spacing w:beforeLines="50" w:line="300" w:lineRule="auto"/>
      </w:pPr>
    </w:p>
    <w:p w:rsidR="006242BF" w:rsidRDefault="006242BF" w:rsidP="009D3F5F">
      <w:pPr>
        <w:spacing w:beforeLines="50" w:line="300" w:lineRule="auto"/>
      </w:pPr>
    </w:p>
    <w:p w:rsidR="006242BF" w:rsidRDefault="006242BF" w:rsidP="009D3F5F">
      <w:pPr>
        <w:spacing w:beforeLines="50" w:line="300" w:lineRule="auto"/>
      </w:pPr>
    </w:p>
    <w:p w:rsidR="006242BF" w:rsidRDefault="006242BF" w:rsidP="009D3F5F">
      <w:pPr>
        <w:spacing w:beforeLines="50" w:line="300" w:lineRule="auto"/>
      </w:pPr>
    </w:p>
    <w:p w:rsidR="006242BF" w:rsidRDefault="006242BF" w:rsidP="009D3F5F">
      <w:pPr>
        <w:spacing w:beforeLines="50" w:line="300" w:lineRule="auto"/>
      </w:pPr>
    </w:p>
    <w:p w:rsidR="006242BF" w:rsidRDefault="006242BF" w:rsidP="009D3F5F">
      <w:pPr>
        <w:spacing w:beforeLines="50" w:line="300" w:lineRule="auto"/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8222"/>
      </w:tblGrid>
      <w:tr w:rsidR="00311409" w:rsidTr="00C61438">
        <w:tc>
          <w:tcPr>
            <w:tcW w:w="8222" w:type="dxa"/>
            <w:tcBorders>
              <w:bottom w:val="single" w:sz="4" w:space="0" w:color="auto"/>
            </w:tcBorders>
          </w:tcPr>
          <w:p w:rsidR="00311409" w:rsidRPr="00B32872" w:rsidRDefault="00311409" w:rsidP="009D3F5F">
            <w:pPr>
              <w:spacing w:beforeLines="50" w:line="300" w:lineRule="auto"/>
              <w:rPr>
                <w:rFonts w:ascii="华文细黑" w:eastAsia="华文细黑" w:hAnsi="华文细黑"/>
                <w:i/>
              </w:rPr>
            </w:pPr>
            <w:r w:rsidRPr="00B32872">
              <w:rPr>
                <w:rFonts w:ascii="华文细黑" w:eastAsia="华文细黑" w:hAnsi="华文细黑" w:hint="eastAsia"/>
                <w:i/>
              </w:rPr>
              <w:lastRenderedPageBreak/>
              <w:t>图表：</w:t>
            </w:r>
            <w:r>
              <w:rPr>
                <w:rFonts w:ascii="华文细黑" w:eastAsia="华文细黑" w:hAnsi="华文细黑" w:hint="eastAsia"/>
                <w:i/>
              </w:rPr>
              <w:t>股票型</w:t>
            </w:r>
            <w:r w:rsidR="00090813">
              <w:rPr>
                <w:rFonts w:ascii="华文细黑" w:eastAsia="华文细黑" w:hAnsi="华文细黑" w:hint="eastAsia"/>
                <w:i/>
              </w:rPr>
              <w:t>QDII基金股票</w:t>
            </w:r>
            <w:proofErr w:type="gramStart"/>
            <w:r>
              <w:rPr>
                <w:rFonts w:ascii="华文细黑" w:eastAsia="华文细黑" w:hAnsi="华文细黑" w:hint="eastAsia"/>
                <w:i/>
              </w:rPr>
              <w:t>仓位</w:t>
            </w:r>
            <w:proofErr w:type="gramEnd"/>
          </w:p>
        </w:tc>
      </w:tr>
      <w:tr w:rsidR="00311409" w:rsidTr="00C61438">
        <w:trPr>
          <w:trHeight w:val="4479"/>
        </w:trPr>
        <w:tc>
          <w:tcPr>
            <w:tcW w:w="8222" w:type="dxa"/>
            <w:tcBorders>
              <w:top w:val="single" w:sz="4" w:space="0" w:color="auto"/>
              <w:bottom w:val="single" w:sz="4" w:space="0" w:color="auto"/>
            </w:tcBorders>
          </w:tcPr>
          <w:p w:rsidR="00311409" w:rsidRDefault="0078500A" w:rsidP="00C61438">
            <w:pPr>
              <w:spacing w:line="300" w:lineRule="auto"/>
            </w:pPr>
            <w:r w:rsidRPr="0078500A">
              <w:rPr>
                <w:noProof/>
              </w:rPr>
              <w:drawing>
                <wp:inline distT="0" distB="0" distL="0" distR="0">
                  <wp:extent cx="5019675" cy="8029575"/>
                  <wp:effectExtent l="0" t="0" r="0" b="0"/>
                  <wp:docPr id="13" name="图表 7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</w:p>
        </w:tc>
      </w:tr>
      <w:tr w:rsidR="00311409" w:rsidTr="00C61438">
        <w:tc>
          <w:tcPr>
            <w:tcW w:w="8222" w:type="dxa"/>
            <w:tcBorders>
              <w:top w:val="single" w:sz="4" w:space="0" w:color="auto"/>
            </w:tcBorders>
          </w:tcPr>
          <w:p w:rsidR="00311409" w:rsidRPr="00B32872" w:rsidRDefault="00311409" w:rsidP="00C61438">
            <w:pPr>
              <w:spacing w:line="300" w:lineRule="auto"/>
              <w:rPr>
                <w:sz w:val="18"/>
                <w:szCs w:val="18"/>
              </w:rPr>
            </w:pPr>
            <w:r w:rsidRPr="00B32872">
              <w:rPr>
                <w:rFonts w:hint="eastAsia"/>
                <w:sz w:val="18"/>
                <w:szCs w:val="18"/>
              </w:rPr>
              <w:t>数据来源：</w:t>
            </w:r>
            <w:proofErr w:type="gramStart"/>
            <w:r w:rsidRPr="00B32872">
              <w:rPr>
                <w:rFonts w:hint="eastAsia"/>
                <w:sz w:val="18"/>
                <w:szCs w:val="18"/>
              </w:rPr>
              <w:t>众禄基金</w:t>
            </w:r>
            <w:proofErr w:type="gramEnd"/>
            <w:r w:rsidRPr="00B32872">
              <w:rPr>
                <w:rFonts w:hint="eastAsia"/>
                <w:sz w:val="18"/>
                <w:szCs w:val="18"/>
              </w:rPr>
              <w:t>研究中心</w:t>
            </w:r>
          </w:p>
        </w:tc>
      </w:tr>
    </w:tbl>
    <w:p w:rsidR="00D82EA6" w:rsidRPr="00D82EA6" w:rsidRDefault="009D3F5F" w:rsidP="009D3F5F">
      <w:pPr>
        <w:spacing w:beforeLines="50" w:line="300" w:lineRule="auto"/>
      </w:pPr>
      <w:r>
        <w:rPr>
          <w:rFonts w:hint="eastAsia"/>
        </w:rPr>
        <w:lastRenderedPageBreak/>
        <w:t>截止三</w:t>
      </w:r>
      <w:r w:rsidR="00593C9E" w:rsidRPr="00593C9E">
        <w:rPr>
          <w:rFonts w:hint="eastAsia"/>
        </w:rPr>
        <w:t>季度末，纳入统计的</w:t>
      </w:r>
      <w:r w:rsidR="00593C9E" w:rsidRPr="00593C9E">
        <w:rPr>
          <w:rFonts w:hint="eastAsia"/>
        </w:rPr>
        <w:t>FOF</w:t>
      </w:r>
      <w:r w:rsidR="00593C9E" w:rsidRPr="00593C9E">
        <w:rPr>
          <w:rFonts w:hint="eastAsia"/>
        </w:rPr>
        <w:t>型</w:t>
      </w:r>
      <w:r w:rsidR="00593C9E" w:rsidRPr="00593C9E">
        <w:rPr>
          <w:rFonts w:hint="eastAsia"/>
        </w:rPr>
        <w:t>QDII</w:t>
      </w:r>
      <w:r w:rsidR="00593C9E" w:rsidRPr="00593C9E">
        <w:rPr>
          <w:rFonts w:hint="eastAsia"/>
        </w:rPr>
        <w:t>基金（剔除</w:t>
      </w:r>
      <w:r w:rsidR="00593C9E" w:rsidRPr="00593C9E">
        <w:rPr>
          <w:rFonts w:hint="eastAsia"/>
        </w:rPr>
        <w:t>ETF</w:t>
      </w:r>
      <w:r w:rsidR="00593C9E" w:rsidRPr="00593C9E">
        <w:rPr>
          <w:rFonts w:hint="eastAsia"/>
        </w:rPr>
        <w:t>联接、仍在建仓期的基金）平均基金</w:t>
      </w:r>
      <w:proofErr w:type="gramStart"/>
      <w:r w:rsidR="00593C9E" w:rsidRPr="00593C9E">
        <w:rPr>
          <w:rFonts w:hint="eastAsia"/>
        </w:rPr>
        <w:t>仓位</w:t>
      </w:r>
      <w:proofErr w:type="gramEnd"/>
      <w:r w:rsidR="00593C9E" w:rsidRPr="00593C9E">
        <w:rPr>
          <w:rFonts w:hint="eastAsia"/>
        </w:rPr>
        <w:t>为</w:t>
      </w:r>
      <w:r w:rsidR="00C61ED0">
        <w:rPr>
          <w:rFonts w:hint="eastAsia"/>
        </w:rPr>
        <w:t>81.20</w:t>
      </w:r>
      <w:r w:rsidR="00593C9E" w:rsidRPr="00593C9E">
        <w:rPr>
          <w:rFonts w:hint="eastAsia"/>
        </w:rPr>
        <w:t>%</w:t>
      </w:r>
      <w:r w:rsidR="00593C9E" w:rsidRPr="00593C9E">
        <w:rPr>
          <w:rFonts w:hint="eastAsia"/>
        </w:rPr>
        <w:t>，较</w:t>
      </w:r>
      <w:r w:rsidR="00C61ED0">
        <w:rPr>
          <w:rFonts w:hint="eastAsia"/>
        </w:rPr>
        <w:t>二</w:t>
      </w:r>
      <w:r w:rsidR="00593C9E" w:rsidRPr="00593C9E">
        <w:rPr>
          <w:rFonts w:hint="eastAsia"/>
        </w:rPr>
        <w:t>季度</w:t>
      </w:r>
      <w:r w:rsidR="00C61ED0">
        <w:rPr>
          <w:rFonts w:hint="eastAsia"/>
        </w:rPr>
        <w:t>（</w:t>
      </w:r>
      <w:r w:rsidR="00C61ED0" w:rsidRPr="00593C9E">
        <w:rPr>
          <w:rFonts w:hint="eastAsia"/>
        </w:rPr>
        <w:t>79.79</w:t>
      </w:r>
      <w:r w:rsidR="006242BF">
        <w:rPr>
          <w:rFonts w:hint="eastAsia"/>
        </w:rPr>
        <w:t>%</w:t>
      </w:r>
      <w:r w:rsidR="00C61ED0">
        <w:rPr>
          <w:rFonts w:hint="eastAsia"/>
        </w:rPr>
        <w:t>）上升</w:t>
      </w:r>
      <w:r w:rsidR="00C61ED0">
        <w:rPr>
          <w:rFonts w:hint="eastAsia"/>
        </w:rPr>
        <w:t>1.41</w:t>
      </w:r>
      <w:r w:rsidR="00593C9E" w:rsidRPr="00593C9E">
        <w:rPr>
          <w:rFonts w:hint="eastAsia"/>
        </w:rPr>
        <w:t>%</w:t>
      </w:r>
      <w:r w:rsidR="00593C9E">
        <w:rPr>
          <w:rFonts w:hint="eastAsia"/>
        </w:rPr>
        <w:t>。</w:t>
      </w:r>
      <w:r w:rsidR="00D82EA6">
        <w:rPr>
          <w:rFonts w:hint="eastAsia"/>
        </w:rPr>
        <w:t>加仓幅度较大的有华宝兴业成熟市场（</w:t>
      </w:r>
      <w:r w:rsidR="009A6019">
        <w:rPr>
          <w:rFonts w:hint="eastAsia"/>
        </w:rPr>
        <w:t>+</w:t>
      </w:r>
      <w:r w:rsidR="00D82EA6">
        <w:t>10.93</w:t>
      </w:r>
      <w:r w:rsidR="00D82EA6">
        <w:rPr>
          <w:rFonts w:hint="eastAsia"/>
        </w:rPr>
        <w:t>%</w:t>
      </w:r>
      <w:r w:rsidR="00D82EA6">
        <w:rPr>
          <w:rFonts w:hint="eastAsia"/>
        </w:rPr>
        <w:t>）、国泰大宗商品（</w:t>
      </w:r>
      <w:r w:rsidR="009A6019">
        <w:rPr>
          <w:rFonts w:hint="eastAsia"/>
        </w:rPr>
        <w:t>+</w:t>
      </w:r>
      <w:r w:rsidR="00D82EA6">
        <w:t>9.90</w:t>
      </w:r>
      <w:r w:rsidR="00D82EA6">
        <w:rPr>
          <w:rFonts w:hint="eastAsia"/>
        </w:rPr>
        <w:t>%</w:t>
      </w:r>
      <w:r w:rsidR="00D82EA6">
        <w:rPr>
          <w:rFonts w:hint="eastAsia"/>
        </w:rPr>
        <w:t>）、银</w:t>
      </w:r>
      <w:proofErr w:type="gramStart"/>
      <w:r w:rsidR="00D82EA6">
        <w:rPr>
          <w:rFonts w:hint="eastAsia"/>
        </w:rPr>
        <w:t>华全球</w:t>
      </w:r>
      <w:proofErr w:type="gramEnd"/>
      <w:r w:rsidR="00D82EA6">
        <w:rPr>
          <w:rFonts w:hint="eastAsia"/>
        </w:rPr>
        <w:t>核心优选（</w:t>
      </w:r>
      <w:r w:rsidR="009A6019">
        <w:rPr>
          <w:rFonts w:hint="eastAsia"/>
        </w:rPr>
        <w:t>+</w:t>
      </w:r>
      <w:r w:rsidR="00D82EA6" w:rsidRPr="00D82EA6">
        <w:t>7.10</w:t>
      </w:r>
      <w:r w:rsidR="00D82EA6">
        <w:rPr>
          <w:rFonts w:hint="eastAsia"/>
        </w:rPr>
        <w:t>%</w:t>
      </w:r>
      <w:r w:rsidR="00D82EA6">
        <w:rPr>
          <w:rFonts w:hint="eastAsia"/>
        </w:rPr>
        <w:t>）、</w:t>
      </w:r>
      <w:proofErr w:type="gramStart"/>
      <w:r w:rsidR="00D82EA6">
        <w:rPr>
          <w:rFonts w:hint="eastAsia"/>
        </w:rPr>
        <w:t>诺安油气</w:t>
      </w:r>
      <w:proofErr w:type="gramEnd"/>
      <w:r w:rsidR="00D82EA6">
        <w:rPr>
          <w:rFonts w:hint="eastAsia"/>
        </w:rPr>
        <w:t>能源（</w:t>
      </w:r>
      <w:r w:rsidR="009A6019">
        <w:rPr>
          <w:rFonts w:hint="eastAsia"/>
        </w:rPr>
        <w:t>+</w:t>
      </w:r>
      <w:r w:rsidR="00D82EA6" w:rsidRPr="00D82EA6">
        <w:t>6.76</w:t>
      </w:r>
      <w:r w:rsidR="009A6019">
        <w:rPr>
          <w:rFonts w:hint="eastAsia"/>
        </w:rPr>
        <w:t>%</w:t>
      </w:r>
      <w:r w:rsidR="00D82EA6">
        <w:rPr>
          <w:rFonts w:hint="eastAsia"/>
        </w:rPr>
        <w:t>）、嘉实黄金（</w:t>
      </w:r>
      <w:r w:rsidR="009A6019">
        <w:rPr>
          <w:rFonts w:hint="eastAsia"/>
        </w:rPr>
        <w:t>+</w:t>
      </w:r>
      <w:r w:rsidR="00D82EA6" w:rsidRPr="00D82EA6">
        <w:t>4.89</w:t>
      </w:r>
      <w:r w:rsidR="009A6019">
        <w:rPr>
          <w:rFonts w:hint="eastAsia"/>
        </w:rPr>
        <w:t>%</w:t>
      </w:r>
      <w:r w:rsidR="00D82EA6">
        <w:rPr>
          <w:rFonts w:hint="eastAsia"/>
        </w:rPr>
        <w:t>）。</w:t>
      </w: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8222"/>
      </w:tblGrid>
      <w:tr w:rsidR="00D07C5C" w:rsidTr="00C61438">
        <w:tc>
          <w:tcPr>
            <w:tcW w:w="8222" w:type="dxa"/>
            <w:tcBorders>
              <w:bottom w:val="single" w:sz="4" w:space="0" w:color="auto"/>
            </w:tcBorders>
          </w:tcPr>
          <w:p w:rsidR="00D07C5C" w:rsidRPr="00B32872" w:rsidRDefault="00D07C5C" w:rsidP="009D3F5F">
            <w:pPr>
              <w:spacing w:beforeLines="50" w:line="300" w:lineRule="auto"/>
              <w:rPr>
                <w:rFonts w:ascii="华文细黑" w:eastAsia="华文细黑" w:hAnsi="华文细黑"/>
                <w:i/>
              </w:rPr>
            </w:pPr>
            <w:r w:rsidRPr="00B32872">
              <w:rPr>
                <w:rFonts w:ascii="华文细黑" w:eastAsia="华文细黑" w:hAnsi="华文细黑" w:hint="eastAsia"/>
                <w:i/>
              </w:rPr>
              <w:t>图表：</w:t>
            </w:r>
            <w:r w:rsidR="00593C9E" w:rsidRPr="00593C9E">
              <w:rPr>
                <w:rFonts w:ascii="华文细黑" w:eastAsia="华文细黑" w:hAnsi="华文细黑" w:hint="eastAsia"/>
                <w:i/>
              </w:rPr>
              <w:t>FOF型QDII</w:t>
            </w:r>
            <w:proofErr w:type="gramStart"/>
            <w:r w:rsidR="00593C9E" w:rsidRPr="00593C9E">
              <w:rPr>
                <w:rFonts w:ascii="华文细黑" w:eastAsia="华文细黑" w:hAnsi="华文细黑" w:hint="eastAsia"/>
                <w:i/>
              </w:rPr>
              <w:t>基金</w:t>
            </w:r>
            <w:r w:rsidR="00BC3E7E">
              <w:rPr>
                <w:rFonts w:ascii="华文细黑" w:eastAsia="华文细黑" w:hAnsi="华文细黑" w:hint="eastAsia"/>
                <w:i/>
              </w:rPr>
              <w:t>基金仓位</w:t>
            </w:r>
            <w:proofErr w:type="gramEnd"/>
            <w:r w:rsidR="00BC3E7E">
              <w:rPr>
                <w:rFonts w:ascii="华文细黑" w:eastAsia="华文细黑" w:hAnsi="华文细黑" w:hint="eastAsia"/>
                <w:i/>
              </w:rPr>
              <w:t>变化</w:t>
            </w:r>
          </w:p>
        </w:tc>
      </w:tr>
      <w:tr w:rsidR="00D07C5C" w:rsidTr="00C61438">
        <w:trPr>
          <w:trHeight w:val="4479"/>
        </w:trPr>
        <w:tc>
          <w:tcPr>
            <w:tcW w:w="8222" w:type="dxa"/>
            <w:tcBorders>
              <w:top w:val="single" w:sz="4" w:space="0" w:color="auto"/>
              <w:bottom w:val="single" w:sz="4" w:space="0" w:color="auto"/>
            </w:tcBorders>
          </w:tcPr>
          <w:p w:rsidR="00D07C5C" w:rsidRDefault="0078500A" w:rsidP="009D3F5F">
            <w:pPr>
              <w:spacing w:beforeLines="50" w:line="300" w:lineRule="auto"/>
            </w:pPr>
            <w:r w:rsidRPr="0078500A">
              <w:rPr>
                <w:noProof/>
              </w:rPr>
              <w:drawing>
                <wp:inline distT="0" distB="0" distL="0" distR="0">
                  <wp:extent cx="5086350" cy="2743200"/>
                  <wp:effectExtent l="19050" t="0" r="0" b="0"/>
                  <wp:docPr id="15" name="图表 8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2"/>
                    </a:graphicData>
                  </a:graphic>
                </wp:inline>
              </w:drawing>
            </w:r>
          </w:p>
        </w:tc>
      </w:tr>
      <w:tr w:rsidR="00D07C5C" w:rsidTr="00C61438">
        <w:tc>
          <w:tcPr>
            <w:tcW w:w="8222" w:type="dxa"/>
            <w:tcBorders>
              <w:top w:val="single" w:sz="4" w:space="0" w:color="auto"/>
            </w:tcBorders>
          </w:tcPr>
          <w:p w:rsidR="00D07C5C" w:rsidRPr="00B32872" w:rsidRDefault="00D07C5C" w:rsidP="00C61438">
            <w:pPr>
              <w:spacing w:line="300" w:lineRule="auto"/>
              <w:rPr>
                <w:sz w:val="18"/>
                <w:szCs w:val="18"/>
              </w:rPr>
            </w:pPr>
            <w:r w:rsidRPr="00B32872">
              <w:rPr>
                <w:rFonts w:hint="eastAsia"/>
                <w:sz w:val="18"/>
                <w:szCs w:val="18"/>
              </w:rPr>
              <w:t>数据来源：</w:t>
            </w:r>
            <w:proofErr w:type="gramStart"/>
            <w:r w:rsidRPr="00B32872">
              <w:rPr>
                <w:rFonts w:hint="eastAsia"/>
                <w:sz w:val="18"/>
                <w:szCs w:val="18"/>
              </w:rPr>
              <w:t>众禄基金</w:t>
            </w:r>
            <w:proofErr w:type="gramEnd"/>
            <w:r w:rsidRPr="00B32872">
              <w:rPr>
                <w:rFonts w:hint="eastAsia"/>
                <w:sz w:val="18"/>
                <w:szCs w:val="18"/>
              </w:rPr>
              <w:t>研究中心</w:t>
            </w:r>
          </w:p>
        </w:tc>
      </w:tr>
    </w:tbl>
    <w:p w:rsidR="00983F9C" w:rsidRDefault="00983F9C" w:rsidP="009D3F5F">
      <w:pPr>
        <w:spacing w:beforeLines="50" w:line="300" w:lineRule="auto"/>
      </w:pPr>
    </w:p>
    <w:p w:rsidR="006242BF" w:rsidRDefault="006242BF" w:rsidP="009D3F5F">
      <w:pPr>
        <w:spacing w:beforeLines="50" w:line="300" w:lineRule="auto"/>
      </w:pPr>
    </w:p>
    <w:p w:rsidR="006242BF" w:rsidRDefault="006242BF" w:rsidP="009D3F5F">
      <w:pPr>
        <w:spacing w:beforeLines="50" w:line="300" w:lineRule="auto"/>
      </w:pPr>
    </w:p>
    <w:p w:rsidR="006242BF" w:rsidRDefault="006242BF" w:rsidP="009D3F5F">
      <w:pPr>
        <w:spacing w:beforeLines="50" w:line="300" w:lineRule="auto"/>
      </w:pPr>
    </w:p>
    <w:p w:rsidR="006242BF" w:rsidRDefault="006242BF" w:rsidP="009D3F5F">
      <w:pPr>
        <w:spacing w:beforeLines="50" w:line="300" w:lineRule="auto"/>
      </w:pPr>
    </w:p>
    <w:p w:rsidR="006242BF" w:rsidRDefault="006242BF" w:rsidP="009D3F5F">
      <w:pPr>
        <w:spacing w:beforeLines="50" w:line="300" w:lineRule="auto"/>
      </w:pPr>
    </w:p>
    <w:p w:rsidR="006242BF" w:rsidRDefault="006242BF" w:rsidP="009D3F5F">
      <w:pPr>
        <w:spacing w:beforeLines="50" w:line="300" w:lineRule="auto"/>
      </w:pPr>
    </w:p>
    <w:p w:rsidR="006242BF" w:rsidRDefault="006242BF" w:rsidP="009D3F5F">
      <w:pPr>
        <w:spacing w:beforeLines="50" w:line="300" w:lineRule="auto"/>
      </w:pPr>
    </w:p>
    <w:p w:rsidR="006242BF" w:rsidRDefault="006242BF" w:rsidP="009D3F5F">
      <w:pPr>
        <w:spacing w:beforeLines="50" w:line="300" w:lineRule="auto"/>
      </w:pPr>
    </w:p>
    <w:p w:rsidR="006242BF" w:rsidRDefault="006242BF" w:rsidP="009D3F5F">
      <w:pPr>
        <w:spacing w:beforeLines="50" w:line="300" w:lineRule="auto"/>
      </w:pPr>
    </w:p>
    <w:p w:rsidR="006242BF" w:rsidRDefault="006242BF" w:rsidP="009D3F5F">
      <w:pPr>
        <w:spacing w:beforeLines="50" w:line="300" w:lineRule="auto"/>
      </w:pPr>
    </w:p>
    <w:p w:rsidR="006242BF" w:rsidRPr="00593C9E" w:rsidRDefault="006242BF" w:rsidP="009D3F5F">
      <w:pPr>
        <w:spacing w:beforeLines="50" w:line="300" w:lineRule="auto"/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8222"/>
      </w:tblGrid>
      <w:tr w:rsidR="002B3D84" w:rsidTr="00C61438">
        <w:tc>
          <w:tcPr>
            <w:tcW w:w="8222" w:type="dxa"/>
            <w:tcBorders>
              <w:bottom w:val="single" w:sz="4" w:space="0" w:color="auto"/>
            </w:tcBorders>
          </w:tcPr>
          <w:p w:rsidR="002B3D84" w:rsidRPr="00B32872" w:rsidRDefault="002B3D84" w:rsidP="009D3F5F">
            <w:pPr>
              <w:spacing w:beforeLines="50" w:line="300" w:lineRule="auto"/>
              <w:rPr>
                <w:rFonts w:ascii="华文细黑" w:eastAsia="华文细黑" w:hAnsi="华文细黑"/>
                <w:i/>
              </w:rPr>
            </w:pPr>
            <w:r w:rsidRPr="00B32872">
              <w:rPr>
                <w:rFonts w:ascii="华文细黑" w:eastAsia="华文细黑" w:hAnsi="华文细黑" w:hint="eastAsia"/>
                <w:i/>
              </w:rPr>
              <w:lastRenderedPageBreak/>
              <w:t>图表：</w:t>
            </w:r>
            <w:r w:rsidR="005B6843" w:rsidRPr="005B6843">
              <w:rPr>
                <w:rFonts w:ascii="华文细黑" w:eastAsia="华文细黑" w:hAnsi="华文细黑" w:hint="eastAsia"/>
                <w:i/>
              </w:rPr>
              <w:t>FOF型QDII</w:t>
            </w:r>
            <w:proofErr w:type="gramStart"/>
            <w:r w:rsidR="00090813">
              <w:rPr>
                <w:rFonts w:ascii="华文细黑" w:eastAsia="华文细黑" w:hAnsi="华文细黑" w:hint="eastAsia"/>
                <w:i/>
              </w:rPr>
              <w:t>基金基金</w:t>
            </w:r>
            <w:r w:rsidR="005B6843" w:rsidRPr="005B6843">
              <w:rPr>
                <w:rFonts w:ascii="华文细黑" w:eastAsia="华文细黑" w:hAnsi="华文细黑" w:hint="eastAsia"/>
                <w:i/>
              </w:rPr>
              <w:t>仓位</w:t>
            </w:r>
            <w:proofErr w:type="gramEnd"/>
          </w:p>
        </w:tc>
      </w:tr>
      <w:tr w:rsidR="002B3D84" w:rsidTr="00C61438">
        <w:trPr>
          <w:trHeight w:val="4479"/>
        </w:trPr>
        <w:tc>
          <w:tcPr>
            <w:tcW w:w="8222" w:type="dxa"/>
            <w:tcBorders>
              <w:top w:val="single" w:sz="4" w:space="0" w:color="auto"/>
              <w:bottom w:val="single" w:sz="4" w:space="0" w:color="auto"/>
            </w:tcBorders>
          </w:tcPr>
          <w:p w:rsidR="002B3D84" w:rsidRDefault="0078500A" w:rsidP="002B3D84">
            <w:pPr>
              <w:spacing w:line="300" w:lineRule="auto"/>
            </w:pPr>
            <w:r w:rsidRPr="0078500A">
              <w:rPr>
                <w:noProof/>
              </w:rPr>
              <w:drawing>
                <wp:inline distT="0" distB="0" distL="0" distR="0">
                  <wp:extent cx="5105400" cy="5095875"/>
                  <wp:effectExtent l="0" t="0" r="0" b="0"/>
                  <wp:docPr id="16" name="图表 9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3"/>
                    </a:graphicData>
                  </a:graphic>
                </wp:inline>
              </w:drawing>
            </w:r>
          </w:p>
        </w:tc>
      </w:tr>
      <w:tr w:rsidR="002B3D84" w:rsidTr="00C61438">
        <w:tc>
          <w:tcPr>
            <w:tcW w:w="8222" w:type="dxa"/>
            <w:tcBorders>
              <w:top w:val="single" w:sz="4" w:space="0" w:color="auto"/>
            </w:tcBorders>
          </w:tcPr>
          <w:p w:rsidR="002B3D84" w:rsidRPr="00B32872" w:rsidRDefault="002B3D84" w:rsidP="00C61438">
            <w:pPr>
              <w:spacing w:line="300" w:lineRule="auto"/>
              <w:rPr>
                <w:sz w:val="18"/>
                <w:szCs w:val="18"/>
              </w:rPr>
            </w:pPr>
            <w:r w:rsidRPr="00B32872">
              <w:rPr>
                <w:rFonts w:hint="eastAsia"/>
                <w:sz w:val="18"/>
                <w:szCs w:val="18"/>
              </w:rPr>
              <w:t>数据来源：</w:t>
            </w:r>
            <w:proofErr w:type="gramStart"/>
            <w:r w:rsidRPr="00B32872">
              <w:rPr>
                <w:rFonts w:hint="eastAsia"/>
                <w:sz w:val="18"/>
                <w:szCs w:val="18"/>
              </w:rPr>
              <w:t>众禄基金</w:t>
            </w:r>
            <w:proofErr w:type="gramEnd"/>
            <w:r w:rsidRPr="00B32872">
              <w:rPr>
                <w:rFonts w:hint="eastAsia"/>
                <w:sz w:val="18"/>
                <w:szCs w:val="18"/>
              </w:rPr>
              <w:t>研究中心</w:t>
            </w:r>
          </w:p>
        </w:tc>
      </w:tr>
    </w:tbl>
    <w:p w:rsidR="002B3D84" w:rsidRPr="002B3D84" w:rsidRDefault="002B3D84" w:rsidP="009D3F5F">
      <w:pPr>
        <w:spacing w:beforeLines="50" w:line="300" w:lineRule="auto"/>
      </w:pPr>
    </w:p>
    <w:p w:rsidR="00FF3FFF" w:rsidRDefault="00A932D4" w:rsidP="009D3F5F">
      <w:pPr>
        <w:spacing w:beforeLines="50" w:line="300" w:lineRule="auto"/>
        <w:rPr>
          <w:b/>
        </w:rPr>
      </w:pPr>
      <w:r>
        <w:rPr>
          <w:rFonts w:hint="eastAsia"/>
          <w:b/>
        </w:rPr>
        <w:t>三、</w:t>
      </w:r>
      <w:r w:rsidR="002509AB">
        <w:rPr>
          <w:rFonts w:hint="eastAsia"/>
          <w:b/>
        </w:rPr>
        <w:t>香港、美国两大市场投资占比</w:t>
      </w:r>
      <w:r w:rsidR="00711C06">
        <w:rPr>
          <w:rFonts w:hint="eastAsia"/>
          <w:b/>
        </w:rPr>
        <w:t>上升，东南亚市场投资占比下降</w:t>
      </w:r>
    </w:p>
    <w:p w:rsidR="00CE66C8" w:rsidRDefault="00427C53" w:rsidP="009D3F5F">
      <w:pPr>
        <w:spacing w:beforeLines="50" w:line="300" w:lineRule="auto"/>
      </w:pPr>
      <w:r>
        <w:rPr>
          <w:rFonts w:hint="eastAsia"/>
        </w:rPr>
        <w:t>三</w:t>
      </w:r>
      <w:r w:rsidR="002509AB">
        <w:rPr>
          <w:rFonts w:hint="eastAsia"/>
        </w:rPr>
        <w:t>季度，</w:t>
      </w:r>
      <w:r w:rsidR="004072FA">
        <w:rPr>
          <w:rFonts w:hint="eastAsia"/>
        </w:rPr>
        <w:t>QDII</w:t>
      </w:r>
      <w:r w:rsidR="004072FA">
        <w:rPr>
          <w:rFonts w:hint="eastAsia"/>
        </w:rPr>
        <w:t>基金资金持续流入香港、美国两大市场，香港市场资产配置比例由二季度的</w:t>
      </w:r>
      <w:r w:rsidR="004072FA">
        <w:rPr>
          <w:rFonts w:hint="eastAsia"/>
        </w:rPr>
        <w:t>60.47%</w:t>
      </w:r>
      <w:r w:rsidR="004072FA">
        <w:rPr>
          <w:rFonts w:hint="eastAsia"/>
        </w:rPr>
        <w:t>上升到三季度的</w:t>
      </w:r>
      <w:r w:rsidR="004072FA">
        <w:rPr>
          <w:rFonts w:hint="eastAsia"/>
        </w:rPr>
        <w:t>62.05%</w:t>
      </w:r>
      <w:r w:rsidR="004072FA">
        <w:rPr>
          <w:rFonts w:hint="eastAsia"/>
        </w:rPr>
        <w:t>，占比上涨</w:t>
      </w:r>
      <w:r w:rsidR="004072FA">
        <w:rPr>
          <w:rFonts w:hint="eastAsia"/>
        </w:rPr>
        <w:t>1.58%</w:t>
      </w:r>
      <w:r w:rsidR="004072FA">
        <w:rPr>
          <w:rFonts w:hint="eastAsia"/>
        </w:rPr>
        <w:t>。美国市场资产配置比例由二季度的</w:t>
      </w:r>
      <w:r w:rsidR="004072FA">
        <w:rPr>
          <w:rFonts w:hint="eastAsia"/>
        </w:rPr>
        <w:t>16.60</w:t>
      </w:r>
      <w:r w:rsidR="004072FA">
        <w:rPr>
          <w:rFonts w:hint="eastAsia"/>
        </w:rPr>
        <w:t>继续上升到三季度的</w:t>
      </w:r>
      <w:r w:rsidR="004072FA">
        <w:rPr>
          <w:rFonts w:hint="eastAsia"/>
        </w:rPr>
        <w:t>17.86%</w:t>
      </w:r>
      <w:r w:rsidR="004072FA">
        <w:rPr>
          <w:rFonts w:hint="eastAsia"/>
        </w:rPr>
        <w:t>，占比上涨</w:t>
      </w:r>
      <w:r w:rsidR="004072FA">
        <w:rPr>
          <w:rFonts w:hint="eastAsia"/>
        </w:rPr>
        <w:t>1.27%</w:t>
      </w:r>
      <w:r w:rsidR="004072FA">
        <w:rPr>
          <w:rFonts w:hint="eastAsia"/>
        </w:rPr>
        <w:t>。而印度、泰国、印度尼西亚、新加坡等东南亚国家资产配置比例均出现不同程度下降。</w:t>
      </w:r>
    </w:p>
    <w:p w:rsidR="006242BF" w:rsidRPr="00CE66C8" w:rsidRDefault="006242BF" w:rsidP="009D3F5F">
      <w:pPr>
        <w:spacing w:beforeLines="50" w:line="300" w:lineRule="auto"/>
      </w:pPr>
      <w:r>
        <w:rPr>
          <w:rFonts w:hint="eastAsia"/>
        </w:rPr>
        <w:t>经过几年的发展，</w:t>
      </w:r>
      <w:r>
        <w:rPr>
          <w:rFonts w:hint="eastAsia"/>
        </w:rPr>
        <w:t>QDII</w:t>
      </w:r>
      <w:r>
        <w:rPr>
          <w:rFonts w:hint="eastAsia"/>
        </w:rPr>
        <w:t>基金对美国市场的投资日益多元化，截止三季度末，主要投资美国市场的</w:t>
      </w:r>
      <w:r>
        <w:rPr>
          <w:rFonts w:hint="eastAsia"/>
        </w:rPr>
        <w:t>QDII</w:t>
      </w:r>
      <w:r>
        <w:rPr>
          <w:rFonts w:hint="eastAsia"/>
        </w:rPr>
        <w:t>基金有国泰纳斯达克</w:t>
      </w:r>
      <w:r>
        <w:rPr>
          <w:rFonts w:hint="eastAsia"/>
        </w:rPr>
        <w:t>100ETF</w:t>
      </w:r>
      <w:r>
        <w:rPr>
          <w:rFonts w:hint="eastAsia"/>
        </w:rPr>
        <w:t>、</w:t>
      </w:r>
      <w:proofErr w:type="gramStart"/>
      <w:r>
        <w:rPr>
          <w:rFonts w:hint="eastAsia"/>
        </w:rPr>
        <w:t>大成标普</w:t>
      </w:r>
      <w:r>
        <w:rPr>
          <w:rFonts w:hint="eastAsia"/>
        </w:rPr>
        <w:t>500</w:t>
      </w:r>
      <w:r>
        <w:rPr>
          <w:rFonts w:hint="eastAsia"/>
        </w:rPr>
        <w:t>等</w:t>
      </w:r>
      <w:proofErr w:type="gramEnd"/>
      <w:r>
        <w:rPr>
          <w:rFonts w:hint="eastAsia"/>
        </w:rPr>
        <w:t>权重、博时标普</w:t>
      </w:r>
      <w:r>
        <w:rPr>
          <w:rFonts w:hint="eastAsia"/>
        </w:rPr>
        <w:t>500</w:t>
      </w:r>
      <w:r>
        <w:rPr>
          <w:rFonts w:hint="eastAsia"/>
        </w:rPr>
        <w:t>等指数股票基金；</w:t>
      </w:r>
      <w:proofErr w:type="gramStart"/>
      <w:r w:rsidRPr="00B11EDC">
        <w:rPr>
          <w:rFonts w:hint="eastAsia"/>
        </w:rPr>
        <w:t>诺安全球收益</w:t>
      </w:r>
      <w:proofErr w:type="gramEnd"/>
      <w:r w:rsidRPr="00B11EDC">
        <w:rPr>
          <w:rFonts w:hint="eastAsia"/>
        </w:rPr>
        <w:t>不动产</w:t>
      </w:r>
      <w:r>
        <w:rPr>
          <w:rFonts w:hint="eastAsia"/>
        </w:rPr>
        <w:t>、</w:t>
      </w:r>
      <w:r w:rsidRPr="00B11EDC">
        <w:rPr>
          <w:rFonts w:hint="eastAsia"/>
        </w:rPr>
        <w:t>鹏华美国房地产</w:t>
      </w:r>
      <w:r>
        <w:rPr>
          <w:rFonts w:hint="eastAsia"/>
        </w:rPr>
        <w:t>等房地产信托基金；</w:t>
      </w:r>
      <w:r w:rsidRPr="00B11EDC">
        <w:rPr>
          <w:rFonts w:hint="eastAsia"/>
        </w:rPr>
        <w:t>华</w:t>
      </w:r>
      <w:proofErr w:type="gramStart"/>
      <w:r w:rsidRPr="00B11EDC">
        <w:rPr>
          <w:rFonts w:hint="eastAsia"/>
        </w:rPr>
        <w:t>宝兴业标普油气</w:t>
      </w:r>
      <w:proofErr w:type="gramEnd"/>
      <w:r>
        <w:rPr>
          <w:rFonts w:hint="eastAsia"/>
        </w:rPr>
        <w:t>、</w:t>
      </w:r>
      <w:r w:rsidRPr="00B11EDC">
        <w:rPr>
          <w:rFonts w:hint="eastAsia"/>
        </w:rPr>
        <w:t>建信全球资源</w:t>
      </w:r>
      <w:r>
        <w:rPr>
          <w:rFonts w:hint="eastAsia"/>
        </w:rPr>
        <w:t>、</w:t>
      </w:r>
      <w:r w:rsidRPr="00B11EDC">
        <w:rPr>
          <w:rFonts w:hint="eastAsia"/>
        </w:rPr>
        <w:t>广发标</w:t>
      </w:r>
      <w:proofErr w:type="gramStart"/>
      <w:r w:rsidRPr="00B11EDC">
        <w:rPr>
          <w:rFonts w:hint="eastAsia"/>
        </w:rPr>
        <w:t>普全球</w:t>
      </w:r>
      <w:proofErr w:type="gramEnd"/>
      <w:r w:rsidRPr="00B11EDC">
        <w:rPr>
          <w:rFonts w:hint="eastAsia"/>
        </w:rPr>
        <w:t>农业</w:t>
      </w:r>
      <w:r>
        <w:rPr>
          <w:rFonts w:hint="eastAsia"/>
        </w:rPr>
        <w:t>、</w:t>
      </w:r>
      <w:r w:rsidRPr="00B11EDC">
        <w:rPr>
          <w:rFonts w:hint="eastAsia"/>
        </w:rPr>
        <w:t>易方达标普消费品</w:t>
      </w:r>
      <w:r>
        <w:rPr>
          <w:rFonts w:hint="eastAsia"/>
        </w:rPr>
        <w:t>等行业主题基金；以及</w:t>
      </w:r>
      <w:proofErr w:type="gramStart"/>
      <w:r w:rsidRPr="00B11EDC">
        <w:rPr>
          <w:rFonts w:hint="eastAsia"/>
        </w:rPr>
        <w:t>工银瑞信</w:t>
      </w:r>
      <w:proofErr w:type="gramEnd"/>
      <w:r w:rsidRPr="00B11EDC">
        <w:rPr>
          <w:rFonts w:hint="eastAsia"/>
        </w:rPr>
        <w:t>全球精选</w:t>
      </w:r>
      <w:r>
        <w:rPr>
          <w:rFonts w:hint="eastAsia"/>
        </w:rPr>
        <w:t>、</w:t>
      </w:r>
      <w:r w:rsidRPr="00B11EDC">
        <w:rPr>
          <w:rFonts w:hint="eastAsia"/>
        </w:rPr>
        <w:lastRenderedPageBreak/>
        <w:t>交银环球精选</w:t>
      </w:r>
      <w:r>
        <w:rPr>
          <w:rFonts w:hint="eastAsia"/>
        </w:rPr>
        <w:t>等主动管理型股票基金。</w:t>
      </w: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8222"/>
      </w:tblGrid>
      <w:tr w:rsidR="00F97DB0" w:rsidTr="00C61438">
        <w:tc>
          <w:tcPr>
            <w:tcW w:w="8222" w:type="dxa"/>
            <w:tcBorders>
              <w:bottom w:val="single" w:sz="4" w:space="0" w:color="auto"/>
            </w:tcBorders>
          </w:tcPr>
          <w:p w:rsidR="00F97DB0" w:rsidRPr="00B32872" w:rsidRDefault="00F97DB0" w:rsidP="009D3F5F">
            <w:pPr>
              <w:spacing w:beforeLines="50" w:line="300" w:lineRule="auto"/>
              <w:rPr>
                <w:rFonts w:ascii="华文细黑" w:eastAsia="华文细黑" w:hAnsi="华文细黑"/>
                <w:i/>
              </w:rPr>
            </w:pPr>
            <w:r w:rsidRPr="00B32872">
              <w:rPr>
                <w:rFonts w:ascii="华文细黑" w:eastAsia="华文细黑" w:hAnsi="华文细黑" w:hint="eastAsia"/>
                <w:i/>
              </w:rPr>
              <w:t>图表：</w:t>
            </w:r>
            <w:r>
              <w:rPr>
                <w:rFonts w:ascii="华文细黑" w:eastAsia="华文细黑" w:hAnsi="华文细黑" w:hint="eastAsia"/>
                <w:i/>
              </w:rPr>
              <w:t>QDII基金区域投资市场配置</w:t>
            </w:r>
            <w:r w:rsidR="00214A1F">
              <w:rPr>
                <w:rFonts w:ascii="华文细黑" w:eastAsia="华文细黑" w:hAnsi="华文细黑" w:hint="eastAsia"/>
                <w:i/>
              </w:rPr>
              <w:t>比例</w:t>
            </w:r>
          </w:p>
        </w:tc>
      </w:tr>
      <w:tr w:rsidR="00F97DB0" w:rsidTr="00C61438">
        <w:trPr>
          <w:trHeight w:val="4479"/>
        </w:trPr>
        <w:tc>
          <w:tcPr>
            <w:tcW w:w="8222" w:type="dxa"/>
            <w:tcBorders>
              <w:top w:val="single" w:sz="4" w:space="0" w:color="auto"/>
              <w:bottom w:val="single" w:sz="4" w:space="0" w:color="auto"/>
            </w:tcBorders>
          </w:tcPr>
          <w:p w:rsidR="00F97DB0" w:rsidRDefault="00674070" w:rsidP="00F97DB0">
            <w:pPr>
              <w:spacing w:line="300" w:lineRule="auto"/>
            </w:pPr>
            <w:r w:rsidRPr="00674070">
              <w:rPr>
                <w:noProof/>
              </w:rPr>
              <w:drawing>
                <wp:inline distT="0" distB="0" distL="0" distR="0">
                  <wp:extent cx="5305425" cy="3028950"/>
                  <wp:effectExtent l="0" t="0" r="0" b="0"/>
                  <wp:docPr id="18" name="图表 10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4"/>
                    </a:graphicData>
                  </a:graphic>
                </wp:inline>
              </w:drawing>
            </w:r>
          </w:p>
        </w:tc>
      </w:tr>
      <w:tr w:rsidR="00F97DB0" w:rsidTr="00C61438">
        <w:tc>
          <w:tcPr>
            <w:tcW w:w="8222" w:type="dxa"/>
            <w:tcBorders>
              <w:top w:val="single" w:sz="4" w:space="0" w:color="auto"/>
            </w:tcBorders>
          </w:tcPr>
          <w:p w:rsidR="00F97DB0" w:rsidRPr="00B32872" w:rsidRDefault="00F97DB0" w:rsidP="00C61438">
            <w:pPr>
              <w:spacing w:line="300" w:lineRule="auto"/>
              <w:rPr>
                <w:sz w:val="18"/>
                <w:szCs w:val="18"/>
              </w:rPr>
            </w:pPr>
            <w:r w:rsidRPr="00B32872">
              <w:rPr>
                <w:rFonts w:hint="eastAsia"/>
                <w:sz w:val="18"/>
                <w:szCs w:val="18"/>
              </w:rPr>
              <w:t>数据来源：</w:t>
            </w:r>
            <w:proofErr w:type="gramStart"/>
            <w:r w:rsidRPr="00B32872">
              <w:rPr>
                <w:rFonts w:hint="eastAsia"/>
                <w:sz w:val="18"/>
                <w:szCs w:val="18"/>
              </w:rPr>
              <w:t>众禄基金</w:t>
            </w:r>
            <w:proofErr w:type="gramEnd"/>
            <w:r w:rsidRPr="00B32872">
              <w:rPr>
                <w:rFonts w:hint="eastAsia"/>
                <w:sz w:val="18"/>
                <w:szCs w:val="18"/>
              </w:rPr>
              <w:t>研究中心</w:t>
            </w:r>
          </w:p>
        </w:tc>
      </w:tr>
    </w:tbl>
    <w:p w:rsidR="00214A1F" w:rsidRPr="00CE66C8" w:rsidRDefault="00214A1F" w:rsidP="009D3F5F">
      <w:pPr>
        <w:spacing w:beforeLines="50" w:line="300" w:lineRule="auto"/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8222"/>
      </w:tblGrid>
      <w:tr w:rsidR="00214A1F" w:rsidTr="00C61438">
        <w:tc>
          <w:tcPr>
            <w:tcW w:w="8222" w:type="dxa"/>
            <w:tcBorders>
              <w:bottom w:val="single" w:sz="4" w:space="0" w:color="auto"/>
            </w:tcBorders>
          </w:tcPr>
          <w:p w:rsidR="00214A1F" w:rsidRPr="00B32872" w:rsidRDefault="00214A1F" w:rsidP="009D3F5F">
            <w:pPr>
              <w:spacing w:beforeLines="50" w:line="300" w:lineRule="auto"/>
              <w:rPr>
                <w:rFonts w:ascii="华文细黑" w:eastAsia="华文细黑" w:hAnsi="华文细黑"/>
                <w:i/>
              </w:rPr>
            </w:pPr>
            <w:r w:rsidRPr="00B32872">
              <w:rPr>
                <w:rFonts w:ascii="华文细黑" w:eastAsia="华文细黑" w:hAnsi="华文细黑" w:hint="eastAsia"/>
                <w:i/>
              </w:rPr>
              <w:t>图表：</w:t>
            </w:r>
            <w:r w:rsidR="009D3F5F">
              <w:rPr>
                <w:rFonts w:ascii="华文细黑" w:eastAsia="华文细黑" w:hAnsi="华文细黑" w:hint="eastAsia"/>
                <w:i/>
              </w:rPr>
              <w:t>三</w:t>
            </w:r>
            <w:r>
              <w:rPr>
                <w:rFonts w:ascii="华文细黑" w:eastAsia="华文细黑" w:hAnsi="华文细黑" w:hint="eastAsia"/>
                <w:i/>
              </w:rPr>
              <w:t>季度QDII基金区域投资市场配置比例变化</w:t>
            </w:r>
          </w:p>
        </w:tc>
      </w:tr>
      <w:tr w:rsidR="00214A1F" w:rsidTr="00C61438">
        <w:trPr>
          <w:trHeight w:val="4479"/>
        </w:trPr>
        <w:tc>
          <w:tcPr>
            <w:tcW w:w="8222" w:type="dxa"/>
            <w:tcBorders>
              <w:top w:val="single" w:sz="4" w:space="0" w:color="auto"/>
              <w:bottom w:val="single" w:sz="4" w:space="0" w:color="auto"/>
            </w:tcBorders>
          </w:tcPr>
          <w:p w:rsidR="00214A1F" w:rsidRDefault="00674070" w:rsidP="00C61438">
            <w:pPr>
              <w:spacing w:line="300" w:lineRule="auto"/>
            </w:pPr>
            <w:r w:rsidRPr="00674070">
              <w:rPr>
                <w:noProof/>
              </w:rPr>
              <w:drawing>
                <wp:inline distT="0" distB="0" distL="0" distR="0">
                  <wp:extent cx="5124450" cy="3143250"/>
                  <wp:effectExtent l="0" t="0" r="0" b="0"/>
                  <wp:docPr id="20" name="图表 1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5"/>
                    </a:graphicData>
                  </a:graphic>
                </wp:inline>
              </w:drawing>
            </w:r>
          </w:p>
        </w:tc>
      </w:tr>
      <w:tr w:rsidR="00214A1F" w:rsidTr="00C61438">
        <w:tc>
          <w:tcPr>
            <w:tcW w:w="8222" w:type="dxa"/>
            <w:tcBorders>
              <w:top w:val="single" w:sz="4" w:space="0" w:color="auto"/>
            </w:tcBorders>
          </w:tcPr>
          <w:p w:rsidR="00214A1F" w:rsidRPr="00B32872" w:rsidRDefault="00214A1F" w:rsidP="00C61438">
            <w:pPr>
              <w:spacing w:line="300" w:lineRule="auto"/>
              <w:rPr>
                <w:sz w:val="18"/>
                <w:szCs w:val="18"/>
              </w:rPr>
            </w:pPr>
            <w:r w:rsidRPr="00B32872">
              <w:rPr>
                <w:rFonts w:hint="eastAsia"/>
                <w:sz w:val="18"/>
                <w:szCs w:val="18"/>
              </w:rPr>
              <w:t>数据来源：</w:t>
            </w:r>
            <w:proofErr w:type="gramStart"/>
            <w:r w:rsidRPr="00B32872">
              <w:rPr>
                <w:rFonts w:hint="eastAsia"/>
                <w:sz w:val="18"/>
                <w:szCs w:val="18"/>
              </w:rPr>
              <w:t>众禄基金</w:t>
            </w:r>
            <w:proofErr w:type="gramEnd"/>
            <w:r w:rsidRPr="00B32872">
              <w:rPr>
                <w:rFonts w:hint="eastAsia"/>
                <w:sz w:val="18"/>
                <w:szCs w:val="18"/>
              </w:rPr>
              <w:t>研究中心</w:t>
            </w:r>
          </w:p>
        </w:tc>
      </w:tr>
    </w:tbl>
    <w:p w:rsidR="006242BF" w:rsidRDefault="006242BF" w:rsidP="009D3F5F">
      <w:pPr>
        <w:spacing w:beforeLines="50" w:line="300" w:lineRule="auto"/>
        <w:rPr>
          <w:b/>
        </w:rPr>
      </w:pPr>
    </w:p>
    <w:p w:rsidR="00FF3FFF" w:rsidRDefault="00A932D4" w:rsidP="009D3F5F">
      <w:pPr>
        <w:spacing w:beforeLines="50" w:line="300" w:lineRule="auto"/>
        <w:rPr>
          <w:b/>
        </w:rPr>
      </w:pPr>
      <w:r>
        <w:rPr>
          <w:rFonts w:hint="eastAsia"/>
          <w:b/>
        </w:rPr>
        <w:lastRenderedPageBreak/>
        <w:t>四、</w:t>
      </w:r>
      <w:r w:rsidR="009A6019">
        <w:rPr>
          <w:rFonts w:hint="eastAsia"/>
          <w:b/>
        </w:rPr>
        <w:t>信息技术、医疗保健</w:t>
      </w:r>
      <w:proofErr w:type="gramStart"/>
      <w:r w:rsidR="009A6019">
        <w:rPr>
          <w:rFonts w:hint="eastAsia"/>
          <w:b/>
        </w:rPr>
        <w:t>行业获</w:t>
      </w:r>
      <w:proofErr w:type="gramEnd"/>
      <w:r w:rsidR="009A6019">
        <w:rPr>
          <w:rFonts w:hint="eastAsia"/>
          <w:b/>
        </w:rPr>
        <w:t>持续增持</w:t>
      </w:r>
    </w:p>
    <w:p w:rsidR="00CC77B9" w:rsidRDefault="00734D23" w:rsidP="009D3F5F">
      <w:pPr>
        <w:spacing w:beforeLines="50" w:line="300" w:lineRule="auto"/>
      </w:pPr>
      <w:r w:rsidRPr="00734D23">
        <w:rPr>
          <w:rFonts w:hint="eastAsia"/>
        </w:rPr>
        <w:t>三季度</w:t>
      </w:r>
      <w:r>
        <w:rPr>
          <w:rFonts w:hint="eastAsia"/>
        </w:rPr>
        <w:t>，股票型</w:t>
      </w:r>
      <w:r>
        <w:rPr>
          <w:rFonts w:hint="eastAsia"/>
        </w:rPr>
        <w:t>QDII</w:t>
      </w:r>
      <w:r>
        <w:rPr>
          <w:rFonts w:hint="eastAsia"/>
        </w:rPr>
        <w:t>基金增持了信息技术</w:t>
      </w:r>
      <w:r w:rsidR="00CC77B9">
        <w:rPr>
          <w:rFonts w:hint="eastAsia"/>
        </w:rPr>
        <w:t>（</w:t>
      </w:r>
      <w:r w:rsidR="00CC77B9">
        <w:rPr>
          <w:rFonts w:hint="eastAsia"/>
        </w:rPr>
        <w:t>+</w:t>
      </w:r>
      <w:r w:rsidR="00CC77B9">
        <w:t>0.93</w:t>
      </w:r>
      <w:r w:rsidR="00CC77B9">
        <w:rPr>
          <w:rFonts w:hint="eastAsia"/>
        </w:rPr>
        <w:t>%</w:t>
      </w:r>
      <w:r w:rsidR="00CC77B9">
        <w:rPr>
          <w:rFonts w:hint="eastAsia"/>
        </w:rPr>
        <w:t>）</w:t>
      </w:r>
      <w:r>
        <w:rPr>
          <w:rFonts w:hint="eastAsia"/>
        </w:rPr>
        <w:t>、能源</w:t>
      </w:r>
      <w:r w:rsidR="00CC77B9">
        <w:rPr>
          <w:rFonts w:hint="eastAsia"/>
        </w:rPr>
        <w:t>（</w:t>
      </w:r>
      <w:r w:rsidR="00CC77B9">
        <w:rPr>
          <w:rFonts w:hint="eastAsia"/>
        </w:rPr>
        <w:t>+</w:t>
      </w:r>
      <w:r w:rsidR="00CC77B9">
        <w:t>0.72</w:t>
      </w:r>
      <w:r w:rsidR="00CC77B9">
        <w:rPr>
          <w:rFonts w:hint="eastAsia"/>
        </w:rPr>
        <w:t>%</w:t>
      </w:r>
      <w:r w:rsidR="00CC77B9">
        <w:rPr>
          <w:rFonts w:hint="eastAsia"/>
        </w:rPr>
        <w:t>）</w:t>
      </w:r>
      <w:r>
        <w:rPr>
          <w:rFonts w:hint="eastAsia"/>
        </w:rPr>
        <w:t>、原材料</w:t>
      </w:r>
      <w:r w:rsidR="00CC77B9">
        <w:rPr>
          <w:rFonts w:hint="eastAsia"/>
        </w:rPr>
        <w:t>（</w:t>
      </w:r>
      <w:r w:rsidR="00CC77B9">
        <w:rPr>
          <w:rFonts w:hint="eastAsia"/>
        </w:rPr>
        <w:t>+</w:t>
      </w:r>
      <w:r w:rsidR="00CC77B9">
        <w:t>0.37</w:t>
      </w:r>
      <w:r w:rsidR="00CC77B9">
        <w:rPr>
          <w:rFonts w:hint="eastAsia"/>
        </w:rPr>
        <w:t>%</w:t>
      </w:r>
      <w:r w:rsidR="00CC77B9">
        <w:rPr>
          <w:rFonts w:hint="eastAsia"/>
        </w:rPr>
        <w:t>）、</w:t>
      </w:r>
      <w:r>
        <w:rPr>
          <w:rFonts w:hint="eastAsia"/>
        </w:rPr>
        <w:t>医疗保健</w:t>
      </w:r>
      <w:r w:rsidR="00CC77B9">
        <w:rPr>
          <w:rFonts w:hint="eastAsia"/>
        </w:rPr>
        <w:t>（</w:t>
      </w:r>
      <w:r w:rsidR="00CC77B9">
        <w:rPr>
          <w:rFonts w:hint="eastAsia"/>
        </w:rPr>
        <w:t>+</w:t>
      </w:r>
      <w:r w:rsidR="00CC77B9">
        <w:t>0.35</w:t>
      </w:r>
      <w:r w:rsidR="00CC77B9">
        <w:rPr>
          <w:rFonts w:hint="eastAsia"/>
        </w:rPr>
        <w:t>%</w:t>
      </w:r>
      <w:r w:rsidR="00CC77B9">
        <w:rPr>
          <w:rFonts w:hint="eastAsia"/>
        </w:rPr>
        <w:t>）、</w:t>
      </w:r>
      <w:r>
        <w:rPr>
          <w:rFonts w:hint="eastAsia"/>
        </w:rPr>
        <w:t>电信业务</w:t>
      </w:r>
      <w:r w:rsidR="00CC77B9">
        <w:rPr>
          <w:rFonts w:hint="eastAsia"/>
        </w:rPr>
        <w:t>（</w:t>
      </w:r>
      <w:r w:rsidR="00CC77B9">
        <w:rPr>
          <w:rFonts w:hint="eastAsia"/>
        </w:rPr>
        <w:t>+</w:t>
      </w:r>
      <w:r w:rsidR="00CC77B9">
        <w:t>0.27</w:t>
      </w:r>
      <w:r w:rsidR="00CC77B9">
        <w:rPr>
          <w:rFonts w:hint="eastAsia"/>
        </w:rPr>
        <w:t>%</w:t>
      </w:r>
      <w:r w:rsidR="00CC77B9">
        <w:rPr>
          <w:rFonts w:hint="eastAsia"/>
        </w:rPr>
        <w:t>）等行业股票，</w:t>
      </w:r>
      <w:r w:rsidR="005419A7">
        <w:rPr>
          <w:rFonts w:hint="eastAsia"/>
        </w:rPr>
        <w:t>对</w:t>
      </w:r>
      <w:r w:rsidR="00CC77B9">
        <w:rPr>
          <w:rFonts w:hint="eastAsia"/>
        </w:rPr>
        <w:t>金融（</w:t>
      </w:r>
      <w:r w:rsidR="00CC77B9">
        <w:rPr>
          <w:rFonts w:hint="eastAsia"/>
        </w:rPr>
        <w:t>-1.94%</w:t>
      </w:r>
      <w:r w:rsidR="00CC77B9">
        <w:rPr>
          <w:rFonts w:hint="eastAsia"/>
        </w:rPr>
        <w:t>）、工业（</w:t>
      </w:r>
      <w:r w:rsidR="00CC77B9">
        <w:rPr>
          <w:rFonts w:hint="eastAsia"/>
        </w:rPr>
        <w:t>-0.44%</w:t>
      </w:r>
      <w:r w:rsidR="00CC77B9">
        <w:rPr>
          <w:rFonts w:hint="eastAsia"/>
        </w:rPr>
        <w:t>）、公用事业（</w:t>
      </w:r>
      <w:r w:rsidR="00CC77B9">
        <w:rPr>
          <w:rFonts w:hint="eastAsia"/>
        </w:rPr>
        <w:t>-0.32%</w:t>
      </w:r>
      <w:r w:rsidR="00CC77B9">
        <w:rPr>
          <w:rFonts w:hint="eastAsia"/>
        </w:rPr>
        <w:t>）</w:t>
      </w:r>
      <w:r w:rsidR="005419A7">
        <w:rPr>
          <w:rFonts w:hint="eastAsia"/>
        </w:rPr>
        <w:t>等行业股票进行了减持</w:t>
      </w:r>
      <w:r w:rsidR="00CC77B9">
        <w:rPr>
          <w:rFonts w:hint="eastAsia"/>
        </w:rPr>
        <w:t>。</w:t>
      </w:r>
      <w:r w:rsidR="005419A7">
        <w:rPr>
          <w:rFonts w:hint="eastAsia"/>
        </w:rPr>
        <w:t>其中信息技术、医疗保健两个行业连续三个季度获得</w:t>
      </w:r>
      <w:r w:rsidR="005419A7">
        <w:rPr>
          <w:rFonts w:hint="eastAsia"/>
        </w:rPr>
        <w:t>QDII</w:t>
      </w:r>
      <w:r w:rsidR="005419A7">
        <w:rPr>
          <w:rFonts w:hint="eastAsia"/>
        </w:rPr>
        <w:t>基金增持。</w:t>
      </w:r>
    </w:p>
    <w:p w:rsidR="001B4DCC" w:rsidRPr="008914A1" w:rsidRDefault="005419A7" w:rsidP="009D3F5F">
      <w:pPr>
        <w:spacing w:beforeLines="50" w:line="300" w:lineRule="auto"/>
      </w:pPr>
      <w:r>
        <w:rPr>
          <w:rFonts w:hint="eastAsia"/>
        </w:rPr>
        <w:t>从</w:t>
      </w:r>
      <w:proofErr w:type="gramStart"/>
      <w:r>
        <w:rPr>
          <w:rFonts w:hint="eastAsia"/>
        </w:rPr>
        <w:t>个</w:t>
      </w:r>
      <w:proofErr w:type="gramEnd"/>
      <w:r>
        <w:rPr>
          <w:rFonts w:hint="eastAsia"/>
        </w:rPr>
        <w:t>基来看</w:t>
      </w:r>
      <w:r w:rsidR="00490B00">
        <w:rPr>
          <w:rFonts w:hint="eastAsia"/>
        </w:rPr>
        <w:t>，工</w:t>
      </w:r>
      <w:proofErr w:type="gramStart"/>
      <w:r w:rsidR="00490B00">
        <w:rPr>
          <w:rFonts w:hint="eastAsia"/>
        </w:rPr>
        <w:t>银全球</w:t>
      </w:r>
      <w:proofErr w:type="gramEnd"/>
      <w:r w:rsidR="00490B00">
        <w:rPr>
          <w:rFonts w:hint="eastAsia"/>
        </w:rPr>
        <w:t>精选、长信环球行业、广发亚太精选、富国中国中小盘对医疗保健行业股票配置比例较高，而国泰纳斯达克</w:t>
      </w:r>
      <w:r w:rsidR="00490B00">
        <w:rPr>
          <w:rFonts w:hint="eastAsia"/>
        </w:rPr>
        <w:t>100</w:t>
      </w:r>
      <w:r w:rsidR="00490B00">
        <w:rPr>
          <w:rFonts w:hint="eastAsia"/>
        </w:rPr>
        <w:t>、广发纳斯达克</w:t>
      </w:r>
      <w:r w:rsidR="00490B00">
        <w:rPr>
          <w:rFonts w:hint="eastAsia"/>
        </w:rPr>
        <w:t>100</w:t>
      </w:r>
      <w:r w:rsidR="00490B00">
        <w:rPr>
          <w:rFonts w:hint="eastAsia"/>
        </w:rPr>
        <w:t>、海富通大中华精选、广发亚太精选、工</w:t>
      </w:r>
      <w:proofErr w:type="gramStart"/>
      <w:r w:rsidR="00490B00">
        <w:rPr>
          <w:rFonts w:hint="eastAsia"/>
        </w:rPr>
        <w:t>银全球</w:t>
      </w:r>
      <w:proofErr w:type="gramEnd"/>
      <w:r w:rsidR="00490B00">
        <w:rPr>
          <w:rFonts w:hint="eastAsia"/>
        </w:rPr>
        <w:t>精选配置了较多的科技股。</w:t>
      </w: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8222"/>
      </w:tblGrid>
      <w:tr w:rsidR="001B4DCC" w:rsidTr="00C61438">
        <w:tc>
          <w:tcPr>
            <w:tcW w:w="8222" w:type="dxa"/>
            <w:tcBorders>
              <w:bottom w:val="single" w:sz="4" w:space="0" w:color="auto"/>
            </w:tcBorders>
          </w:tcPr>
          <w:p w:rsidR="001B4DCC" w:rsidRPr="00B32872" w:rsidRDefault="001B4DCC" w:rsidP="009D3F5F">
            <w:pPr>
              <w:spacing w:beforeLines="50" w:line="300" w:lineRule="auto"/>
              <w:rPr>
                <w:rFonts w:ascii="华文细黑" w:eastAsia="华文细黑" w:hAnsi="华文细黑"/>
                <w:i/>
              </w:rPr>
            </w:pPr>
            <w:r w:rsidRPr="00B32872">
              <w:rPr>
                <w:rFonts w:ascii="华文细黑" w:eastAsia="华文细黑" w:hAnsi="华文细黑" w:hint="eastAsia"/>
                <w:i/>
              </w:rPr>
              <w:t>图表：</w:t>
            </w:r>
            <w:r>
              <w:rPr>
                <w:rFonts w:ascii="华文细黑" w:eastAsia="华文细黑" w:hAnsi="华文细黑" w:hint="eastAsia"/>
                <w:i/>
              </w:rPr>
              <w:t>QDII基金行业配置比例</w:t>
            </w:r>
          </w:p>
        </w:tc>
      </w:tr>
      <w:tr w:rsidR="001B4DCC" w:rsidTr="006242BF">
        <w:trPr>
          <w:trHeight w:val="4086"/>
        </w:trPr>
        <w:tc>
          <w:tcPr>
            <w:tcW w:w="8222" w:type="dxa"/>
            <w:tcBorders>
              <w:top w:val="single" w:sz="4" w:space="0" w:color="auto"/>
              <w:bottom w:val="single" w:sz="4" w:space="0" w:color="auto"/>
            </w:tcBorders>
          </w:tcPr>
          <w:p w:rsidR="001B4DCC" w:rsidRDefault="00674070" w:rsidP="00C61438">
            <w:pPr>
              <w:spacing w:line="300" w:lineRule="auto"/>
            </w:pPr>
            <w:r w:rsidRPr="00674070">
              <w:rPr>
                <w:noProof/>
              </w:rPr>
              <w:drawing>
                <wp:inline distT="0" distB="0" distL="0" distR="0">
                  <wp:extent cx="5162550" cy="2743200"/>
                  <wp:effectExtent l="0" t="0" r="0" b="0"/>
                  <wp:docPr id="22" name="图表 13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6"/>
                    </a:graphicData>
                  </a:graphic>
                </wp:inline>
              </w:drawing>
            </w:r>
          </w:p>
        </w:tc>
      </w:tr>
      <w:tr w:rsidR="001B4DCC" w:rsidTr="00C61438">
        <w:tc>
          <w:tcPr>
            <w:tcW w:w="8222" w:type="dxa"/>
            <w:tcBorders>
              <w:top w:val="single" w:sz="4" w:space="0" w:color="auto"/>
            </w:tcBorders>
          </w:tcPr>
          <w:p w:rsidR="001B4DCC" w:rsidRPr="00B32872" w:rsidRDefault="001B4DCC" w:rsidP="00C61438">
            <w:pPr>
              <w:spacing w:line="300" w:lineRule="auto"/>
              <w:rPr>
                <w:sz w:val="18"/>
                <w:szCs w:val="18"/>
              </w:rPr>
            </w:pPr>
            <w:r w:rsidRPr="00B32872">
              <w:rPr>
                <w:rFonts w:hint="eastAsia"/>
                <w:sz w:val="18"/>
                <w:szCs w:val="18"/>
              </w:rPr>
              <w:t>数据来源：</w:t>
            </w:r>
            <w:proofErr w:type="gramStart"/>
            <w:r w:rsidRPr="00B32872">
              <w:rPr>
                <w:rFonts w:hint="eastAsia"/>
                <w:sz w:val="18"/>
                <w:szCs w:val="18"/>
              </w:rPr>
              <w:t>众禄基金</w:t>
            </w:r>
            <w:proofErr w:type="gramEnd"/>
            <w:r w:rsidRPr="00B32872">
              <w:rPr>
                <w:rFonts w:hint="eastAsia"/>
                <w:sz w:val="18"/>
                <w:szCs w:val="18"/>
              </w:rPr>
              <w:t>研究中心</w:t>
            </w:r>
          </w:p>
        </w:tc>
      </w:tr>
    </w:tbl>
    <w:p w:rsidR="001B4DCC" w:rsidRDefault="001B4DCC" w:rsidP="009D3F5F">
      <w:pPr>
        <w:spacing w:beforeLines="50" w:line="300" w:lineRule="auto"/>
        <w:rPr>
          <w:b/>
        </w:rPr>
      </w:pPr>
    </w:p>
    <w:p w:rsidR="006242BF" w:rsidRDefault="006242BF" w:rsidP="009D3F5F">
      <w:pPr>
        <w:spacing w:beforeLines="50" w:line="300" w:lineRule="auto"/>
        <w:rPr>
          <w:b/>
        </w:rPr>
      </w:pPr>
    </w:p>
    <w:p w:rsidR="006242BF" w:rsidRDefault="006242BF" w:rsidP="009D3F5F">
      <w:pPr>
        <w:spacing w:beforeLines="50" w:line="300" w:lineRule="auto"/>
        <w:rPr>
          <w:b/>
        </w:rPr>
      </w:pPr>
    </w:p>
    <w:p w:rsidR="006242BF" w:rsidRDefault="006242BF" w:rsidP="009D3F5F">
      <w:pPr>
        <w:spacing w:beforeLines="50" w:line="300" w:lineRule="auto"/>
        <w:rPr>
          <w:b/>
        </w:rPr>
      </w:pPr>
    </w:p>
    <w:p w:rsidR="006242BF" w:rsidRDefault="006242BF" w:rsidP="009D3F5F">
      <w:pPr>
        <w:spacing w:beforeLines="50" w:line="300" w:lineRule="auto"/>
        <w:rPr>
          <w:b/>
        </w:rPr>
      </w:pPr>
    </w:p>
    <w:p w:rsidR="006242BF" w:rsidRDefault="006242BF" w:rsidP="009D3F5F">
      <w:pPr>
        <w:spacing w:beforeLines="50" w:line="300" w:lineRule="auto"/>
        <w:rPr>
          <w:b/>
        </w:rPr>
      </w:pPr>
    </w:p>
    <w:p w:rsidR="006242BF" w:rsidRDefault="006242BF" w:rsidP="009D3F5F">
      <w:pPr>
        <w:spacing w:beforeLines="50" w:line="300" w:lineRule="auto"/>
        <w:rPr>
          <w:b/>
        </w:rPr>
      </w:pPr>
    </w:p>
    <w:p w:rsidR="006242BF" w:rsidRDefault="006242BF" w:rsidP="009D3F5F">
      <w:pPr>
        <w:spacing w:beforeLines="50" w:line="300" w:lineRule="auto"/>
        <w:rPr>
          <w:b/>
        </w:rPr>
      </w:pPr>
    </w:p>
    <w:p w:rsidR="006242BF" w:rsidRPr="001B4DCC" w:rsidRDefault="006242BF" w:rsidP="009D3F5F">
      <w:pPr>
        <w:spacing w:beforeLines="50" w:line="300" w:lineRule="auto"/>
        <w:rPr>
          <w:b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8222"/>
      </w:tblGrid>
      <w:tr w:rsidR="001B4DCC" w:rsidTr="00C61438">
        <w:tc>
          <w:tcPr>
            <w:tcW w:w="8222" w:type="dxa"/>
            <w:tcBorders>
              <w:bottom w:val="single" w:sz="4" w:space="0" w:color="auto"/>
            </w:tcBorders>
          </w:tcPr>
          <w:p w:rsidR="001B4DCC" w:rsidRPr="00B32872" w:rsidRDefault="001B4DCC" w:rsidP="009D3F5F">
            <w:pPr>
              <w:spacing w:beforeLines="50" w:line="300" w:lineRule="auto"/>
              <w:rPr>
                <w:rFonts w:ascii="华文细黑" w:eastAsia="华文细黑" w:hAnsi="华文细黑"/>
                <w:i/>
              </w:rPr>
            </w:pPr>
            <w:r w:rsidRPr="00B32872">
              <w:rPr>
                <w:rFonts w:ascii="华文细黑" w:eastAsia="华文细黑" w:hAnsi="华文细黑" w:hint="eastAsia"/>
                <w:i/>
              </w:rPr>
              <w:lastRenderedPageBreak/>
              <w:t>图表：</w:t>
            </w:r>
            <w:r w:rsidR="009D3F5F">
              <w:rPr>
                <w:rFonts w:ascii="华文细黑" w:eastAsia="华文细黑" w:hAnsi="华文细黑" w:hint="eastAsia"/>
                <w:i/>
              </w:rPr>
              <w:t>三</w:t>
            </w:r>
            <w:r w:rsidRPr="001B4DCC">
              <w:rPr>
                <w:rFonts w:ascii="华文细黑" w:eastAsia="华文细黑" w:hAnsi="华文细黑" w:hint="eastAsia"/>
                <w:i/>
              </w:rPr>
              <w:t>季度</w:t>
            </w:r>
            <w:r>
              <w:rPr>
                <w:rFonts w:ascii="华文细黑" w:eastAsia="华文细黑" w:hAnsi="华文细黑" w:hint="eastAsia"/>
                <w:i/>
              </w:rPr>
              <w:t>QDII基金行业配置比例变化</w:t>
            </w:r>
          </w:p>
        </w:tc>
      </w:tr>
      <w:tr w:rsidR="001B4DCC" w:rsidTr="006242BF">
        <w:trPr>
          <w:trHeight w:val="4243"/>
        </w:trPr>
        <w:tc>
          <w:tcPr>
            <w:tcW w:w="8222" w:type="dxa"/>
            <w:tcBorders>
              <w:top w:val="single" w:sz="4" w:space="0" w:color="auto"/>
              <w:bottom w:val="single" w:sz="4" w:space="0" w:color="auto"/>
            </w:tcBorders>
          </w:tcPr>
          <w:p w:rsidR="001B4DCC" w:rsidRDefault="0057465F" w:rsidP="00C61438">
            <w:pPr>
              <w:spacing w:line="300" w:lineRule="auto"/>
            </w:pPr>
            <w:r w:rsidRPr="0057465F">
              <w:rPr>
                <w:noProof/>
              </w:rPr>
              <w:drawing>
                <wp:inline distT="0" distB="0" distL="0" distR="0">
                  <wp:extent cx="5133975" cy="2600325"/>
                  <wp:effectExtent l="0" t="0" r="0" b="0"/>
                  <wp:docPr id="23" name="图表 14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7"/>
                    </a:graphicData>
                  </a:graphic>
                </wp:inline>
              </w:drawing>
            </w:r>
          </w:p>
        </w:tc>
      </w:tr>
      <w:tr w:rsidR="001B4DCC" w:rsidTr="00C61438">
        <w:tc>
          <w:tcPr>
            <w:tcW w:w="8222" w:type="dxa"/>
            <w:tcBorders>
              <w:top w:val="single" w:sz="4" w:space="0" w:color="auto"/>
            </w:tcBorders>
          </w:tcPr>
          <w:p w:rsidR="001B4DCC" w:rsidRPr="00B32872" w:rsidRDefault="001B4DCC" w:rsidP="00C61438">
            <w:pPr>
              <w:spacing w:line="300" w:lineRule="auto"/>
              <w:rPr>
                <w:sz w:val="18"/>
                <w:szCs w:val="18"/>
              </w:rPr>
            </w:pPr>
            <w:r w:rsidRPr="00B32872">
              <w:rPr>
                <w:rFonts w:hint="eastAsia"/>
                <w:sz w:val="18"/>
                <w:szCs w:val="18"/>
              </w:rPr>
              <w:t>数据来源：</w:t>
            </w:r>
            <w:proofErr w:type="gramStart"/>
            <w:r w:rsidRPr="00B32872">
              <w:rPr>
                <w:rFonts w:hint="eastAsia"/>
                <w:sz w:val="18"/>
                <w:szCs w:val="18"/>
              </w:rPr>
              <w:t>众禄基金</w:t>
            </w:r>
            <w:proofErr w:type="gramEnd"/>
            <w:r w:rsidRPr="00B32872">
              <w:rPr>
                <w:rFonts w:hint="eastAsia"/>
                <w:sz w:val="18"/>
                <w:szCs w:val="18"/>
              </w:rPr>
              <w:t>研究中心</w:t>
            </w:r>
          </w:p>
        </w:tc>
      </w:tr>
    </w:tbl>
    <w:p w:rsidR="00AB6D0C" w:rsidRDefault="00AB6D0C" w:rsidP="009D3F5F">
      <w:pPr>
        <w:spacing w:beforeLines="50" w:line="300" w:lineRule="auto"/>
      </w:pPr>
    </w:p>
    <w:p w:rsidR="006242BF" w:rsidRDefault="006242BF" w:rsidP="009D3F5F">
      <w:pPr>
        <w:spacing w:beforeLines="50" w:line="300" w:lineRule="auto"/>
      </w:pPr>
    </w:p>
    <w:tbl>
      <w:tblPr>
        <w:tblStyle w:val="-11"/>
        <w:tblW w:w="8216" w:type="dxa"/>
        <w:tblLook w:val="04A0"/>
      </w:tblPr>
      <w:tblGrid>
        <w:gridCol w:w="3231"/>
        <w:gridCol w:w="1240"/>
        <w:gridCol w:w="1077"/>
        <w:gridCol w:w="1191"/>
        <w:gridCol w:w="1477"/>
      </w:tblGrid>
      <w:tr w:rsidR="00911E66" w:rsidRPr="00911E66" w:rsidTr="00911E66">
        <w:trPr>
          <w:cnfStyle w:val="100000000000"/>
          <w:trHeight w:val="270"/>
        </w:trPr>
        <w:tc>
          <w:tcPr>
            <w:cnfStyle w:val="001000000000"/>
            <w:tcW w:w="8212" w:type="dxa"/>
            <w:gridSpan w:val="5"/>
            <w:noWrap/>
            <w:hideMark/>
          </w:tcPr>
          <w:p w:rsidR="00911E66" w:rsidRPr="00911E66" w:rsidRDefault="00911E66" w:rsidP="00911E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1E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图表：行业股票QDII基金一览表</w:t>
            </w:r>
          </w:p>
        </w:tc>
      </w:tr>
      <w:tr w:rsidR="00911E66" w:rsidRPr="00911E66" w:rsidTr="00911E66">
        <w:trPr>
          <w:cnfStyle w:val="000000100000"/>
          <w:trHeight w:val="240"/>
        </w:trPr>
        <w:tc>
          <w:tcPr>
            <w:cnfStyle w:val="001000000000"/>
            <w:tcW w:w="3231" w:type="dxa"/>
            <w:noWrap/>
            <w:hideMark/>
          </w:tcPr>
          <w:p w:rsidR="00911E66" w:rsidRPr="00911E66" w:rsidRDefault="00911E66" w:rsidP="00911E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1E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证券简称</w:t>
            </w:r>
          </w:p>
        </w:tc>
        <w:tc>
          <w:tcPr>
            <w:tcW w:w="1240" w:type="dxa"/>
            <w:noWrap/>
            <w:hideMark/>
          </w:tcPr>
          <w:p w:rsidR="00911E66" w:rsidRPr="00911E66" w:rsidRDefault="00911E66" w:rsidP="00911E66">
            <w:pPr>
              <w:widowControl/>
              <w:jc w:val="center"/>
              <w:cnfStyle w:val="000000100000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</w:rPr>
            </w:pPr>
            <w:r w:rsidRPr="00911E66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基金成立日</w:t>
            </w:r>
          </w:p>
        </w:tc>
        <w:tc>
          <w:tcPr>
            <w:tcW w:w="1077" w:type="dxa"/>
            <w:noWrap/>
            <w:hideMark/>
          </w:tcPr>
          <w:p w:rsidR="00911E66" w:rsidRPr="00911E66" w:rsidRDefault="00911E66" w:rsidP="00911E66">
            <w:pPr>
              <w:widowControl/>
              <w:jc w:val="center"/>
              <w:cnfStyle w:val="000000100000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</w:rPr>
            </w:pPr>
            <w:proofErr w:type="gramStart"/>
            <w:r w:rsidRPr="00911E66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众禄分类</w:t>
            </w:r>
            <w:proofErr w:type="gramEnd"/>
          </w:p>
        </w:tc>
        <w:tc>
          <w:tcPr>
            <w:tcW w:w="1191" w:type="dxa"/>
            <w:noWrap/>
            <w:hideMark/>
          </w:tcPr>
          <w:p w:rsidR="00911E66" w:rsidRPr="00911E66" w:rsidRDefault="00911E66" w:rsidP="00911E66">
            <w:pPr>
              <w:widowControl/>
              <w:jc w:val="center"/>
              <w:cnfStyle w:val="000000100000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</w:rPr>
            </w:pPr>
            <w:r w:rsidRPr="00911E66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产品类别</w:t>
            </w:r>
          </w:p>
        </w:tc>
        <w:tc>
          <w:tcPr>
            <w:tcW w:w="1477" w:type="dxa"/>
            <w:noWrap/>
            <w:hideMark/>
          </w:tcPr>
          <w:p w:rsidR="00911E66" w:rsidRPr="00911E66" w:rsidRDefault="00911E66" w:rsidP="00911E66">
            <w:pPr>
              <w:widowControl/>
              <w:jc w:val="center"/>
              <w:cnfStyle w:val="000000100000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</w:rPr>
            </w:pPr>
            <w:r w:rsidRPr="00911E66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行业类别</w:t>
            </w:r>
          </w:p>
        </w:tc>
      </w:tr>
      <w:tr w:rsidR="00911E66" w:rsidRPr="00911E66" w:rsidTr="00911E66">
        <w:trPr>
          <w:trHeight w:val="240"/>
        </w:trPr>
        <w:tc>
          <w:tcPr>
            <w:cnfStyle w:val="001000000000"/>
            <w:tcW w:w="3231" w:type="dxa"/>
            <w:noWrap/>
            <w:hideMark/>
          </w:tcPr>
          <w:p w:rsidR="00911E66" w:rsidRPr="00911E66" w:rsidRDefault="00911E66" w:rsidP="00911E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911E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诺安油气</w:t>
            </w:r>
            <w:proofErr w:type="gramEnd"/>
            <w:r w:rsidRPr="00911E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能源</w:t>
            </w:r>
          </w:p>
        </w:tc>
        <w:tc>
          <w:tcPr>
            <w:tcW w:w="1240" w:type="dxa"/>
            <w:noWrap/>
            <w:hideMark/>
          </w:tcPr>
          <w:p w:rsidR="00911E66" w:rsidRPr="00911E66" w:rsidRDefault="00911E66" w:rsidP="00911E66">
            <w:pPr>
              <w:widowControl/>
              <w:jc w:val="left"/>
              <w:cnfStyle w:val="00000000000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1E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2011-09-27</w:t>
            </w:r>
          </w:p>
        </w:tc>
        <w:tc>
          <w:tcPr>
            <w:tcW w:w="1077" w:type="dxa"/>
            <w:noWrap/>
            <w:hideMark/>
          </w:tcPr>
          <w:p w:rsidR="00911E66" w:rsidRPr="00911E66" w:rsidRDefault="00911E66" w:rsidP="00911E66">
            <w:pPr>
              <w:widowControl/>
              <w:jc w:val="center"/>
              <w:cnfStyle w:val="00000000000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1E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行业股票</w:t>
            </w:r>
          </w:p>
        </w:tc>
        <w:tc>
          <w:tcPr>
            <w:tcW w:w="1191" w:type="dxa"/>
            <w:noWrap/>
            <w:hideMark/>
          </w:tcPr>
          <w:p w:rsidR="00911E66" w:rsidRPr="00911E66" w:rsidRDefault="00911E66" w:rsidP="00911E66">
            <w:pPr>
              <w:widowControl/>
              <w:jc w:val="center"/>
              <w:cnfStyle w:val="00000000000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1E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主动型</w:t>
            </w:r>
          </w:p>
        </w:tc>
        <w:tc>
          <w:tcPr>
            <w:tcW w:w="1477" w:type="dxa"/>
            <w:noWrap/>
            <w:hideMark/>
          </w:tcPr>
          <w:p w:rsidR="00911E66" w:rsidRPr="00911E66" w:rsidRDefault="00911E66" w:rsidP="00911E66">
            <w:pPr>
              <w:widowControl/>
              <w:jc w:val="center"/>
              <w:cnfStyle w:val="00000000000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1E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能源</w:t>
            </w:r>
          </w:p>
        </w:tc>
      </w:tr>
      <w:tr w:rsidR="00911E66" w:rsidRPr="00911E66" w:rsidTr="00911E66">
        <w:trPr>
          <w:cnfStyle w:val="000000100000"/>
          <w:trHeight w:val="240"/>
        </w:trPr>
        <w:tc>
          <w:tcPr>
            <w:cnfStyle w:val="001000000000"/>
            <w:tcW w:w="3231" w:type="dxa"/>
            <w:noWrap/>
            <w:hideMark/>
          </w:tcPr>
          <w:p w:rsidR="00911E66" w:rsidRPr="00911E66" w:rsidRDefault="00911E66" w:rsidP="00911E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1E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广发标</w:t>
            </w:r>
            <w:proofErr w:type="gramStart"/>
            <w:r w:rsidRPr="00911E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普全球</w:t>
            </w:r>
            <w:proofErr w:type="gramEnd"/>
            <w:r w:rsidRPr="00911E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农业</w:t>
            </w:r>
          </w:p>
        </w:tc>
        <w:tc>
          <w:tcPr>
            <w:tcW w:w="1240" w:type="dxa"/>
            <w:noWrap/>
            <w:hideMark/>
          </w:tcPr>
          <w:p w:rsidR="00911E66" w:rsidRPr="00911E66" w:rsidRDefault="00911E66" w:rsidP="00911E66">
            <w:pPr>
              <w:widowControl/>
              <w:jc w:val="left"/>
              <w:cnfStyle w:val="00000010000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1E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2011-06-28</w:t>
            </w:r>
          </w:p>
        </w:tc>
        <w:tc>
          <w:tcPr>
            <w:tcW w:w="1077" w:type="dxa"/>
            <w:noWrap/>
            <w:hideMark/>
          </w:tcPr>
          <w:p w:rsidR="00911E66" w:rsidRPr="00911E66" w:rsidRDefault="00911E66" w:rsidP="00911E66">
            <w:pPr>
              <w:widowControl/>
              <w:jc w:val="center"/>
              <w:cnfStyle w:val="00000010000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1E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行业股票</w:t>
            </w:r>
          </w:p>
        </w:tc>
        <w:tc>
          <w:tcPr>
            <w:tcW w:w="1191" w:type="dxa"/>
            <w:noWrap/>
            <w:hideMark/>
          </w:tcPr>
          <w:p w:rsidR="00911E66" w:rsidRPr="00911E66" w:rsidRDefault="00911E66" w:rsidP="00911E66">
            <w:pPr>
              <w:widowControl/>
              <w:jc w:val="center"/>
              <w:cnfStyle w:val="00000010000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1E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指数型</w:t>
            </w:r>
          </w:p>
        </w:tc>
        <w:tc>
          <w:tcPr>
            <w:tcW w:w="1477" w:type="dxa"/>
            <w:noWrap/>
            <w:hideMark/>
          </w:tcPr>
          <w:p w:rsidR="00911E66" w:rsidRPr="00911E66" w:rsidRDefault="00911E66" w:rsidP="00911E66">
            <w:pPr>
              <w:widowControl/>
              <w:jc w:val="center"/>
              <w:cnfStyle w:val="00000010000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1E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农业</w:t>
            </w:r>
          </w:p>
        </w:tc>
      </w:tr>
      <w:tr w:rsidR="00911E66" w:rsidRPr="00911E66" w:rsidTr="00911E66">
        <w:trPr>
          <w:trHeight w:val="240"/>
        </w:trPr>
        <w:tc>
          <w:tcPr>
            <w:cnfStyle w:val="001000000000"/>
            <w:tcW w:w="3231" w:type="dxa"/>
            <w:noWrap/>
            <w:hideMark/>
          </w:tcPr>
          <w:p w:rsidR="00911E66" w:rsidRPr="00911E66" w:rsidRDefault="00911E66" w:rsidP="00911E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1E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招商全球资源</w:t>
            </w:r>
          </w:p>
        </w:tc>
        <w:tc>
          <w:tcPr>
            <w:tcW w:w="1240" w:type="dxa"/>
            <w:noWrap/>
            <w:hideMark/>
          </w:tcPr>
          <w:p w:rsidR="00911E66" w:rsidRPr="00911E66" w:rsidRDefault="00911E66" w:rsidP="00911E66">
            <w:pPr>
              <w:widowControl/>
              <w:jc w:val="left"/>
              <w:cnfStyle w:val="00000000000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1E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2010-03-25</w:t>
            </w:r>
          </w:p>
        </w:tc>
        <w:tc>
          <w:tcPr>
            <w:tcW w:w="1077" w:type="dxa"/>
            <w:noWrap/>
            <w:hideMark/>
          </w:tcPr>
          <w:p w:rsidR="00911E66" w:rsidRPr="00911E66" w:rsidRDefault="00911E66" w:rsidP="00911E66">
            <w:pPr>
              <w:widowControl/>
              <w:jc w:val="center"/>
              <w:cnfStyle w:val="00000000000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1E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行业股票</w:t>
            </w:r>
          </w:p>
        </w:tc>
        <w:tc>
          <w:tcPr>
            <w:tcW w:w="1191" w:type="dxa"/>
            <w:noWrap/>
            <w:hideMark/>
          </w:tcPr>
          <w:p w:rsidR="00911E66" w:rsidRPr="00911E66" w:rsidRDefault="00911E66" w:rsidP="00911E66">
            <w:pPr>
              <w:widowControl/>
              <w:jc w:val="center"/>
              <w:cnfStyle w:val="00000000000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1E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主动型</w:t>
            </w:r>
          </w:p>
        </w:tc>
        <w:tc>
          <w:tcPr>
            <w:tcW w:w="1477" w:type="dxa"/>
            <w:noWrap/>
            <w:hideMark/>
          </w:tcPr>
          <w:p w:rsidR="00911E66" w:rsidRPr="00911E66" w:rsidRDefault="00911E66" w:rsidP="00911E66">
            <w:pPr>
              <w:widowControl/>
              <w:jc w:val="center"/>
              <w:cnfStyle w:val="00000000000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1E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资源</w:t>
            </w:r>
          </w:p>
        </w:tc>
      </w:tr>
      <w:tr w:rsidR="00911E66" w:rsidRPr="00911E66" w:rsidTr="00911E66">
        <w:trPr>
          <w:cnfStyle w:val="000000100000"/>
          <w:trHeight w:val="240"/>
        </w:trPr>
        <w:tc>
          <w:tcPr>
            <w:cnfStyle w:val="001000000000"/>
            <w:tcW w:w="3231" w:type="dxa"/>
            <w:noWrap/>
            <w:hideMark/>
          </w:tcPr>
          <w:p w:rsidR="00911E66" w:rsidRPr="00911E66" w:rsidRDefault="00911E66" w:rsidP="00911E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1E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华安</w:t>
            </w:r>
            <w:proofErr w:type="gramStart"/>
            <w:r w:rsidRPr="00911E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标普全球</w:t>
            </w:r>
            <w:proofErr w:type="gramEnd"/>
            <w:r w:rsidRPr="00911E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石油</w:t>
            </w:r>
          </w:p>
        </w:tc>
        <w:tc>
          <w:tcPr>
            <w:tcW w:w="1240" w:type="dxa"/>
            <w:noWrap/>
            <w:hideMark/>
          </w:tcPr>
          <w:p w:rsidR="00911E66" w:rsidRPr="00911E66" w:rsidRDefault="00911E66" w:rsidP="00911E66">
            <w:pPr>
              <w:widowControl/>
              <w:jc w:val="left"/>
              <w:cnfStyle w:val="00000010000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1E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2012-03-29</w:t>
            </w:r>
          </w:p>
        </w:tc>
        <w:tc>
          <w:tcPr>
            <w:tcW w:w="1077" w:type="dxa"/>
            <w:noWrap/>
            <w:hideMark/>
          </w:tcPr>
          <w:p w:rsidR="00911E66" w:rsidRPr="00911E66" w:rsidRDefault="00911E66" w:rsidP="00911E66">
            <w:pPr>
              <w:widowControl/>
              <w:jc w:val="center"/>
              <w:cnfStyle w:val="00000010000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1E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行业股票</w:t>
            </w:r>
          </w:p>
        </w:tc>
        <w:tc>
          <w:tcPr>
            <w:tcW w:w="1191" w:type="dxa"/>
            <w:noWrap/>
            <w:hideMark/>
          </w:tcPr>
          <w:p w:rsidR="00911E66" w:rsidRPr="00911E66" w:rsidRDefault="00911E66" w:rsidP="00911E66">
            <w:pPr>
              <w:widowControl/>
              <w:jc w:val="center"/>
              <w:cnfStyle w:val="00000010000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1E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指数型</w:t>
            </w:r>
          </w:p>
        </w:tc>
        <w:tc>
          <w:tcPr>
            <w:tcW w:w="1477" w:type="dxa"/>
            <w:noWrap/>
            <w:hideMark/>
          </w:tcPr>
          <w:p w:rsidR="00911E66" w:rsidRPr="00911E66" w:rsidRDefault="00911E66" w:rsidP="00911E66">
            <w:pPr>
              <w:widowControl/>
              <w:jc w:val="center"/>
              <w:cnfStyle w:val="00000010000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1E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能源</w:t>
            </w:r>
          </w:p>
        </w:tc>
      </w:tr>
      <w:tr w:rsidR="00911E66" w:rsidRPr="00911E66" w:rsidTr="00911E66">
        <w:trPr>
          <w:trHeight w:val="240"/>
        </w:trPr>
        <w:tc>
          <w:tcPr>
            <w:cnfStyle w:val="001000000000"/>
            <w:tcW w:w="3231" w:type="dxa"/>
            <w:noWrap/>
            <w:hideMark/>
          </w:tcPr>
          <w:p w:rsidR="00911E66" w:rsidRPr="00911E66" w:rsidRDefault="00911E66" w:rsidP="00911E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1E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富国全球顶级消费品</w:t>
            </w:r>
          </w:p>
        </w:tc>
        <w:tc>
          <w:tcPr>
            <w:tcW w:w="1240" w:type="dxa"/>
            <w:noWrap/>
            <w:hideMark/>
          </w:tcPr>
          <w:p w:rsidR="00911E66" w:rsidRPr="00911E66" w:rsidRDefault="00911E66" w:rsidP="00911E66">
            <w:pPr>
              <w:widowControl/>
              <w:jc w:val="left"/>
              <w:cnfStyle w:val="00000000000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1E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2011-07-13</w:t>
            </w:r>
          </w:p>
        </w:tc>
        <w:tc>
          <w:tcPr>
            <w:tcW w:w="1077" w:type="dxa"/>
            <w:noWrap/>
            <w:hideMark/>
          </w:tcPr>
          <w:p w:rsidR="00911E66" w:rsidRPr="00911E66" w:rsidRDefault="00911E66" w:rsidP="00911E66">
            <w:pPr>
              <w:widowControl/>
              <w:jc w:val="center"/>
              <w:cnfStyle w:val="00000000000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1E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行业股票</w:t>
            </w:r>
          </w:p>
        </w:tc>
        <w:tc>
          <w:tcPr>
            <w:tcW w:w="1191" w:type="dxa"/>
            <w:noWrap/>
            <w:hideMark/>
          </w:tcPr>
          <w:p w:rsidR="00911E66" w:rsidRPr="00911E66" w:rsidRDefault="00911E66" w:rsidP="00911E66">
            <w:pPr>
              <w:widowControl/>
              <w:jc w:val="center"/>
              <w:cnfStyle w:val="00000000000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1E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主动型</w:t>
            </w:r>
          </w:p>
        </w:tc>
        <w:tc>
          <w:tcPr>
            <w:tcW w:w="1477" w:type="dxa"/>
            <w:noWrap/>
            <w:hideMark/>
          </w:tcPr>
          <w:p w:rsidR="00911E66" w:rsidRPr="00911E66" w:rsidRDefault="00911E66" w:rsidP="00911E66">
            <w:pPr>
              <w:widowControl/>
              <w:jc w:val="center"/>
              <w:cnfStyle w:val="00000000000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1E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消费品</w:t>
            </w:r>
          </w:p>
        </w:tc>
      </w:tr>
      <w:tr w:rsidR="00911E66" w:rsidRPr="00911E66" w:rsidTr="00911E66">
        <w:trPr>
          <w:cnfStyle w:val="000000100000"/>
          <w:trHeight w:val="240"/>
        </w:trPr>
        <w:tc>
          <w:tcPr>
            <w:cnfStyle w:val="001000000000"/>
            <w:tcW w:w="3231" w:type="dxa"/>
            <w:noWrap/>
            <w:hideMark/>
          </w:tcPr>
          <w:p w:rsidR="00911E66" w:rsidRPr="00911E66" w:rsidRDefault="00911E66" w:rsidP="00911E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1E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易方达标普消费品</w:t>
            </w:r>
          </w:p>
        </w:tc>
        <w:tc>
          <w:tcPr>
            <w:tcW w:w="1240" w:type="dxa"/>
            <w:noWrap/>
            <w:hideMark/>
          </w:tcPr>
          <w:p w:rsidR="00911E66" w:rsidRPr="00911E66" w:rsidRDefault="00911E66" w:rsidP="00911E66">
            <w:pPr>
              <w:widowControl/>
              <w:jc w:val="left"/>
              <w:cnfStyle w:val="00000010000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1E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2012-06-04</w:t>
            </w:r>
          </w:p>
        </w:tc>
        <w:tc>
          <w:tcPr>
            <w:tcW w:w="1077" w:type="dxa"/>
            <w:noWrap/>
            <w:hideMark/>
          </w:tcPr>
          <w:p w:rsidR="00911E66" w:rsidRPr="00911E66" w:rsidRDefault="00911E66" w:rsidP="00911E66">
            <w:pPr>
              <w:widowControl/>
              <w:jc w:val="center"/>
              <w:cnfStyle w:val="00000010000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1E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行业股票</w:t>
            </w:r>
          </w:p>
        </w:tc>
        <w:tc>
          <w:tcPr>
            <w:tcW w:w="1191" w:type="dxa"/>
            <w:noWrap/>
            <w:hideMark/>
          </w:tcPr>
          <w:p w:rsidR="00911E66" w:rsidRPr="00911E66" w:rsidRDefault="00911E66" w:rsidP="00911E66">
            <w:pPr>
              <w:widowControl/>
              <w:jc w:val="center"/>
              <w:cnfStyle w:val="00000010000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1E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指数型</w:t>
            </w:r>
          </w:p>
        </w:tc>
        <w:tc>
          <w:tcPr>
            <w:tcW w:w="1477" w:type="dxa"/>
            <w:noWrap/>
            <w:hideMark/>
          </w:tcPr>
          <w:p w:rsidR="00911E66" w:rsidRPr="00911E66" w:rsidRDefault="00911E66" w:rsidP="00911E66">
            <w:pPr>
              <w:widowControl/>
              <w:jc w:val="center"/>
              <w:cnfStyle w:val="00000010000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1E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消费品</w:t>
            </w:r>
          </w:p>
        </w:tc>
      </w:tr>
      <w:tr w:rsidR="00911E66" w:rsidRPr="00911E66" w:rsidTr="00911E66">
        <w:trPr>
          <w:trHeight w:val="240"/>
        </w:trPr>
        <w:tc>
          <w:tcPr>
            <w:cnfStyle w:val="001000000000"/>
            <w:tcW w:w="3231" w:type="dxa"/>
            <w:noWrap/>
            <w:hideMark/>
          </w:tcPr>
          <w:p w:rsidR="00911E66" w:rsidRPr="00911E66" w:rsidRDefault="00911E66" w:rsidP="00911E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1E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中银</w:t>
            </w:r>
            <w:proofErr w:type="gramStart"/>
            <w:r w:rsidRPr="00911E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标普全球</w:t>
            </w:r>
            <w:proofErr w:type="gramEnd"/>
            <w:r w:rsidRPr="00911E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精选</w:t>
            </w:r>
          </w:p>
        </w:tc>
        <w:tc>
          <w:tcPr>
            <w:tcW w:w="1240" w:type="dxa"/>
            <w:noWrap/>
            <w:hideMark/>
          </w:tcPr>
          <w:p w:rsidR="00911E66" w:rsidRPr="00911E66" w:rsidRDefault="00911E66" w:rsidP="00911E66">
            <w:pPr>
              <w:widowControl/>
              <w:jc w:val="left"/>
              <w:cnfStyle w:val="00000000000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1E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2013-03-19</w:t>
            </w:r>
          </w:p>
        </w:tc>
        <w:tc>
          <w:tcPr>
            <w:tcW w:w="1077" w:type="dxa"/>
            <w:noWrap/>
            <w:hideMark/>
          </w:tcPr>
          <w:p w:rsidR="00911E66" w:rsidRPr="00911E66" w:rsidRDefault="00911E66" w:rsidP="00911E66">
            <w:pPr>
              <w:widowControl/>
              <w:jc w:val="center"/>
              <w:cnfStyle w:val="00000000000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1E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行业股票</w:t>
            </w:r>
          </w:p>
        </w:tc>
        <w:tc>
          <w:tcPr>
            <w:tcW w:w="1191" w:type="dxa"/>
            <w:noWrap/>
            <w:hideMark/>
          </w:tcPr>
          <w:p w:rsidR="00911E66" w:rsidRPr="00911E66" w:rsidRDefault="00911E66" w:rsidP="00911E66">
            <w:pPr>
              <w:widowControl/>
              <w:jc w:val="center"/>
              <w:cnfStyle w:val="00000000000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1E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指数型</w:t>
            </w:r>
          </w:p>
        </w:tc>
        <w:tc>
          <w:tcPr>
            <w:tcW w:w="1477" w:type="dxa"/>
            <w:noWrap/>
            <w:hideMark/>
          </w:tcPr>
          <w:p w:rsidR="00911E66" w:rsidRPr="00911E66" w:rsidRDefault="00911E66" w:rsidP="00911E66">
            <w:pPr>
              <w:widowControl/>
              <w:jc w:val="center"/>
              <w:cnfStyle w:val="00000000000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1E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资源</w:t>
            </w:r>
          </w:p>
        </w:tc>
      </w:tr>
      <w:tr w:rsidR="00911E66" w:rsidRPr="00911E66" w:rsidTr="00911E66">
        <w:trPr>
          <w:cnfStyle w:val="000000100000"/>
          <w:trHeight w:val="240"/>
        </w:trPr>
        <w:tc>
          <w:tcPr>
            <w:cnfStyle w:val="001000000000"/>
            <w:tcW w:w="3231" w:type="dxa"/>
            <w:noWrap/>
            <w:hideMark/>
          </w:tcPr>
          <w:p w:rsidR="00911E66" w:rsidRPr="00911E66" w:rsidRDefault="00911E66" w:rsidP="00911E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1E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华</w:t>
            </w:r>
            <w:proofErr w:type="gramStart"/>
            <w:r w:rsidRPr="00911E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宝兴业标普油气</w:t>
            </w:r>
            <w:proofErr w:type="gramEnd"/>
          </w:p>
        </w:tc>
        <w:tc>
          <w:tcPr>
            <w:tcW w:w="1240" w:type="dxa"/>
            <w:noWrap/>
            <w:hideMark/>
          </w:tcPr>
          <w:p w:rsidR="00911E66" w:rsidRPr="00911E66" w:rsidRDefault="00911E66" w:rsidP="00911E66">
            <w:pPr>
              <w:widowControl/>
              <w:jc w:val="left"/>
              <w:cnfStyle w:val="00000010000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1E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2011-09-29</w:t>
            </w:r>
          </w:p>
        </w:tc>
        <w:tc>
          <w:tcPr>
            <w:tcW w:w="1077" w:type="dxa"/>
            <w:noWrap/>
            <w:hideMark/>
          </w:tcPr>
          <w:p w:rsidR="00911E66" w:rsidRPr="00911E66" w:rsidRDefault="00911E66" w:rsidP="00911E66">
            <w:pPr>
              <w:widowControl/>
              <w:jc w:val="center"/>
              <w:cnfStyle w:val="00000010000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1E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行业股票</w:t>
            </w:r>
          </w:p>
        </w:tc>
        <w:tc>
          <w:tcPr>
            <w:tcW w:w="1191" w:type="dxa"/>
            <w:noWrap/>
            <w:hideMark/>
          </w:tcPr>
          <w:p w:rsidR="00911E66" w:rsidRPr="00911E66" w:rsidRDefault="00911E66" w:rsidP="00911E66">
            <w:pPr>
              <w:widowControl/>
              <w:jc w:val="center"/>
              <w:cnfStyle w:val="00000010000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1E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指数型</w:t>
            </w:r>
          </w:p>
        </w:tc>
        <w:tc>
          <w:tcPr>
            <w:tcW w:w="1477" w:type="dxa"/>
            <w:noWrap/>
            <w:hideMark/>
          </w:tcPr>
          <w:p w:rsidR="00911E66" w:rsidRPr="00911E66" w:rsidRDefault="00911E66" w:rsidP="00911E66">
            <w:pPr>
              <w:widowControl/>
              <w:jc w:val="center"/>
              <w:cnfStyle w:val="00000010000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1E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能源</w:t>
            </w:r>
          </w:p>
        </w:tc>
      </w:tr>
      <w:tr w:rsidR="00911E66" w:rsidRPr="00911E66" w:rsidTr="00911E66">
        <w:trPr>
          <w:trHeight w:val="240"/>
        </w:trPr>
        <w:tc>
          <w:tcPr>
            <w:cnfStyle w:val="001000000000"/>
            <w:tcW w:w="3231" w:type="dxa"/>
            <w:noWrap/>
            <w:hideMark/>
          </w:tcPr>
          <w:p w:rsidR="00911E66" w:rsidRPr="00911E66" w:rsidRDefault="00911E66" w:rsidP="00911E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1E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上投摩根全球天然资源</w:t>
            </w:r>
          </w:p>
        </w:tc>
        <w:tc>
          <w:tcPr>
            <w:tcW w:w="1240" w:type="dxa"/>
            <w:noWrap/>
            <w:hideMark/>
          </w:tcPr>
          <w:p w:rsidR="00911E66" w:rsidRPr="00911E66" w:rsidRDefault="00911E66" w:rsidP="00911E66">
            <w:pPr>
              <w:widowControl/>
              <w:jc w:val="left"/>
              <w:cnfStyle w:val="00000000000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1E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2012-03-26</w:t>
            </w:r>
          </w:p>
        </w:tc>
        <w:tc>
          <w:tcPr>
            <w:tcW w:w="1077" w:type="dxa"/>
            <w:noWrap/>
            <w:hideMark/>
          </w:tcPr>
          <w:p w:rsidR="00911E66" w:rsidRPr="00911E66" w:rsidRDefault="00911E66" w:rsidP="00911E66">
            <w:pPr>
              <w:widowControl/>
              <w:jc w:val="center"/>
              <w:cnfStyle w:val="00000000000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1E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行业股票</w:t>
            </w:r>
          </w:p>
        </w:tc>
        <w:tc>
          <w:tcPr>
            <w:tcW w:w="1191" w:type="dxa"/>
            <w:noWrap/>
            <w:hideMark/>
          </w:tcPr>
          <w:p w:rsidR="00911E66" w:rsidRPr="00911E66" w:rsidRDefault="00911E66" w:rsidP="00911E66">
            <w:pPr>
              <w:widowControl/>
              <w:jc w:val="center"/>
              <w:cnfStyle w:val="00000000000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1E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主动型</w:t>
            </w:r>
          </w:p>
        </w:tc>
        <w:tc>
          <w:tcPr>
            <w:tcW w:w="1477" w:type="dxa"/>
            <w:noWrap/>
            <w:hideMark/>
          </w:tcPr>
          <w:p w:rsidR="00911E66" w:rsidRPr="00911E66" w:rsidRDefault="00911E66" w:rsidP="00911E66">
            <w:pPr>
              <w:widowControl/>
              <w:jc w:val="center"/>
              <w:cnfStyle w:val="00000000000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1E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资源</w:t>
            </w:r>
          </w:p>
        </w:tc>
      </w:tr>
      <w:tr w:rsidR="00911E66" w:rsidRPr="00911E66" w:rsidTr="00911E66">
        <w:trPr>
          <w:cnfStyle w:val="000000100000"/>
          <w:trHeight w:val="240"/>
        </w:trPr>
        <w:tc>
          <w:tcPr>
            <w:cnfStyle w:val="001000000000"/>
            <w:tcW w:w="3231" w:type="dxa"/>
            <w:noWrap/>
            <w:hideMark/>
          </w:tcPr>
          <w:p w:rsidR="00911E66" w:rsidRPr="00911E66" w:rsidRDefault="00911E66" w:rsidP="00911E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1E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建信全球资源</w:t>
            </w:r>
          </w:p>
        </w:tc>
        <w:tc>
          <w:tcPr>
            <w:tcW w:w="1240" w:type="dxa"/>
            <w:noWrap/>
            <w:hideMark/>
          </w:tcPr>
          <w:p w:rsidR="00911E66" w:rsidRPr="00911E66" w:rsidRDefault="00911E66" w:rsidP="00911E66">
            <w:pPr>
              <w:widowControl/>
              <w:jc w:val="left"/>
              <w:cnfStyle w:val="00000010000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1E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2012-06-26</w:t>
            </w:r>
          </w:p>
        </w:tc>
        <w:tc>
          <w:tcPr>
            <w:tcW w:w="1077" w:type="dxa"/>
            <w:noWrap/>
            <w:hideMark/>
          </w:tcPr>
          <w:p w:rsidR="00911E66" w:rsidRPr="00911E66" w:rsidRDefault="00911E66" w:rsidP="00911E66">
            <w:pPr>
              <w:widowControl/>
              <w:jc w:val="center"/>
              <w:cnfStyle w:val="00000010000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1E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行业股票</w:t>
            </w:r>
          </w:p>
        </w:tc>
        <w:tc>
          <w:tcPr>
            <w:tcW w:w="1191" w:type="dxa"/>
            <w:noWrap/>
            <w:hideMark/>
          </w:tcPr>
          <w:p w:rsidR="00911E66" w:rsidRPr="00911E66" w:rsidRDefault="00911E66" w:rsidP="00911E66">
            <w:pPr>
              <w:widowControl/>
              <w:jc w:val="center"/>
              <w:cnfStyle w:val="00000010000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1E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主动型</w:t>
            </w:r>
          </w:p>
        </w:tc>
        <w:tc>
          <w:tcPr>
            <w:tcW w:w="1477" w:type="dxa"/>
            <w:noWrap/>
            <w:hideMark/>
          </w:tcPr>
          <w:p w:rsidR="00911E66" w:rsidRPr="00911E66" w:rsidRDefault="00911E66" w:rsidP="00911E66">
            <w:pPr>
              <w:widowControl/>
              <w:jc w:val="center"/>
              <w:cnfStyle w:val="00000010000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1E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资源</w:t>
            </w:r>
          </w:p>
        </w:tc>
      </w:tr>
      <w:tr w:rsidR="00911E66" w:rsidRPr="00911E66" w:rsidTr="00911E66">
        <w:trPr>
          <w:trHeight w:val="240"/>
        </w:trPr>
        <w:tc>
          <w:tcPr>
            <w:cnfStyle w:val="001000000000"/>
            <w:tcW w:w="3231" w:type="dxa"/>
            <w:noWrap/>
            <w:hideMark/>
          </w:tcPr>
          <w:p w:rsidR="00911E66" w:rsidRPr="00911E66" w:rsidRDefault="00911E66" w:rsidP="00911E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1E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</w:t>
            </w:r>
            <w:proofErr w:type="gramStart"/>
            <w:r w:rsidRPr="00911E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银瑞信标普全球</w:t>
            </w:r>
            <w:proofErr w:type="gramEnd"/>
            <w:r w:rsidRPr="00911E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资源</w:t>
            </w:r>
          </w:p>
        </w:tc>
        <w:tc>
          <w:tcPr>
            <w:tcW w:w="1240" w:type="dxa"/>
            <w:noWrap/>
            <w:hideMark/>
          </w:tcPr>
          <w:p w:rsidR="00911E66" w:rsidRPr="00911E66" w:rsidRDefault="00911E66" w:rsidP="00911E66">
            <w:pPr>
              <w:widowControl/>
              <w:jc w:val="left"/>
              <w:cnfStyle w:val="00000000000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1E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2013-05-28</w:t>
            </w:r>
          </w:p>
        </w:tc>
        <w:tc>
          <w:tcPr>
            <w:tcW w:w="1077" w:type="dxa"/>
            <w:noWrap/>
            <w:hideMark/>
          </w:tcPr>
          <w:p w:rsidR="00911E66" w:rsidRPr="00911E66" w:rsidRDefault="00911E66" w:rsidP="00911E66">
            <w:pPr>
              <w:widowControl/>
              <w:jc w:val="center"/>
              <w:cnfStyle w:val="00000000000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1E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行业股票</w:t>
            </w:r>
          </w:p>
        </w:tc>
        <w:tc>
          <w:tcPr>
            <w:tcW w:w="1191" w:type="dxa"/>
            <w:noWrap/>
            <w:hideMark/>
          </w:tcPr>
          <w:p w:rsidR="00911E66" w:rsidRPr="00911E66" w:rsidRDefault="00911E66" w:rsidP="00911E66">
            <w:pPr>
              <w:widowControl/>
              <w:jc w:val="center"/>
              <w:cnfStyle w:val="00000000000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1E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指数型</w:t>
            </w:r>
          </w:p>
        </w:tc>
        <w:tc>
          <w:tcPr>
            <w:tcW w:w="1477" w:type="dxa"/>
            <w:noWrap/>
            <w:hideMark/>
          </w:tcPr>
          <w:p w:rsidR="00911E66" w:rsidRPr="00911E66" w:rsidRDefault="00911E66" w:rsidP="00911E66">
            <w:pPr>
              <w:widowControl/>
              <w:jc w:val="center"/>
              <w:cnfStyle w:val="00000000000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1E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资源</w:t>
            </w:r>
          </w:p>
        </w:tc>
      </w:tr>
      <w:tr w:rsidR="00911E66" w:rsidRPr="00911E66" w:rsidTr="00911E66">
        <w:trPr>
          <w:cnfStyle w:val="000000100000"/>
          <w:trHeight w:val="240"/>
        </w:trPr>
        <w:tc>
          <w:tcPr>
            <w:cnfStyle w:val="001000000000"/>
            <w:tcW w:w="3231" w:type="dxa"/>
            <w:noWrap/>
            <w:hideMark/>
          </w:tcPr>
          <w:p w:rsidR="00911E66" w:rsidRPr="00911E66" w:rsidRDefault="00911E66" w:rsidP="00911E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1E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交</w:t>
            </w:r>
            <w:proofErr w:type="gramStart"/>
            <w:r w:rsidRPr="00911E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银全球</w:t>
            </w:r>
            <w:proofErr w:type="gramEnd"/>
            <w:r w:rsidRPr="00911E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自然资源</w:t>
            </w:r>
          </w:p>
        </w:tc>
        <w:tc>
          <w:tcPr>
            <w:tcW w:w="1240" w:type="dxa"/>
            <w:noWrap/>
            <w:hideMark/>
          </w:tcPr>
          <w:p w:rsidR="00911E66" w:rsidRPr="00911E66" w:rsidRDefault="00911E66" w:rsidP="00911E66">
            <w:pPr>
              <w:widowControl/>
              <w:jc w:val="left"/>
              <w:cnfStyle w:val="00000010000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1E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2012-05-22</w:t>
            </w:r>
          </w:p>
        </w:tc>
        <w:tc>
          <w:tcPr>
            <w:tcW w:w="1077" w:type="dxa"/>
            <w:noWrap/>
            <w:hideMark/>
          </w:tcPr>
          <w:p w:rsidR="00911E66" w:rsidRPr="00911E66" w:rsidRDefault="00911E66" w:rsidP="00911E66">
            <w:pPr>
              <w:widowControl/>
              <w:jc w:val="center"/>
              <w:cnfStyle w:val="00000010000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1E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行业股票</w:t>
            </w:r>
          </w:p>
        </w:tc>
        <w:tc>
          <w:tcPr>
            <w:tcW w:w="1191" w:type="dxa"/>
            <w:noWrap/>
            <w:hideMark/>
          </w:tcPr>
          <w:p w:rsidR="00911E66" w:rsidRPr="00911E66" w:rsidRDefault="00911E66" w:rsidP="00911E66">
            <w:pPr>
              <w:widowControl/>
              <w:jc w:val="center"/>
              <w:cnfStyle w:val="00000010000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1E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主动型</w:t>
            </w:r>
          </w:p>
        </w:tc>
        <w:tc>
          <w:tcPr>
            <w:tcW w:w="1477" w:type="dxa"/>
            <w:noWrap/>
            <w:hideMark/>
          </w:tcPr>
          <w:p w:rsidR="00911E66" w:rsidRPr="00911E66" w:rsidRDefault="00911E66" w:rsidP="00911E66">
            <w:pPr>
              <w:widowControl/>
              <w:jc w:val="center"/>
              <w:cnfStyle w:val="00000010000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1E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资源</w:t>
            </w:r>
          </w:p>
        </w:tc>
      </w:tr>
      <w:tr w:rsidR="00911E66" w:rsidRPr="00911E66" w:rsidTr="00911E66">
        <w:trPr>
          <w:trHeight w:val="240"/>
        </w:trPr>
        <w:tc>
          <w:tcPr>
            <w:cnfStyle w:val="001000000000"/>
            <w:tcW w:w="8212" w:type="dxa"/>
            <w:gridSpan w:val="5"/>
            <w:noWrap/>
            <w:hideMark/>
          </w:tcPr>
          <w:p w:rsidR="00911E66" w:rsidRPr="00911E66" w:rsidRDefault="00911E66" w:rsidP="00911E66">
            <w:pPr>
              <w:widowControl/>
              <w:jc w:val="left"/>
              <w:rPr>
                <w:rFonts w:ascii="宋体" w:eastAsia="宋体" w:hAnsi="宋体" w:cs="宋体"/>
                <w:b w:val="0"/>
                <w:color w:val="000000"/>
                <w:kern w:val="0"/>
                <w:sz w:val="20"/>
                <w:szCs w:val="20"/>
              </w:rPr>
            </w:pPr>
            <w:r w:rsidRPr="00911E66">
              <w:rPr>
                <w:rFonts w:ascii="宋体" w:eastAsia="宋体" w:hAnsi="宋体" w:cs="宋体" w:hint="eastAsia"/>
                <w:b w:val="0"/>
                <w:color w:val="000000"/>
                <w:kern w:val="0"/>
                <w:sz w:val="20"/>
                <w:szCs w:val="20"/>
              </w:rPr>
              <w:t>数据来源：</w:t>
            </w:r>
            <w:proofErr w:type="gramStart"/>
            <w:r w:rsidRPr="00911E66">
              <w:rPr>
                <w:rFonts w:ascii="宋体" w:eastAsia="宋体" w:hAnsi="宋体" w:cs="宋体" w:hint="eastAsia"/>
                <w:b w:val="0"/>
                <w:color w:val="000000"/>
                <w:kern w:val="0"/>
                <w:sz w:val="20"/>
                <w:szCs w:val="20"/>
              </w:rPr>
              <w:t>众禄基金</w:t>
            </w:r>
            <w:proofErr w:type="gramEnd"/>
            <w:r w:rsidRPr="00911E66">
              <w:rPr>
                <w:rFonts w:ascii="宋体" w:eastAsia="宋体" w:hAnsi="宋体" w:cs="宋体" w:hint="eastAsia"/>
                <w:b w:val="0"/>
                <w:color w:val="000000"/>
                <w:kern w:val="0"/>
                <w:sz w:val="20"/>
                <w:szCs w:val="20"/>
              </w:rPr>
              <w:t>研究中心</w:t>
            </w:r>
          </w:p>
        </w:tc>
      </w:tr>
    </w:tbl>
    <w:p w:rsidR="00771BF0" w:rsidRDefault="00771BF0" w:rsidP="009D3F5F">
      <w:pPr>
        <w:spacing w:beforeLines="50" w:line="300" w:lineRule="auto"/>
        <w:rPr>
          <w:b/>
        </w:rPr>
      </w:pPr>
    </w:p>
    <w:p w:rsidR="00E261A4" w:rsidRPr="00E261A4" w:rsidRDefault="00E261A4" w:rsidP="00342E1D">
      <w:pPr>
        <w:spacing w:beforeLines="50" w:line="300" w:lineRule="auto"/>
        <w:rPr>
          <w:b/>
        </w:rPr>
      </w:pPr>
    </w:p>
    <w:sectPr w:rsidR="00E261A4" w:rsidRPr="00E261A4" w:rsidSect="00661ACD">
      <w:headerReference w:type="default" r:id="rId18"/>
      <w:footerReference w:type="default" r:id="rId1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5D56" w:rsidRDefault="00865D56" w:rsidP="00EB0954">
      <w:r>
        <w:separator/>
      </w:r>
    </w:p>
  </w:endnote>
  <w:endnote w:type="continuationSeparator" w:id="0">
    <w:p w:rsidR="00865D56" w:rsidRDefault="00865D56" w:rsidP="00EB09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8064A2" w:themeColor="accent4"/>
      </w:tblBorders>
      <w:tblLook w:val="04A0"/>
    </w:tblPr>
    <w:tblGrid>
      <w:gridCol w:w="2557"/>
      <w:gridCol w:w="5965"/>
    </w:tblGrid>
    <w:tr w:rsidR="00984E9A" w:rsidTr="00A553C4">
      <w:trPr>
        <w:trHeight w:val="360"/>
      </w:trPr>
      <w:tc>
        <w:tcPr>
          <w:tcW w:w="1500" w:type="pct"/>
          <w:shd w:val="clear" w:color="auto" w:fill="4F81BD" w:themeFill="accent1"/>
          <w:vAlign w:val="center"/>
        </w:tcPr>
        <w:p w:rsidR="00984E9A" w:rsidRPr="00A553C4" w:rsidRDefault="00984E9A" w:rsidP="00A553C4">
          <w:pPr>
            <w:pStyle w:val="a6"/>
            <w:jc w:val="center"/>
            <w:rPr>
              <w:rFonts w:ascii="华文细黑" w:eastAsia="华文细黑" w:hAnsi="华文细黑"/>
              <w:color w:val="FFFFFF" w:themeColor="background1"/>
              <w:sz w:val="22"/>
              <w:szCs w:val="22"/>
            </w:rPr>
          </w:pPr>
          <w:proofErr w:type="gramStart"/>
          <w:r w:rsidRPr="00A553C4">
            <w:rPr>
              <w:rFonts w:ascii="华文细黑" w:eastAsia="华文细黑" w:hAnsi="华文细黑" w:hint="eastAsia"/>
              <w:color w:val="FFFFFF" w:themeColor="background1"/>
              <w:sz w:val="22"/>
              <w:szCs w:val="22"/>
            </w:rPr>
            <w:t>众禄基金</w:t>
          </w:r>
          <w:proofErr w:type="gramEnd"/>
          <w:r w:rsidRPr="00A553C4">
            <w:rPr>
              <w:rFonts w:ascii="华文细黑" w:eastAsia="华文细黑" w:hAnsi="华文细黑" w:hint="eastAsia"/>
              <w:color w:val="FFFFFF" w:themeColor="background1"/>
              <w:sz w:val="22"/>
              <w:szCs w:val="22"/>
            </w:rPr>
            <w:t>研究中心</w:t>
          </w:r>
        </w:p>
      </w:tc>
      <w:tc>
        <w:tcPr>
          <w:tcW w:w="3500" w:type="pct"/>
        </w:tcPr>
        <w:p w:rsidR="00984E9A" w:rsidRDefault="00984E9A">
          <w:pPr>
            <w:pStyle w:val="a6"/>
          </w:pPr>
        </w:p>
      </w:tc>
    </w:tr>
  </w:tbl>
  <w:p w:rsidR="00984E9A" w:rsidRDefault="00984E9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5D56" w:rsidRDefault="00865D56" w:rsidP="00EB0954">
      <w:r>
        <w:separator/>
      </w:r>
    </w:p>
  </w:footnote>
  <w:footnote w:type="continuationSeparator" w:id="0">
    <w:p w:rsidR="00865D56" w:rsidRDefault="00865D56" w:rsidP="00EB09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4E9A" w:rsidRPr="004C52FC" w:rsidRDefault="00342E1D" w:rsidP="00DA0C3A">
    <w:pPr>
      <w:pStyle w:val="a5"/>
      <w:jc w:val="both"/>
      <w:rPr>
        <w:sz w:val="10"/>
        <w:szCs w:val="10"/>
      </w:rPr>
    </w:pPr>
    <w:r w:rsidRPr="00342E1D">
      <w:rPr>
        <w:b/>
        <w:bCs/>
        <w:noProof/>
        <w:color w:val="76923C" w:themeColor="accent3" w:themeShade="BF"/>
        <w:sz w:val="24"/>
        <w:szCs w:val="24"/>
        <w:lang w:val="zh-C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8" type="#_x0000_t202" style="position:absolute;left:0;text-align:left;margin-left:0;margin-top:0;width:468pt;height:14.25pt;z-index:251663360;mso-width-percent:1000;mso-position-horizontal:left;mso-position-horizontal-relative:margin;mso-position-vertical:center;mso-position-vertical-relative:top-margin-area;mso-width-percent:1000;mso-width-relative:margin;v-text-anchor:middle" o:allowincell="f" filled="f" stroked="f">
          <v:textbox style="mso-fit-shape-to-text:t" inset=",0,,0">
            <w:txbxContent>
              <w:p w:rsidR="00984E9A" w:rsidRPr="004A0CF8" w:rsidRDefault="00984E9A">
                <w:pPr>
                  <w:jc w:val="right"/>
                  <w:rPr>
                    <w:rFonts w:ascii="华文细黑" w:eastAsia="华文细黑" w:hAnsi="华文细黑"/>
                    <w:i/>
                  </w:rPr>
                </w:pPr>
                <w:r w:rsidRPr="004A0CF8">
                  <w:rPr>
                    <w:rFonts w:ascii="华文细黑" w:eastAsia="华文细黑" w:hAnsi="华文细黑" w:hint="eastAsia"/>
                    <w:i/>
                  </w:rPr>
                  <w:t>QDII基金三季报投资组合分析报告（2013年）</w:t>
                </w:r>
              </w:p>
            </w:txbxContent>
          </v:textbox>
          <w10:wrap anchorx="margin" anchory="margin"/>
        </v:shape>
      </w:pict>
    </w:r>
    <w:r w:rsidRPr="00342E1D">
      <w:rPr>
        <w:b/>
        <w:bCs/>
        <w:noProof/>
        <w:color w:val="76923C" w:themeColor="accent3" w:themeShade="BF"/>
        <w:sz w:val="24"/>
        <w:szCs w:val="24"/>
        <w:lang w:val="zh-CN"/>
      </w:rPr>
      <w:pict>
        <v:shape id="_x0000_s3077" type="#_x0000_t202" style="position:absolute;left:0;text-align:left;margin-left:71in;margin-top:0;width:1in;height:13.45pt;z-index:251662336;mso-width-percent:1000;mso-position-horizontal:right;mso-position-horizontal-relative:page;mso-position-vertical:center;mso-position-vertical-relative:top-margin-area;mso-width-percent:1000;mso-width-relative:right-margin-area;v-text-anchor:middle" o:allowincell="f" fillcolor="#4f81bd [3204]" stroked="f">
          <v:textbox style="mso-fit-shape-to-text:t" inset=",0,,0">
            <w:txbxContent>
              <w:p w:rsidR="00984E9A" w:rsidRDefault="00342E1D">
                <w:pPr>
                  <w:rPr>
                    <w:color w:val="FFFFFF" w:themeColor="background1"/>
                  </w:rPr>
                </w:pPr>
                <w:fldSimple w:instr=" PAGE   \* MERGEFORMAT ">
                  <w:r w:rsidR="009D3F5F" w:rsidRPr="009D3F5F">
                    <w:rPr>
                      <w:noProof/>
                      <w:color w:val="FFFFFF" w:themeColor="background1"/>
                      <w:lang w:val="zh-CN"/>
                    </w:rPr>
                    <w:t>10</w:t>
                  </w:r>
                </w:fldSimple>
              </w:p>
            </w:txbxContent>
          </v:textbox>
          <w10:wrap anchorx="page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>
      <o:colormenu v:ext="edit" strokecolor="none"/>
    </o:shapedefaults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F2C63"/>
    <w:rsid w:val="000343BA"/>
    <w:rsid w:val="00070163"/>
    <w:rsid w:val="00074E8C"/>
    <w:rsid w:val="00090813"/>
    <w:rsid w:val="000A1B1B"/>
    <w:rsid w:val="000B69A4"/>
    <w:rsid w:val="000F0798"/>
    <w:rsid w:val="00163EEF"/>
    <w:rsid w:val="00196170"/>
    <w:rsid w:val="001966FA"/>
    <w:rsid w:val="00196C4B"/>
    <w:rsid w:val="00197313"/>
    <w:rsid w:val="001B4DCC"/>
    <w:rsid w:val="001C4563"/>
    <w:rsid w:val="001C5C06"/>
    <w:rsid w:val="001C5DF6"/>
    <w:rsid w:val="001D5EA5"/>
    <w:rsid w:val="001E1A76"/>
    <w:rsid w:val="001E4E1D"/>
    <w:rsid w:val="00204AF1"/>
    <w:rsid w:val="00211298"/>
    <w:rsid w:val="00214A1F"/>
    <w:rsid w:val="00233F0B"/>
    <w:rsid w:val="002509AB"/>
    <w:rsid w:val="00256378"/>
    <w:rsid w:val="00264A9A"/>
    <w:rsid w:val="00294212"/>
    <w:rsid w:val="002A510D"/>
    <w:rsid w:val="002B3D84"/>
    <w:rsid w:val="00311409"/>
    <w:rsid w:val="00342E1D"/>
    <w:rsid w:val="00370B85"/>
    <w:rsid w:val="00376106"/>
    <w:rsid w:val="00384C4C"/>
    <w:rsid w:val="004072FA"/>
    <w:rsid w:val="00427C53"/>
    <w:rsid w:val="00490B00"/>
    <w:rsid w:val="004A0CF8"/>
    <w:rsid w:val="004C1D39"/>
    <w:rsid w:val="004C52FC"/>
    <w:rsid w:val="004E1BA5"/>
    <w:rsid w:val="004F14DD"/>
    <w:rsid w:val="005152D2"/>
    <w:rsid w:val="005244D3"/>
    <w:rsid w:val="00527747"/>
    <w:rsid w:val="005419A7"/>
    <w:rsid w:val="00550D67"/>
    <w:rsid w:val="00564741"/>
    <w:rsid w:val="0057465F"/>
    <w:rsid w:val="00581651"/>
    <w:rsid w:val="00593C9E"/>
    <w:rsid w:val="005B6843"/>
    <w:rsid w:val="006242BF"/>
    <w:rsid w:val="00634467"/>
    <w:rsid w:val="00635552"/>
    <w:rsid w:val="00641FE3"/>
    <w:rsid w:val="006470A8"/>
    <w:rsid w:val="00654F29"/>
    <w:rsid w:val="00661ACD"/>
    <w:rsid w:val="00663423"/>
    <w:rsid w:val="00674070"/>
    <w:rsid w:val="006C1C13"/>
    <w:rsid w:val="006C4477"/>
    <w:rsid w:val="006D0920"/>
    <w:rsid w:val="006E72D0"/>
    <w:rsid w:val="0070342F"/>
    <w:rsid w:val="00711C06"/>
    <w:rsid w:val="0072059F"/>
    <w:rsid w:val="007249D4"/>
    <w:rsid w:val="007257B3"/>
    <w:rsid w:val="00734D23"/>
    <w:rsid w:val="00771BF0"/>
    <w:rsid w:val="0078500A"/>
    <w:rsid w:val="00797862"/>
    <w:rsid w:val="007C2E38"/>
    <w:rsid w:val="007D0715"/>
    <w:rsid w:val="007D20BD"/>
    <w:rsid w:val="007F5A6A"/>
    <w:rsid w:val="008157EE"/>
    <w:rsid w:val="00815B24"/>
    <w:rsid w:val="00817ECE"/>
    <w:rsid w:val="00824F66"/>
    <w:rsid w:val="0083372B"/>
    <w:rsid w:val="00850E62"/>
    <w:rsid w:val="00865D56"/>
    <w:rsid w:val="008914A1"/>
    <w:rsid w:val="008A2627"/>
    <w:rsid w:val="008D1830"/>
    <w:rsid w:val="008F7D2A"/>
    <w:rsid w:val="00911E66"/>
    <w:rsid w:val="00943E3E"/>
    <w:rsid w:val="00983F9C"/>
    <w:rsid w:val="00984E9A"/>
    <w:rsid w:val="00992927"/>
    <w:rsid w:val="009A6019"/>
    <w:rsid w:val="009B2B7D"/>
    <w:rsid w:val="009B4404"/>
    <w:rsid w:val="009D3F5F"/>
    <w:rsid w:val="009F2C63"/>
    <w:rsid w:val="00A06F4A"/>
    <w:rsid w:val="00A157D7"/>
    <w:rsid w:val="00A21EF7"/>
    <w:rsid w:val="00A35955"/>
    <w:rsid w:val="00A37EAE"/>
    <w:rsid w:val="00A40171"/>
    <w:rsid w:val="00A45A2A"/>
    <w:rsid w:val="00A553C4"/>
    <w:rsid w:val="00A610F9"/>
    <w:rsid w:val="00A932D4"/>
    <w:rsid w:val="00AB6D0C"/>
    <w:rsid w:val="00AE3D74"/>
    <w:rsid w:val="00B11EDC"/>
    <w:rsid w:val="00B15862"/>
    <w:rsid w:val="00B275EF"/>
    <w:rsid w:val="00B32872"/>
    <w:rsid w:val="00B3781A"/>
    <w:rsid w:val="00B46654"/>
    <w:rsid w:val="00B64DBC"/>
    <w:rsid w:val="00B66340"/>
    <w:rsid w:val="00B74B4E"/>
    <w:rsid w:val="00B96F57"/>
    <w:rsid w:val="00BB6DB5"/>
    <w:rsid w:val="00BC3E7E"/>
    <w:rsid w:val="00BF008E"/>
    <w:rsid w:val="00C237BA"/>
    <w:rsid w:val="00C32590"/>
    <w:rsid w:val="00C41D6E"/>
    <w:rsid w:val="00C61438"/>
    <w:rsid w:val="00C61ED0"/>
    <w:rsid w:val="00C64BD0"/>
    <w:rsid w:val="00CB57A5"/>
    <w:rsid w:val="00CC77B9"/>
    <w:rsid w:val="00CD64F2"/>
    <w:rsid w:val="00CD68BD"/>
    <w:rsid w:val="00CE66C8"/>
    <w:rsid w:val="00D07C5C"/>
    <w:rsid w:val="00D41048"/>
    <w:rsid w:val="00D453B2"/>
    <w:rsid w:val="00D71F0A"/>
    <w:rsid w:val="00D7254B"/>
    <w:rsid w:val="00D73907"/>
    <w:rsid w:val="00D80094"/>
    <w:rsid w:val="00D82EA6"/>
    <w:rsid w:val="00D86A6B"/>
    <w:rsid w:val="00DA0C3A"/>
    <w:rsid w:val="00DF67E8"/>
    <w:rsid w:val="00E21C13"/>
    <w:rsid w:val="00E21E41"/>
    <w:rsid w:val="00E25D51"/>
    <w:rsid w:val="00E261A4"/>
    <w:rsid w:val="00E43625"/>
    <w:rsid w:val="00E61710"/>
    <w:rsid w:val="00EA49CC"/>
    <w:rsid w:val="00EB0954"/>
    <w:rsid w:val="00F07EC3"/>
    <w:rsid w:val="00F516C2"/>
    <w:rsid w:val="00F86DD5"/>
    <w:rsid w:val="00F97DB0"/>
    <w:rsid w:val="00FA02AF"/>
    <w:rsid w:val="00FF3F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DC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1C1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B32872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B32872"/>
    <w:rPr>
      <w:sz w:val="18"/>
      <w:szCs w:val="18"/>
    </w:rPr>
  </w:style>
  <w:style w:type="table" w:customStyle="1" w:styleId="1">
    <w:name w:val="浅色底纹1"/>
    <w:basedOn w:val="a1"/>
    <w:uiPriority w:val="60"/>
    <w:rsid w:val="00663423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-11">
    <w:name w:val="浅色底纹 - 强调文字颜色 11"/>
    <w:basedOn w:val="a1"/>
    <w:uiPriority w:val="60"/>
    <w:rsid w:val="00663423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5">
    <w:name w:val="header"/>
    <w:basedOn w:val="a"/>
    <w:link w:val="Char0"/>
    <w:uiPriority w:val="99"/>
    <w:unhideWhenUsed/>
    <w:rsid w:val="00EB09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EB0954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EB09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EB095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10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6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7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8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chart" Target="charts/chart7.xm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17" Type="http://schemas.openxmlformats.org/officeDocument/2006/relationships/chart" Target="charts/chart11.xml"/><Relationship Id="rId2" Type="http://schemas.openxmlformats.org/officeDocument/2006/relationships/styles" Target="styles.xml"/><Relationship Id="rId16" Type="http://schemas.openxmlformats.org/officeDocument/2006/relationships/chart" Target="charts/chart10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5" Type="http://schemas.openxmlformats.org/officeDocument/2006/relationships/footnotes" Target="footnotes.xml"/><Relationship Id="rId15" Type="http://schemas.openxmlformats.org/officeDocument/2006/relationships/chart" Target="charts/chart9.xml"/><Relationship Id="rId10" Type="http://schemas.openxmlformats.org/officeDocument/2006/relationships/chart" Target="charts/chart4.xm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chart" Target="charts/chart8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istrator\Desktop\&#20113;&#25991;&#26723;\QD&#35268;&#27169;&#65288;201309&#65289;.xlsx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istrator\Desktop\&#20113;&#25991;&#26723;\QDII&#34892;&#19994;&#65288;201309&#65289;.xlsx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istrator\Desktop\&#20113;&#25991;&#26723;\QDII&#34892;&#19994;&#65288;201309&#65289;.xlsx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Administrator\Desktop\&#20113;&#25991;&#26723;\QD&#35268;&#27169;&#65288;201309&#65289;.xlsx" TargetMode="External"/><Relationship Id="rId1" Type="http://schemas.openxmlformats.org/officeDocument/2006/relationships/themeOverride" Target="../theme/themeOverride1.xm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istrator\Desktop\&#20113;&#25991;&#26723;\QDII&#22823;&#31867;&#37197;&#32622;&#65288;20130930&#65289;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istrator\Desktop\&#20113;&#25991;&#26723;\QDII&#22823;&#31867;&#37197;&#32622;&#65288;20130930&#65289;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istrator\Desktop\&#20113;&#25991;&#26723;\QDII&#22823;&#31867;&#37197;&#32622;&#65288;20130930&#65289;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istrator\Desktop\&#20113;&#25991;&#26723;\QDII&#22823;&#31867;&#37197;&#32622;&#65288;20130930&#65289;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istrator\Desktop\&#20113;&#25991;&#26723;\QDII&#22823;&#31867;&#37197;&#32622;&#65288;20130930&#65289;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istrator\Desktop\&#20113;&#25991;&#26723;\QD&#21306;&#22495;&#65288;201309&#65289;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istrator\Desktop\&#20113;&#25991;&#26723;\QD&#21306;&#22495;&#65288;201309&#65289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hart>
    <c:plotArea>
      <c:layout>
        <c:manualLayout>
          <c:layoutTarget val="inner"/>
          <c:xMode val="edge"/>
          <c:yMode val="edge"/>
          <c:x val="9.2717304809260645E-2"/>
          <c:y val="7.8701193278675224E-2"/>
          <c:w val="0.84716917922948165"/>
          <c:h val="0.71194992378530064"/>
        </c:manualLayout>
      </c:layout>
      <c:barChart>
        <c:barDir val="col"/>
        <c:grouping val="clustered"/>
        <c:ser>
          <c:idx val="2"/>
          <c:order val="2"/>
          <c:tx>
            <c:strRef>
              <c:f>BIAO!$A$4</c:f>
              <c:strCache>
                <c:ptCount val="1"/>
                <c:pt idx="0">
                  <c:v>基金数目</c:v>
                </c:pt>
              </c:strCache>
            </c:strRef>
          </c:tx>
          <c:dLbls>
            <c:showVal val="1"/>
          </c:dLbls>
          <c:cat>
            <c:numRef>
              <c:f>BIAO!$B$1:$T$1</c:f>
              <c:numCache>
                <c:formatCode>yyyy/m/dd</c:formatCode>
                <c:ptCount val="19"/>
                <c:pt idx="0">
                  <c:v>39903</c:v>
                </c:pt>
                <c:pt idx="1">
                  <c:v>39994</c:v>
                </c:pt>
                <c:pt idx="2">
                  <c:v>40086</c:v>
                </c:pt>
                <c:pt idx="3">
                  <c:v>40178</c:v>
                </c:pt>
                <c:pt idx="4">
                  <c:v>40268</c:v>
                </c:pt>
                <c:pt idx="5">
                  <c:v>40359</c:v>
                </c:pt>
                <c:pt idx="6">
                  <c:v>40451</c:v>
                </c:pt>
                <c:pt idx="7">
                  <c:v>40543</c:v>
                </c:pt>
                <c:pt idx="8">
                  <c:v>40633</c:v>
                </c:pt>
                <c:pt idx="9">
                  <c:v>40724</c:v>
                </c:pt>
                <c:pt idx="10">
                  <c:v>40816</c:v>
                </c:pt>
                <c:pt idx="11">
                  <c:v>40908</c:v>
                </c:pt>
                <c:pt idx="12">
                  <c:v>40999</c:v>
                </c:pt>
                <c:pt idx="13">
                  <c:v>41090</c:v>
                </c:pt>
                <c:pt idx="14">
                  <c:v>41182</c:v>
                </c:pt>
                <c:pt idx="15">
                  <c:v>41274</c:v>
                </c:pt>
                <c:pt idx="16">
                  <c:v>41364</c:v>
                </c:pt>
                <c:pt idx="17">
                  <c:v>41455</c:v>
                </c:pt>
                <c:pt idx="18">
                  <c:v>41547</c:v>
                </c:pt>
              </c:numCache>
            </c:numRef>
          </c:cat>
          <c:val>
            <c:numRef>
              <c:f>BIAO!$B$4:$T$4</c:f>
              <c:numCache>
                <c:formatCode>General</c:formatCode>
                <c:ptCount val="19"/>
                <c:pt idx="0">
                  <c:v>9</c:v>
                </c:pt>
                <c:pt idx="1">
                  <c:v>9</c:v>
                </c:pt>
                <c:pt idx="2">
                  <c:v>9</c:v>
                </c:pt>
                <c:pt idx="3">
                  <c:v>9</c:v>
                </c:pt>
                <c:pt idx="4">
                  <c:v>10</c:v>
                </c:pt>
                <c:pt idx="5">
                  <c:v>16</c:v>
                </c:pt>
                <c:pt idx="6">
                  <c:v>20</c:v>
                </c:pt>
                <c:pt idx="7">
                  <c:v>27</c:v>
                </c:pt>
                <c:pt idx="8">
                  <c:v>30</c:v>
                </c:pt>
                <c:pt idx="9">
                  <c:v>40</c:v>
                </c:pt>
                <c:pt idx="10">
                  <c:v>44</c:v>
                </c:pt>
                <c:pt idx="11">
                  <c:v>51</c:v>
                </c:pt>
                <c:pt idx="12">
                  <c:v>51</c:v>
                </c:pt>
                <c:pt idx="13">
                  <c:v>59</c:v>
                </c:pt>
                <c:pt idx="14">
                  <c:v>60</c:v>
                </c:pt>
                <c:pt idx="15">
                  <c:v>66</c:v>
                </c:pt>
                <c:pt idx="16">
                  <c:v>67</c:v>
                </c:pt>
                <c:pt idx="17">
                  <c:v>73</c:v>
                </c:pt>
                <c:pt idx="18">
                  <c:v>76</c:v>
                </c:pt>
              </c:numCache>
            </c:numRef>
          </c:val>
        </c:ser>
        <c:gapWidth val="94"/>
        <c:overlap val="-13"/>
        <c:axId val="239843200"/>
        <c:axId val="239841664"/>
      </c:barChart>
      <c:lineChart>
        <c:grouping val="standard"/>
        <c:ser>
          <c:idx val="0"/>
          <c:order val="0"/>
          <c:tx>
            <c:strRef>
              <c:f>BIAO!$A$2</c:f>
              <c:strCache>
                <c:ptCount val="1"/>
                <c:pt idx="0">
                  <c:v>基金份额</c:v>
                </c:pt>
              </c:strCache>
            </c:strRef>
          </c:tx>
          <c:cat>
            <c:numRef>
              <c:f>BIAO!$B$1:$T$1</c:f>
              <c:numCache>
                <c:formatCode>yyyy/m/dd</c:formatCode>
                <c:ptCount val="19"/>
                <c:pt idx="0">
                  <c:v>39903</c:v>
                </c:pt>
                <c:pt idx="1">
                  <c:v>39994</c:v>
                </c:pt>
                <c:pt idx="2">
                  <c:v>40086</c:v>
                </c:pt>
                <c:pt idx="3">
                  <c:v>40178</c:v>
                </c:pt>
                <c:pt idx="4">
                  <c:v>40268</c:v>
                </c:pt>
                <c:pt idx="5">
                  <c:v>40359</c:v>
                </c:pt>
                <c:pt idx="6">
                  <c:v>40451</c:v>
                </c:pt>
                <c:pt idx="7">
                  <c:v>40543</c:v>
                </c:pt>
                <c:pt idx="8">
                  <c:v>40633</c:v>
                </c:pt>
                <c:pt idx="9">
                  <c:v>40724</c:v>
                </c:pt>
                <c:pt idx="10">
                  <c:v>40816</c:v>
                </c:pt>
                <c:pt idx="11">
                  <c:v>40908</c:v>
                </c:pt>
                <c:pt idx="12">
                  <c:v>40999</c:v>
                </c:pt>
                <c:pt idx="13">
                  <c:v>41090</c:v>
                </c:pt>
                <c:pt idx="14">
                  <c:v>41182</c:v>
                </c:pt>
                <c:pt idx="15">
                  <c:v>41274</c:v>
                </c:pt>
                <c:pt idx="16">
                  <c:v>41364</c:v>
                </c:pt>
                <c:pt idx="17">
                  <c:v>41455</c:v>
                </c:pt>
                <c:pt idx="18">
                  <c:v>41547</c:v>
                </c:pt>
              </c:numCache>
            </c:numRef>
          </c:cat>
          <c:val>
            <c:numRef>
              <c:f>BIAO!$B$2:$T$2</c:f>
              <c:numCache>
                <c:formatCode>0.00_);[Red]\(0.00\)</c:formatCode>
                <c:ptCount val="19"/>
                <c:pt idx="0">
                  <c:v>1096.14189177</c:v>
                </c:pt>
                <c:pt idx="1">
                  <c:v>1097.09535985</c:v>
                </c:pt>
                <c:pt idx="2">
                  <c:v>1053.3823535299998</c:v>
                </c:pt>
                <c:pt idx="3">
                  <c:v>1016.38120826</c:v>
                </c:pt>
                <c:pt idx="4">
                  <c:v>1005.14806263</c:v>
                </c:pt>
                <c:pt idx="5">
                  <c:v>1000.2202713272005</c:v>
                </c:pt>
                <c:pt idx="6">
                  <c:v>989.57217518239997</c:v>
                </c:pt>
                <c:pt idx="7">
                  <c:v>939.53431696490009</c:v>
                </c:pt>
                <c:pt idx="8">
                  <c:v>957.57908594430114</c:v>
                </c:pt>
                <c:pt idx="9">
                  <c:v>938.8195633467999</c:v>
                </c:pt>
                <c:pt idx="10">
                  <c:v>934.51341937030054</c:v>
                </c:pt>
                <c:pt idx="11">
                  <c:v>913.45106698039933</c:v>
                </c:pt>
                <c:pt idx="12">
                  <c:v>904.18414171840004</c:v>
                </c:pt>
                <c:pt idx="13">
                  <c:v>893.04429684419949</c:v>
                </c:pt>
                <c:pt idx="14">
                  <c:v>916.02411486479946</c:v>
                </c:pt>
                <c:pt idx="15">
                  <c:v>869.71771334350035</c:v>
                </c:pt>
                <c:pt idx="16">
                  <c:v>858.93087418780044</c:v>
                </c:pt>
                <c:pt idx="17">
                  <c:v>835.44488449229948</c:v>
                </c:pt>
                <c:pt idx="18">
                  <c:v>799.82999999999947</c:v>
                </c:pt>
              </c:numCache>
            </c:numRef>
          </c:val>
        </c:ser>
        <c:ser>
          <c:idx val="1"/>
          <c:order val="1"/>
          <c:tx>
            <c:strRef>
              <c:f>BIAO!$A$3</c:f>
              <c:strCache>
                <c:ptCount val="1"/>
                <c:pt idx="0">
                  <c:v>基金净值</c:v>
                </c:pt>
              </c:strCache>
            </c:strRef>
          </c:tx>
          <c:cat>
            <c:numRef>
              <c:f>BIAO!$B$1:$T$1</c:f>
              <c:numCache>
                <c:formatCode>yyyy/m/dd</c:formatCode>
                <c:ptCount val="19"/>
                <c:pt idx="0">
                  <c:v>39903</c:v>
                </c:pt>
                <c:pt idx="1">
                  <c:v>39994</c:v>
                </c:pt>
                <c:pt idx="2">
                  <c:v>40086</c:v>
                </c:pt>
                <c:pt idx="3">
                  <c:v>40178</c:v>
                </c:pt>
                <c:pt idx="4">
                  <c:v>40268</c:v>
                </c:pt>
                <c:pt idx="5">
                  <c:v>40359</c:v>
                </c:pt>
                <c:pt idx="6">
                  <c:v>40451</c:v>
                </c:pt>
                <c:pt idx="7">
                  <c:v>40543</c:v>
                </c:pt>
                <c:pt idx="8">
                  <c:v>40633</c:v>
                </c:pt>
                <c:pt idx="9">
                  <c:v>40724</c:v>
                </c:pt>
                <c:pt idx="10">
                  <c:v>40816</c:v>
                </c:pt>
                <c:pt idx="11">
                  <c:v>40908</c:v>
                </c:pt>
                <c:pt idx="12">
                  <c:v>40999</c:v>
                </c:pt>
                <c:pt idx="13">
                  <c:v>41090</c:v>
                </c:pt>
                <c:pt idx="14">
                  <c:v>41182</c:v>
                </c:pt>
                <c:pt idx="15">
                  <c:v>41274</c:v>
                </c:pt>
                <c:pt idx="16">
                  <c:v>41364</c:v>
                </c:pt>
                <c:pt idx="17">
                  <c:v>41455</c:v>
                </c:pt>
                <c:pt idx="18">
                  <c:v>41547</c:v>
                </c:pt>
              </c:numCache>
            </c:numRef>
          </c:cat>
          <c:val>
            <c:numRef>
              <c:f>BIAO!$B$3:$T$3</c:f>
              <c:numCache>
                <c:formatCode>0.00_);[Red]\(0.00\)</c:formatCode>
                <c:ptCount val="19"/>
                <c:pt idx="0">
                  <c:v>515.38466713669993</c:v>
                </c:pt>
                <c:pt idx="1">
                  <c:v>671.7723499576017</c:v>
                </c:pt>
                <c:pt idx="2">
                  <c:v>710.2163382412009</c:v>
                </c:pt>
                <c:pt idx="3">
                  <c:v>735.9396294108991</c:v>
                </c:pt>
                <c:pt idx="4">
                  <c:v>716.86148103379946</c:v>
                </c:pt>
                <c:pt idx="5">
                  <c:v>667.76966076899987</c:v>
                </c:pt>
                <c:pt idx="6">
                  <c:v>736.16916141999945</c:v>
                </c:pt>
                <c:pt idx="7">
                  <c:v>729.2029991548003</c:v>
                </c:pt>
                <c:pt idx="8">
                  <c:v>728.79610928049999</c:v>
                </c:pt>
                <c:pt idx="9">
                  <c:v>735.70324373980054</c:v>
                </c:pt>
                <c:pt idx="10">
                  <c:v>544.24843978790011</c:v>
                </c:pt>
                <c:pt idx="11">
                  <c:v>575.99250415819995</c:v>
                </c:pt>
                <c:pt idx="12">
                  <c:v>608.71182424699964</c:v>
                </c:pt>
                <c:pt idx="13">
                  <c:v>575.24279400090006</c:v>
                </c:pt>
                <c:pt idx="14">
                  <c:v>581.68301486750079</c:v>
                </c:pt>
                <c:pt idx="15">
                  <c:v>626.26616889809895</c:v>
                </c:pt>
                <c:pt idx="16">
                  <c:v>608.67319050220055</c:v>
                </c:pt>
                <c:pt idx="17">
                  <c:v>564.38454794832694</c:v>
                </c:pt>
                <c:pt idx="18">
                  <c:v>579.95999999999947</c:v>
                </c:pt>
              </c:numCache>
            </c:numRef>
          </c:val>
        </c:ser>
        <c:marker val="1"/>
        <c:axId val="236901504"/>
        <c:axId val="239782528"/>
      </c:lineChart>
      <c:catAx>
        <c:axId val="236901504"/>
        <c:scaling>
          <c:orientation val="minMax"/>
        </c:scaling>
        <c:axPos val="b"/>
        <c:numFmt formatCode="yyyy/m/dd" sourceLinked="1"/>
        <c:tickLblPos val="nextTo"/>
        <c:txPr>
          <a:bodyPr/>
          <a:lstStyle/>
          <a:p>
            <a:pPr>
              <a:defRPr sz="900"/>
            </a:pPr>
            <a:endParaRPr lang="zh-CN"/>
          </a:p>
        </c:txPr>
        <c:crossAx val="239782528"/>
        <c:crosses val="autoZero"/>
        <c:lblAlgn val="ctr"/>
        <c:lblOffset val="100"/>
      </c:catAx>
      <c:valAx>
        <c:axId val="239782528"/>
        <c:scaling>
          <c:orientation val="minMax"/>
        </c:scaling>
        <c:axPos val="l"/>
        <c:numFmt formatCode="0.00_);[Red]\(0.00\)" sourceLinked="1"/>
        <c:tickLblPos val="nextTo"/>
        <c:txPr>
          <a:bodyPr/>
          <a:lstStyle/>
          <a:p>
            <a:pPr>
              <a:defRPr sz="900"/>
            </a:pPr>
            <a:endParaRPr lang="zh-CN"/>
          </a:p>
        </c:txPr>
        <c:crossAx val="236901504"/>
        <c:crosses val="autoZero"/>
        <c:crossBetween val="between"/>
      </c:valAx>
      <c:valAx>
        <c:axId val="239841664"/>
        <c:scaling>
          <c:orientation val="minMax"/>
        </c:scaling>
        <c:axPos val="r"/>
        <c:numFmt formatCode="General" sourceLinked="1"/>
        <c:tickLblPos val="nextTo"/>
        <c:crossAx val="239843200"/>
        <c:crosses val="max"/>
        <c:crossBetween val="between"/>
      </c:valAx>
      <c:dateAx>
        <c:axId val="239843200"/>
        <c:scaling>
          <c:orientation val="minMax"/>
        </c:scaling>
        <c:delete val="1"/>
        <c:axPos val="b"/>
        <c:numFmt formatCode="yyyy/m/dd" sourceLinked="1"/>
        <c:tickLblPos val="none"/>
        <c:crossAx val="239841664"/>
        <c:crosses val="autoZero"/>
        <c:auto val="1"/>
        <c:lblOffset val="100"/>
      </c:dateAx>
    </c:plotArea>
    <c:legend>
      <c:legendPos val="r"/>
      <c:layout>
        <c:manualLayout>
          <c:xMode val="edge"/>
          <c:yMode val="edge"/>
          <c:x val="0"/>
          <c:y val="2.7514859611620739E-2"/>
          <c:w val="0.96886268613408377"/>
          <c:h val="7.9855278506853353E-2"/>
        </c:manualLayout>
      </c:layout>
    </c:legend>
    <c:plotVisOnly val="1"/>
    <c:dispBlanksAs val="gap"/>
  </c:chart>
  <c:spPr>
    <a:ln>
      <a:noFill/>
    </a:ln>
  </c:spPr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zh-CN"/>
  <c:chart>
    <c:plotArea>
      <c:layout/>
      <c:areaChart>
        <c:grouping val="percentStacked"/>
        <c:ser>
          <c:idx val="0"/>
          <c:order val="0"/>
          <c:tx>
            <c:strRef>
              <c:f>Sheet1!$A$2</c:f>
              <c:strCache>
                <c:ptCount val="1"/>
                <c:pt idx="0">
                  <c:v>金融</c:v>
                </c:pt>
              </c:strCache>
            </c:strRef>
          </c:tx>
          <c:cat>
            <c:numRef>
              <c:f>Sheet1!$B$1:$G$1</c:f>
              <c:numCache>
                <c:formatCode>yyyy/m/dd</c:formatCode>
                <c:ptCount val="6"/>
                <c:pt idx="0">
                  <c:v>41090</c:v>
                </c:pt>
                <c:pt idx="1">
                  <c:v>41182</c:v>
                </c:pt>
                <c:pt idx="2">
                  <c:v>41274</c:v>
                </c:pt>
                <c:pt idx="3">
                  <c:v>41364</c:v>
                </c:pt>
                <c:pt idx="4">
                  <c:v>41455</c:v>
                </c:pt>
                <c:pt idx="5">
                  <c:v>41547</c:v>
                </c:pt>
              </c:numCache>
            </c:numRef>
          </c:cat>
          <c:val>
            <c:numRef>
              <c:f>Sheet1!$B$2:$G$2</c:f>
              <c:numCache>
                <c:formatCode>#,##0.00</c:formatCode>
                <c:ptCount val="6"/>
                <c:pt idx="0">
                  <c:v>31.217748321128024</c:v>
                </c:pt>
                <c:pt idx="1">
                  <c:v>30.375705547305589</c:v>
                </c:pt>
                <c:pt idx="2">
                  <c:v>32.661262195971211</c:v>
                </c:pt>
                <c:pt idx="3">
                  <c:v>33.328127406657146</c:v>
                </c:pt>
                <c:pt idx="4">
                  <c:v>31.647201605382261</c:v>
                </c:pt>
                <c:pt idx="5">
                  <c:v>29.705912261634186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非日常生活消费品</c:v>
                </c:pt>
              </c:strCache>
            </c:strRef>
          </c:tx>
          <c:cat>
            <c:numRef>
              <c:f>Sheet1!$B$1:$G$1</c:f>
              <c:numCache>
                <c:formatCode>yyyy/m/dd</c:formatCode>
                <c:ptCount val="6"/>
                <c:pt idx="0">
                  <c:v>41090</c:v>
                </c:pt>
                <c:pt idx="1">
                  <c:v>41182</c:v>
                </c:pt>
                <c:pt idx="2">
                  <c:v>41274</c:v>
                </c:pt>
                <c:pt idx="3">
                  <c:v>41364</c:v>
                </c:pt>
                <c:pt idx="4">
                  <c:v>41455</c:v>
                </c:pt>
                <c:pt idx="5">
                  <c:v>41547</c:v>
                </c:pt>
              </c:numCache>
            </c:numRef>
          </c:cat>
          <c:val>
            <c:numRef>
              <c:f>Sheet1!$B$3:$G$3</c:f>
              <c:numCache>
                <c:formatCode>#,##0.00</c:formatCode>
                <c:ptCount val="6"/>
                <c:pt idx="0">
                  <c:v>13.918235813684273</c:v>
                </c:pt>
                <c:pt idx="1">
                  <c:v>14.847449607938628</c:v>
                </c:pt>
                <c:pt idx="2">
                  <c:v>14.93789368259146</c:v>
                </c:pt>
                <c:pt idx="3">
                  <c:v>15.396067916367326</c:v>
                </c:pt>
                <c:pt idx="4">
                  <c:v>15.356103830910422</c:v>
                </c:pt>
                <c:pt idx="5">
                  <c:v>15.424701338191145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信息技术</c:v>
                </c:pt>
              </c:strCache>
            </c:strRef>
          </c:tx>
          <c:cat>
            <c:numRef>
              <c:f>Sheet1!$B$1:$G$1</c:f>
              <c:numCache>
                <c:formatCode>yyyy/m/dd</c:formatCode>
                <c:ptCount val="6"/>
                <c:pt idx="0">
                  <c:v>41090</c:v>
                </c:pt>
                <c:pt idx="1">
                  <c:v>41182</c:v>
                </c:pt>
                <c:pt idx="2">
                  <c:v>41274</c:v>
                </c:pt>
                <c:pt idx="3">
                  <c:v>41364</c:v>
                </c:pt>
                <c:pt idx="4">
                  <c:v>41455</c:v>
                </c:pt>
                <c:pt idx="5">
                  <c:v>41547</c:v>
                </c:pt>
              </c:numCache>
            </c:numRef>
          </c:cat>
          <c:val>
            <c:numRef>
              <c:f>Sheet1!$B$4:$G$4</c:f>
              <c:numCache>
                <c:formatCode>#,##0.00</c:formatCode>
                <c:ptCount val="6"/>
                <c:pt idx="0">
                  <c:v>13.697825438531831</c:v>
                </c:pt>
                <c:pt idx="1">
                  <c:v>14.4863073301344</c:v>
                </c:pt>
                <c:pt idx="2">
                  <c:v>13.617687818783379</c:v>
                </c:pt>
                <c:pt idx="3">
                  <c:v>13.03434252086196</c:v>
                </c:pt>
                <c:pt idx="4">
                  <c:v>15.099723183450479</c:v>
                </c:pt>
                <c:pt idx="5">
                  <c:v>16.027565410552384</c:v>
                </c:pt>
              </c:numCache>
            </c:numRef>
          </c:val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能源</c:v>
                </c:pt>
              </c:strCache>
            </c:strRef>
          </c:tx>
          <c:cat>
            <c:numRef>
              <c:f>Sheet1!$B$1:$G$1</c:f>
              <c:numCache>
                <c:formatCode>yyyy/m/dd</c:formatCode>
                <c:ptCount val="6"/>
                <c:pt idx="0">
                  <c:v>41090</c:v>
                </c:pt>
                <c:pt idx="1">
                  <c:v>41182</c:v>
                </c:pt>
                <c:pt idx="2">
                  <c:v>41274</c:v>
                </c:pt>
                <c:pt idx="3">
                  <c:v>41364</c:v>
                </c:pt>
                <c:pt idx="4">
                  <c:v>41455</c:v>
                </c:pt>
                <c:pt idx="5">
                  <c:v>41547</c:v>
                </c:pt>
              </c:numCache>
            </c:numRef>
          </c:cat>
          <c:val>
            <c:numRef>
              <c:f>Sheet1!$B$5:$G$5</c:f>
              <c:numCache>
                <c:formatCode>#,##0.00</c:formatCode>
                <c:ptCount val="6"/>
                <c:pt idx="0">
                  <c:v>13.319565634865484</c:v>
                </c:pt>
                <c:pt idx="1">
                  <c:v>12.809641614698615</c:v>
                </c:pt>
                <c:pt idx="2">
                  <c:v>12.95936191290181</c:v>
                </c:pt>
                <c:pt idx="3">
                  <c:v>12.6796485620024</c:v>
                </c:pt>
                <c:pt idx="4">
                  <c:v>11.121221714010352</c:v>
                </c:pt>
                <c:pt idx="5">
                  <c:v>11.837515298848126</c:v>
                </c:pt>
              </c:numCache>
            </c:numRef>
          </c:val>
        </c:ser>
        <c:ser>
          <c:idx val="4"/>
          <c:order val="4"/>
          <c:tx>
            <c:strRef>
              <c:f>Sheet1!$A$6</c:f>
              <c:strCache>
                <c:ptCount val="1"/>
                <c:pt idx="0">
                  <c:v>工业</c:v>
                </c:pt>
              </c:strCache>
            </c:strRef>
          </c:tx>
          <c:cat>
            <c:numRef>
              <c:f>Sheet1!$B$1:$G$1</c:f>
              <c:numCache>
                <c:formatCode>yyyy/m/dd</c:formatCode>
                <c:ptCount val="6"/>
                <c:pt idx="0">
                  <c:v>41090</c:v>
                </c:pt>
                <c:pt idx="1">
                  <c:v>41182</c:v>
                </c:pt>
                <c:pt idx="2">
                  <c:v>41274</c:v>
                </c:pt>
                <c:pt idx="3">
                  <c:v>41364</c:v>
                </c:pt>
                <c:pt idx="4">
                  <c:v>41455</c:v>
                </c:pt>
                <c:pt idx="5">
                  <c:v>41547</c:v>
                </c:pt>
              </c:numCache>
            </c:numRef>
          </c:cat>
          <c:val>
            <c:numRef>
              <c:f>Sheet1!$B$6:$G$6</c:f>
              <c:numCache>
                <c:formatCode>#,##0.00</c:formatCode>
                <c:ptCount val="6"/>
                <c:pt idx="0">
                  <c:v>7.0019144829976794</c:v>
                </c:pt>
                <c:pt idx="1">
                  <c:v>7.4804425989261718</c:v>
                </c:pt>
                <c:pt idx="2">
                  <c:v>6.5280058579994389</c:v>
                </c:pt>
                <c:pt idx="3">
                  <c:v>6.7493129753452905</c:v>
                </c:pt>
                <c:pt idx="4">
                  <c:v>7.6887944185477881</c:v>
                </c:pt>
                <c:pt idx="5">
                  <c:v>7.2449556987981545</c:v>
                </c:pt>
              </c:numCache>
            </c:numRef>
          </c:val>
        </c:ser>
        <c:ser>
          <c:idx val="5"/>
          <c:order val="5"/>
          <c:tx>
            <c:strRef>
              <c:f>Sheet1!$A$7</c:f>
              <c:strCache>
                <c:ptCount val="1"/>
                <c:pt idx="0">
                  <c:v>原材料</c:v>
                </c:pt>
              </c:strCache>
            </c:strRef>
          </c:tx>
          <c:spPr>
            <a:ln w="25400">
              <a:noFill/>
            </a:ln>
          </c:spPr>
          <c:cat>
            <c:numRef>
              <c:f>Sheet1!$B$1:$G$1</c:f>
              <c:numCache>
                <c:formatCode>yyyy/m/dd</c:formatCode>
                <c:ptCount val="6"/>
                <c:pt idx="0">
                  <c:v>41090</c:v>
                </c:pt>
                <c:pt idx="1">
                  <c:v>41182</c:v>
                </c:pt>
                <c:pt idx="2">
                  <c:v>41274</c:v>
                </c:pt>
                <c:pt idx="3">
                  <c:v>41364</c:v>
                </c:pt>
                <c:pt idx="4">
                  <c:v>41455</c:v>
                </c:pt>
                <c:pt idx="5">
                  <c:v>41547</c:v>
                </c:pt>
              </c:numCache>
            </c:numRef>
          </c:cat>
          <c:val>
            <c:numRef>
              <c:f>Sheet1!$B$7:$G$7</c:f>
              <c:numCache>
                <c:formatCode>#,##0.00</c:formatCode>
                <c:ptCount val="6"/>
                <c:pt idx="0">
                  <c:v>6.3519956868141794</c:v>
                </c:pt>
                <c:pt idx="1">
                  <c:v>6.6409505269626807</c:v>
                </c:pt>
                <c:pt idx="2">
                  <c:v>6.3084688201566577</c:v>
                </c:pt>
                <c:pt idx="3">
                  <c:v>5.6498031744090902</c:v>
                </c:pt>
                <c:pt idx="4">
                  <c:v>4.7763904463652143</c:v>
                </c:pt>
                <c:pt idx="5">
                  <c:v>5.1430623065372885</c:v>
                </c:pt>
              </c:numCache>
            </c:numRef>
          </c:val>
        </c:ser>
        <c:ser>
          <c:idx val="6"/>
          <c:order val="6"/>
          <c:tx>
            <c:strRef>
              <c:f>Sheet1!$A$8</c:f>
              <c:strCache>
                <c:ptCount val="1"/>
                <c:pt idx="0">
                  <c:v>电信业务</c:v>
                </c:pt>
              </c:strCache>
            </c:strRef>
          </c:tx>
          <c:spPr>
            <a:ln w="25400">
              <a:noFill/>
            </a:ln>
          </c:spPr>
          <c:cat>
            <c:numRef>
              <c:f>Sheet1!$B$1:$G$1</c:f>
              <c:numCache>
                <c:formatCode>yyyy/m/dd</c:formatCode>
                <c:ptCount val="6"/>
                <c:pt idx="0">
                  <c:v>41090</c:v>
                </c:pt>
                <c:pt idx="1">
                  <c:v>41182</c:v>
                </c:pt>
                <c:pt idx="2">
                  <c:v>41274</c:v>
                </c:pt>
                <c:pt idx="3">
                  <c:v>41364</c:v>
                </c:pt>
                <c:pt idx="4">
                  <c:v>41455</c:v>
                </c:pt>
                <c:pt idx="5">
                  <c:v>41547</c:v>
                </c:pt>
              </c:numCache>
            </c:numRef>
          </c:cat>
          <c:val>
            <c:numRef>
              <c:f>Sheet1!$B$8:$G$8</c:f>
              <c:numCache>
                <c:formatCode>#,##0.00</c:formatCode>
                <c:ptCount val="6"/>
                <c:pt idx="0">
                  <c:v>5.4867511117383048</c:v>
                </c:pt>
                <c:pt idx="1">
                  <c:v>5.9276663658610804</c:v>
                </c:pt>
                <c:pt idx="2">
                  <c:v>5.9695101736311287</c:v>
                </c:pt>
                <c:pt idx="3">
                  <c:v>4.4383039796804784</c:v>
                </c:pt>
                <c:pt idx="4">
                  <c:v>4.6755030491419545</c:v>
                </c:pt>
                <c:pt idx="5">
                  <c:v>4.9437433061193197</c:v>
                </c:pt>
              </c:numCache>
            </c:numRef>
          </c:val>
        </c:ser>
        <c:ser>
          <c:idx val="7"/>
          <c:order val="7"/>
          <c:tx>
            <c:strRef>
              <c:f>Sheet1!$A$9</c:f>
              <c:strCache>
                <c:ptCount val="1"/>
                <c:pt idx="0">
                  <c:v>公用事业</c:v>
                </c:pt>
              </c:strCache>
            </c:strRef>
          </c:tx>
          <c:spPr>
            <a:ln w="25400">
              <a:noFill/>
            </a:ln>
          </c:spPr>
          <c:cat>
            <c:numRef>
              <c:f>Sheet1!$B$1:$G$1</c:f>
              <c:numCache>
                <c:formatCode>yyyy/m/dd</c:formatCode>
                <c:ptCount val="6"/>
                <c:pt idx="0">
                  <c:v>41090</c:v>
                </c:pt>
                <c:pt idx="1">
                  <c:v>41182</c:v>
                </c:pt>
                <c:pt idx="2">
                  <c:v>41274</c:v>
                </c:pt>
                <c:pt idx="3">
                  <c:v>41364</c:v>
                </c:pt>
                <c:pt idx="4">
                  <c:v>41455</c:v>
                </c:pt>
                <c:pt idx="5">
                  <c:v>41547</c:v>
                </c:pt>
              </c:numCache>
            </c:numRef>
          </c:cat>
          <c:val>
            <c:numRef>
              <c:f>Sheet1!$B$9:$G$9</c:f>
              <c:numCache>
                <c:formatCode>#,##0.00</c:formatCode>
                <c:ptCount val="6"/>
                <c:pt idx="0">
                  <c:v>1.764073845305532</c:v>
                </c:pt>
                <c:pt idx="1">
                  <c:v>1.3378179429704307</c:v>
                </c:pt>
                <c:pt idx="2">
                  <c:v>1.4886891935619093</c:v>
                </c:pt>
                <c:pt idx="3">
                  <c:v>2.8906525454150107</c:v>
                </c:pt>
                <c:pt idx="4">
                  <c:v>4.0898073853225076</c:v>
                </c:pt>
                <c:pt idx="5">
                  <c:v>3.7713134242796973</c:v>
                </c:pt>
              </c:numCache>
            </c:numRef>
          </c:val>
        </c:ser>
        <c:ser>
          <c:idx val="8"/>
          <c:order val="8"/>
          <c:tx>
            <c:strRef>
              <c:f>Sheet1!$A$10</c:f>
              <c:strCache>
                <c:ptCount val="1"/>
                <c:pt idx="0">
                  <c:v>日常消费品</c:v>
                </c:pt>
              </c:strCache>
            </c:strRef>
          </c:tx>
          <c:spPr>
            <a:ln w="25400">
              <a:noFill/>
            </a:ln>
          </c:spPr>
          <c:cat>
            <c:numRef>
              <c:f>Sheet1!$B$1:$G$1</c:f>
              <c:numCache>
                <c:formatCode>yyyy/m/dd</c:formatCode>
                <c:ptCount val="6"/>
                <c:pt idx="0">
                  <c:v>41090</c:v>
                </c:pt>
                <c:pt idx="1">
                  <c:v>41182</c:v>
                </c:pt>
                <c:pt idx="2">
                  <c:v>41274</c:v>
                </c:pt>
                <c:pt idx="3">
                  <c:v>41364</c:v>
                </c:pt>
                <c:pt idx="4">
                  <c:v>41455</c:v>
                </c:pt>
                <c:pt idx="5">
                  <c:v>41547</c:v>
                </c:pt>
              </c:numCache>
            </c:numRef>
          </c:cat>
          <c:val>
            <c:numRef>
              <c:f>Sheet1!$B$10:$G$10</c:f>
              <c:numCache>
                <c:formatCode>#,##0.00</c:formatCode>
                <c:ptCount val="6"/>
                <c:pt idx="0">
                  <c:v>5.8431659772561249</c:v>
                </c:pt>
                <c:pt idx="1">
                  <c:v>4.5547054161153655</c:v>
                </c:pt>
                <c:pt idx="2">
                  <c:v>3.9901128799653756</c:v>
                </c:pt>
                <c:pt idx="3">
                  <c:v>3.9306669824647389</c:v>
                </c:pt>
                <c:pt idx="4">
                  <c:v>3.4134307951956582</c:v>
                </c:pt>
                <c:pt idx="5">
                  <c:v>3.4171795773867601</c:v>
                </c:pt>
              </c:numCache>
            </c:numRef>
          </c:val>
        </c:ser>
        <c:ser>
          <c:idx val="9"/>
          <c:order val="9"/>
          <c:tx>
            <c:strRef>
              <c:f>Sheet1!$A$11</c:f>
              <c:strCache>
                <c:ptCount val="1"/>
                <c:pt idx="0">
                  <c:v>医疗保健</c:v>
                </c:pt>
              </c:strCache>
            </c:strRef>
          </c:tx>
          <c:spPr>
            <a:ln w="25400">
              <a:noFill/>
            </a:ln>
          </c:spPr>
          <c:cat>
            <c:numRef>
              <c:f>Sheet1!$B$1:$G$1</c:f>
              <c:numCache>
                <c:formatCode>yyyy/m/dd</c:formatCode>
                <c:ptCount val="6"/>
                <c:pt idx="0">
                  <c:v>41090</c:v>
                </c:pt>
                <c:pt idx="1">
                  <c:v>41182</c:v>
                </c:pt>
                <c:pt idx="2">
                  <c:v>41274</c:v>
                </c:pt>
                <c:pt idx="3">
                  <c:v>41364</c:v>
                </c:pt>
                <c:pt idx="4">
                  <c:v>41455</c:v>
                </c:pt>
                <c:pt idx="5">
                  <c:v>41547</c:v>
                </c:pt>
              </c:numCache>
            </c:numRef>
          </c:cat>
          <c:val>
            <c:numRef>
              <c:f>Sheet1!$B$11:$G$11</c:f>
              <c:numCache>
                <c:formatCode>#,##0.00</c:formatCode>
                <c:ptCount val="6"/>
                <c:pt idx="0">
                  <c:v>1.3987236876785776</c:v>
                </c:pt>
                <c:pt idx="1">
                  <c:v>1.5393130490870726</c:v>
                </c:pt>
                <c:pt idx="2">
                  <c:v>1.5390074644376219</c:v>
                </c:pt>
                <c:pt idx="3">
                  <c:v>1.9030739367965579</c:v>
                </c:pt>
                <c:pt idx="4">
                  <c:v>2.1318235716733316</c:v>
                </c:pt>
                <c:pt idx="5">
                  <c:v>2.48405137765296</c:v>
                </c:pt>
              </c:numCache>
            </c:numRef>
          </c:val>
        </c:ser>
        <c:axId val="241083520"/>
        <c:axId val="241085056"/>
      </c:areaChart>
      <c:catAx>
        <c:axId val="241083520"/>
        <c:scaling>
          <c:orientation val="minMax"/>
        </c:scaling>
        <c:axPos val="b"/>
        <c:numFmt formatCode="yyyy/m/dd" sourceLinked="1"/>
        <c:tickLblPos val="nextTo"/>
        <c:crossAx val="241085056"/>
        <c:crosses val="autoZero"/>
        <c:lblAlgn val="ctr"/>
        <c:lblOffset val="100"/>
      </c:catAx>
      <c:valAx>
        <c:axId val="241085056"/>
        <c:scaling>
          <c:orientation val="minMax"/>
        </c:scaling>
        <c:axPos val="l"/>
        <c:majorGridlines/>
        <c:numFmt formatCode="0%" sourceLinked="1"/>
        <c:tickLblPos val="nextTo"/>
        <c:crossAx val="241083520"/>
        <c:crosses val="autoZero"/>
        <c:crossBetween val="midCat"/>
      </c:valAx>
    </c:plotArea>
    <c:legend>
      <c:legendPos val="r"/>
    </c:legend>
    <c:plotVisOnly val="1"/>
  </c:chart>
  <c:spPr>
    <a:ln>
      <a:noFill/>
    </a:ln>
  </c:spPr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zh-CN"/>
  <c:style val="10"/>
  <c:chart>
    <c:plotArea>
      <c:layout/>
      <c:barChart>
        <c:barDir val="bar"/>
        <c:grouping val="clustered"/>
        <c:ser>
          <c:idx val="0"/>
          <c:order val="0"/>
          <c:cat>
            <c:strRef>
              <c:f>Sheet3!$B$2:$B$11</c:f>
              <c:strCache>
                <c:ptCount val="10"/>
                <c:pt idx="0">
                  <c:v>信息技术</c:v>
                </c:pt>
                <c:pt idx="1">
                  <c:v>能源</c:v>
                </c:pt>
                <c:pt idx="2">
                  <c:v>原材料</c:v>
                </c:pt>
                <c:pt idx="3">
                  <c:v>医疗保健</c:v>
                </c:pt>
                <c:pt idx="4">
                  <c:v>电信业务</c:v>
                </c:pt>
                <c:pt idx="5">
                  <c:v>非日常生活消费品</c:v>
                </c:pt>
                <c:pt idx="6">
                  <c:v>日常消费品</c:v>
                </c:pt>
                <c:pt idx="7">
                  <c:v>公用事业</c:v>
                </c:pt>
                <c:pt idx="8">
                  <c:v>工业</c:v>
                </c:pt>
                <c:pt idx="9">
                  <c:v>金融</c:v>
                </c:pt>
              </c:strCache>
            </c:strRef>
          </c:cat>
          <c:val>
            <c:numRef>
              <c:f>Sheet3!$C$2:$C$11</c:f>
              <c:numCache>
                <c:formatCode>0.00_ ;[Red]\-0.00\ </c:formatCode>
                <c:ptCount val="10"/>
                <c:pt idx="0">
                  <c:v>0.92784222710187436</c:v>
                </c:pt>
                <c:pt idx="1">
                  <c:v>0.7162935848377473</c:v>
                </c:pt>
                <c:pt idx="2">
                  <c:v>0.36667186017207654</c:v>
                </c:pt>
                <c:pt idx="3">
                  <c:v>0.35222780597962522</c:v>
                </c:pt>
                <c:pt idx="4">
                  <c:v>0.26824025697735626</c:v>
                </c:pt>
                <c:pt idx="5">
                  <c:v>6.8597507280731773E-2</c:v>
                </c:pt>
                <c:pt idx="6">
                  <c:v>3.748782191103312E-3</c:v>
                </c:pt>
                <c:pt idx="7">
                  <c:v>-0.31849396104280508</c:v>
                </c:pt>
                <c:pt idx="8">
                  <c:v>-0.44383871974963413</c:v>
                </c:pt>
                <c:pt idx="9">
                  <c:v>-1.9412893437480581</c:v>
                </c:pt>
              </c:numCache>
            </c:numRef>
          </c:val>
        </c:ser>
        <c:axId val="241411968"/>
        <c:axId val="241413504"/>
      </c:barChart>
      <c:catAx>
        <c:axId val="241411968"/>
        <c:scaling>
          <c:orientation val="minMax"/>
        </c:scaling>
        <c:axPos val="l"/>
        <c:tickLblPos val="high"/>
        <c:crossAx val="241413504"/>
        <c:crosses val="autoZero"/>
        <c:auto val="1"/>
        <c:lblAlgn val="ctr"/>
        <c:lblOffset val="100"/>
      </c:catAx>
      <c:valAx>
        <c:axId val="241413504"/>
        <c:scaling>
          <c:orientation val="minMax"/>
        </c:scaling>
        <c:axPos val="b"/>
        <c:majorGridlines/>
        <c:numFmt formatCode="0.00_ ;[Red]\-0.00\ " sourceLinked="1"/>
        <c:tickLblPos val="nextTo"/>
        <c:crossAx val="241411968"/>
        <c:crosses val="autoZero"/>
        <c:crossBetween val="between"/>
      </c:valAx>
    </c:plotArea>
    <c:plotVisOnly val="1"/>
  </c:chart>
  <c:spPr>
    <a:ln>
      <a:noFill/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style val="10"/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BIAO!$A$31</c:f>
              <c:strCache>
                <c:ptCount val="1"/>
                <c:pt idx="0">
                  <c:v>净申购</c:v>
                </c:pt>
              </c:strCache>
            </c:strRef>
          </c:tx>
          <c:spPr>
            <a:ln w="9525"/>
          </c:spPr>
          <c:dLbls>
            <c:dLbl>
              <c:idx val="12"/>
              <c:layout>
                <c:manualLayout>
                  <c:x val="-8.0807161339650942E-17"/>
                  <c:y val="1.8518518518518556E-2"/>
                </c:manualLayout>
              </c:layout>
              <c:showVal val="1"/>
            </c:dLbl>
            <c:dLbl>
              <c:idx val="17"/>
              <c:layout>
                <c:manualLayout>
                  <c:x val="0"/>
                  <c:y val="-4.6296296296296419E-2"/>
                </c:manualLayout>
              </c:layout>
              <c:showVal val="1"/>
            </c:dLbl>
            <c:dLbl>
              <c:idx val="18"/>
              <c:layout>
                <c:manualLayout>
                  <c:x val="0"/>
                  <c:y val="1.388888888888893E-2"/>
                </c:manualLayout>
              </c:layout>
              <c:showVal val="1"/>
            </c:dLbl>
            <c:txPr>
              <a:bodyPr/>
              <a:lstStyle/>
              <a:p>
                <a:pPr>
                  <a:defRPr sz="800">
                    <a:latin typeface="Arial Unicode MS" pitchFamily="34" charset="-122"/>
                    <a:ea typeface="Arial Unicode MS" pitchFamily="34" charset="-122"/>
                    <a:cs typeface="Arial Unicode MS" pitchFamily="34" charset="-122"/>
                  </a:defRPr>
                </a:pPr>
                <a:endParaRPr lang="zh-CN"/>
              </a:p>
            </c:txPr>
            <c:showVal val="1"/>
          </c:dLbls>
          <c:cat>
            <c:numRef>
              <c:f>BIAO!$B$30:$T$30</c:f>
              <c:numCache>
                <c:formatCode>yyyy/m/dd</c:formatCode>
                <c:ptCount val="19"/>
                <c:pt idx="0">
                  <c:v>39903</c:v>
                </c:pt>
                <c:pt idx="1">
                  <c:v>39994</c:v>
                </c:pt>
                <c:pt idx="2">
                  <c:v>40086</c:v>
                </c:pt>
                <c:pt idx="3">
                  <c:v>40178</c:v>
                </c:pt>
                <c:pt idx="4">
                  <c:v>40268</c:v>
                </c:pt>
                <c:pt idx="5">
                  <c:v>40359</c:v>
                </c:pt>
                <c:pt idx="6">
                  <c:v>40451</c:v>
                </c:pt>
                <c:pt idx="7">
                  <c:v>40543</c:v>
                </c:pt>
                <c:pt idx="8">
                  <c:v>40633</c:v>
                </c:pt>
                <c:pt idx="9">
                  <c:v>40724</c:v>
                </c:pt>
                <c:pt idx="10">
                  <c:v>40816</c:v>
                </c:pt>
                <c:pt idx="11">
                  <c:v>40908</c:v>
                </c:pt>
                <c:pt idx="12">
                  <c:v>40999</c:v>
                </c:pt>
                <c:pt idx="13">
                  <c:v>41090</c:v>
                </c:pt>
                <c:pt idx="14">
                  <c:v>41182</c:v>
                </c:pt>
                <c:pt idx="15">
                  <c:v>41274</c:v>
                </c:pt>
                <c:pt idx="16">
                  <c:v>41364</c:v>
                </c:pt>
                <c:pt idx="17">
                  <c:v>41455</c:v>
                </c:pt>
                <c:pt idx="18">
                  <c:v>41547</c:v>
                </c:pt>
              </c:numCache>
            </c:numRef>
          </c:cat>
          <c:val>
            <c:numRef>
              <c:f>BIAO!$B$31:$T$31</c:f>
              <c:numCache>
                <c:formatCode>0.00_ </c:formatCode>
                <c:ptCount val="19"/>
                <c:pt idx="0">
                  <c:v>3.0979482945999997</c:v>
                </c:pt>
                <c:pt idx="1">
                  <c:v>0.95346810459999798</c:v>
                </c:pt>
                <c:pt idx="2">
                  <c:v>-43.713006321600005</c:v>
                </c:pt>
                <c:pt idx="3">
                  <c:v>-37.001145279800006</c:v>
                </c:pt>
                <c:pt idx="4">
                  <c:v>-22.683747532299961</c:v>
                </c:pt>
                <c:pt idx="5">
                  <c:v>-29.174249083499987</c:v>
                </c:pt>
                <c:pt idx="6">
                  <c:v>-45.998241104900011</c:v>
                </c:pt>
                <c:pt idx="7">
                  <c:v>-81.256639737400008</c:v>
                </c:pt>
                <c:pt idx="8">
                  <c:v>-59.557716436400014</c:v>
                </c:pt>
                <c:pt idx="9">
                  <c:v>-73.37757151349976</c:v>
                </c:pt>
                <c:pt idx="10">
                  <c:v>-50.258789127</c:v>
                </c:pt>
                <c:pt idx="11">
                  <c:v>-25.359180502099999</c:v>
                </c:pt>
                <c:pt idx="12">
                  <c:v>-21.966844356199989</c:v>
                </c:pt>
                <c:pt idx="13">
                  <c:v>-24.911169877599967</c:v>
                </c:pt>
                <c:pt idx="14">
                  <c:v>-42.448144036699993</c:v>
                </c:pt>
                <c:pt idx="15">
                  <c:v>-69.327053723699919</c:v>
                </c:pt>
                <c:pt idx="16">
                  <c:v>-38.841290898000004</c:v>
                </c:pt>
                <c:pt idx="17">
                  <c:v>-38.517621250699925</c:v>
                </c:pt>
                <c:pt idx="18" formatCode="0.00_);[Red]\(0.00\)">
                  <c:v>-35.614884492299907</c:v>
                </c:pt>
              </c:numCache>
            </c:numRef>
          </c:val>
        </c:ser>
        <c:gapWidth val="0"/>
        <c:axId val="240433792"/>
        <c:axId val="240509312"/>
      </c:barChart>
      <c:dateAx>
        <c:axId val="240433792"/>
        <c:scaling>
          <c:orientation val="minMax"/>
        </c:scaling>
        <c:axPos val="b"/>
        <c:numFmt formatCode="yyyy/m/dd" sourceLinked="1"/>
        <c:tickLblPos val="low"/>
        <c:txPr>
          <a:bodyPr/>
          <a:lstStyle/>
          <a:p>
            <a:pPr>
              <a:defRPr sz="900"/>
            </a:pPr>
            <a:endParaRPr lang="zh-CN"/>
          </a:p>
        </c:txPr>
        <c:crossAx val="240509312"/>
        <c:crosses val="autoZero"/>
        <c:auto val="1"/>
        <c:lblOffset val="100"/>
      </c:dateAx>
      <c:valAx>
        <c:axId val="240509312"/>
        <c:scaling>
          <c:orientation val="minMax"/>
        </c:scaling>
        <c:axPos val="l"/>
        <c:numFmt formatCode="0.00_ " sourceLinked="1"/>
        <c:tickLblPos val="nextTo"/>
        <c:txPr>
          <a:bodyPr/>
          <a:lstStyle/>
          <a:p>
            <a:pPr>
              <a:defRPr sz="900"/>
            </a:pPr>
            <a:endParaRPr lang="zh-CN"/>
          </a:p>
        </c:txPr>
        <c:crossAx val="240433792"/>
        <c:crosses val="autoZero"/>
        <c:crossBetween val="between"/>
      </c:valAx>
      <c:spPr>
        <a:noFill/>
      </c:spPr>
    </c:plotArea>
    <c:plotVisOnly val="1"/>
  </c:chart>
  <c:spPr>
    <a:ln>
      <a:noFill/>
    </a:ln>
  </c:spPr>
  <c:externalData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hart>
    <c:plotArea>
      <c:layout/>
      <c:areaChart>
        <c:grouping val="percentStacked"/>
        <c:ser>
          <c:idx val="0"/>
          <c:order val="0"/>
          <c:tx>
            <c:strRef>
              <c:f>biao!$A$2</c:f>
              <c:strCache>
                <c:ptCount val="1"/>
                <c:pt idx="0">
                  <c:v>股票</c:v>
                </c:pt>
              </c:strCache>
            </c:strRef>
          </c:tx>
          <c:cat>
            <c:numRef>
              <c:f>biao!$B$1:$T$1</c:f>
              <c:numCache>
                <c:formatCode>yyyy/m/dd</c:formatCode>
                <c:ptCount val="19"/>
                <c:pt idx="0">
                  <c:v>39903</c:v>
                </c:pt>
                <c:pt idx="1">
                  <c:v>39994</c:v>
                </c:pt>
                <c:pt idx="2">
                  <c:v>40086</c:v>
                </c:pt>
                <c:pt idx="3">
                  <c:v>40178</c:v>
                </c:pt>
                <c:pt idx="4">
                  <c:v>40268</c:v>
                </c:pt>
                <c:pt idx="5">
                  <c:v>40359</c:v>
                </c:pt>
                <c:pt idx="6">
                  <c:v>40451</c:v>
                </c:pt>
                <c:pt idx="7">
                  <c:v>40543</c:v>
                </c:pt>
                <c:pt idx="8">
                  <c:v>40633</c:v>
                </c:pt>
                <c:pt idx="9">
                  <c:v>40724</c:v>
                </c:pt>
                <c:pt idx="10">
                  <c:v>40816</c:v>
                </c:pt>
                <c:pt idx="11">
                  <c:v>40908</c:v>
                </c:pt>
                <c:pt idx="12">
                  <c:v>40999</c:v>
                </c:pt>
                <c:pt idx="13">
                  <c:v>41090</c:v>
                </c:pt>
                <c:pt idx="14">
                  <c:v>41182</c:v>
                </c:pt>
                <c:pt idx="15">
                  <c:v>41274</c:v>
                </c:pt>
                <c:pt idx="16">
                  <c:v>41364</c:v>
                </c:pt>
                <c:pt idx="17">
                  <c:v>41455</c:v>
                </c:pt>
                <c:pt idx="18">
                  <c:v>41547</c:v>
                </c:pt>
              </c:numCache>
            </c:numRef>
          </c:cat>
          <c:val>
            <c:numRef>
              <c:f>biao!$B$2:$T$2</c:f>
              <c:numCache>
                <c:formatCode>0.00_);[Red]\(0.00\)</c:formatCode>
                <c:ptCount val="19"/>
                <c:pt idx="0">
                  <c:v>0.65737304901512961</c:v>
                </c:pt>
                <c:pt idx="1">
                  <c:v>0.72404182332988387</c:v>
                </c:pt>
                <c:pt idx="2">
                  <c:v>0.73869533350263128</c:v>
                </c:pt>
                <c:pt idx="3">
                  <c:v>0.73657405086367811</c:v>
                </c:pt>
                <c:pt idx="4">
                  <c:v>0.75582772518872965</c:v>
                </c:pt>
                <c:pt idx="5">
                  <c:v>0.70032938171202053</c:v>
                </c:pt>
                <c:pt idx="6">
                  <c:v>0.74003940798925061</c:v>
                </c:pt>
                <c:pt idx="7">
                  <c:v>0.74991860217680328</c:v>
                </c:pt>
                <c:pt idx="8">
                  <c:v>0.71731374698200157</c:v>
                </c:pt>
                <c:pt idx="9">
                  <c:v>0.6541164379313259</c:v>
                </c:pt>
                <c:pt idx="10">
                  <c:v>0.59607048068548762</c:v>
                </c:pt>
                <c:pt idx="11">
                  <c:v>0.62298335970001451</c:v>
                </c:pt>
                <c:pt idx="12">
                  <c:v>0.67032664404976261</c:v>
                </c:pt>
                <c:pt idx="13">
                  <c:v>0.64053174232709065</c:v>
                </c:pt>
                <c:pt idx="14">
                  <c:v>0.67846756936524355</c:v>
                </c:pt>
                <c:pt idx="15">
                  <c:v>0.67522086372145262</c:v>
                </c:pt>
                <c:pt idx="16">
                  <c:v>0.68161705665546468</c:v>
                </c:pt>
                <c:pt idx="17">
                  <c:v>0.66810052036014278</c:v>
                </c:pt>
                <c:pt idx="18">
                  <c:v>0.69337749859922804</c:v>
                </c:pt>
              </c:numCache>
            </c:numRef>
          </c:val>
        </c:ser>
        <c:ser>
          <c:idx val="1"/>
          <c:order val="1"/>
          <c:tx>
            <c:strRef>
              <c:f>biao!$A$3</c:f>
              <c:strCache>
                <c:ptCount val="1"/>
                <c:pt idx="0">
                  <c:v>基金</c:v>
                </c:pt>
              </c:strCache>
            </c:strRef>
          </c:tx>
          <c:cat>
            <c:numRef>
              <c:f>biao!$B$1:$T$1</c:f>
              <c:numCache>
                <c:formatCode>yyyy/m/dd</c:formatCode>
                <c:ptCount val="19"/>
                <c:pt idx="0">
                  <c:v>39903</c:v>
                </c:pt>
                <c:pt idx="1">
                  <c:v>39994</c:v>
                </c:pt>
                <c:pt idx="2">
                  <c:v>40086</c:v>
                </c:pt>
                <c:pt idx="3">
                  <c:v>40178</c:v>
                </c:pt>
                <c:pt idx="4">
                  <c:v>40268</c:v>
                </c:pt>
                <c:pt idx="5">
                  <c:v>40359</c:v>
                </c:pt>
                <c:pt idx="6">
                  <c:v>40451</c:v>
                </c:pt>
                <c:pt idx="7">
                  <c:v>40543</c:v>
                </c:pt>
                <c:pt idx="8">
                  <c:v>40633</c:v>
                </c:pt>
                <c:pt idx="9">
                  <c:v>40724</c:v>
                </c:pt>
                <c:pt idx="10">
                  <c:v>40816</c:v>
                </c:pt>
                <c:pt idx="11">
                  <c:v>40908</c:v>
                </c:pt>
                <c:pt idx="12">
                  <c:v>40999</c:v>
                </c:pt>
                <c:pt idx="13">
                  <c:v>41090</c:v>
                </c:pt>
                <c:pt idx="14">
                  <c:v>41182</c:v>
                </c:pt>
                <c:pt idx="15">
                  <c:v>41274</c:v>
                </c:pt>
                <c:pt idx="16">
                  <c:v>41364</c:v>
                </c:pt>
                <c:pt idx="17">
                  <c:v>41455</c:v>
                </c:pt>
                <c:pt idx="18">
                  <c:v>41547</c:v>
                </c:pt>
              </c:numCache>
            </c:numRef>
          </c:cat>
          <c:val>
            <c:numRef>
              <c:f>biao!$B$3:$T$3</c:f>
              <c:numCache>
                <c:formatCode>0.00_);[Red]\(0.00\)</c:formatCode>
                <c:ptCount val="19"/>
                <c:pt idx="0">
                  <c:v>0.16263745024503701</c:v>
                </c:pt>
                <c:pt idx="1">
                  <c:v>0.14555018061888275</c:v>
                </c:pt>
                <c:pt idx="2">
                  <c:v>0.14887376046408488</c:v>
                </c:pt>
                <c:pt idx="3">
                  <c:v>0.15605682407201404</c:v>
                </c:pt>
                <c:pt idx="4">
                  <c:v>0.13723982261457468</c:v>
                </c:pt>
                <c:pt idx="5">
                  <c:v>0.13802800850394503</c:v>
                </c:pt>
                <c:pt idx="6">
                  <c:v>0.13577479022538755</c:v>
                </c:pt>
                <c:pt idx="7">
                  <c:v>0.14109041649341772</c:v>
                </c:pt>
                <c:pt idx="8">
                  <c:v>0.18571830630616926</c:v>
                </c:pt>
                <c:pt idx="9">
                  <c:v>0.16841963080840119</c:v>
                </c:pt>
                <c:pt idx="10">
                  <c:v>0.20715573451205074</c:v>
                </c:pt>
                <c:pt idx="11">
                  <c:v>0.19963970641207684</c:v>
                </c:pt>
                <c:pt idx="12">
                  <c:v>0.21405764710351316</c:v>
                </c:pt>
                <c:pt idx="13">
                  <c:v>0.20322912844001151</c:v>
                </c:pt>
                <c:pt idx="14">
                  <c:v>0.21901534881179197</c:v>
                </c:pt>
                <c:pt idx="15">
                  <c:v>0.19356360527854727</c:v>
                </c:pt>
                <c:pt idx="16">
                  <c:v>0.19157857052926747</c:v>
                </c:pt>
                <c:pt idx="17">
                  <c:v>0.17062892905320468</c:v>
                </c:pt>
                <c:pt idx="18">
                  <c:v>0.17136875866141121</c:v>
                </c:pt>
              </c:numCache>
            </c:numRef>
          </c:val>
        </c:ser>
        <c:ser>
          <c:idx val="2"/>
          <c:order val="2"/>
          <c:tx>
            <c:strRef>
              <c:f>biao!$A$4</c:f>
              <c:strCache>
                <c:ptCount val="1"/>
                <c:pt idx="0">
                  <c:v>债券</c:v>
                </c:pt>
              </c:strCache>
            </c:strRef>
          </c:tx>
          <c:cat>
            <c:numRef>
              <c:f>biao!$B$1:$T$1</c:f>
              <c:numCache>
                <c:formatCode>yyyy/m/dd</c:formatCode>
                <c:ptCount val="19"/>
                <c:pt idx="0">
                  <c:v>39903</c:v>
                </c:pt>
                <c:pt idx="1">
                  <c:v>39994</c:v>
                </c:pt>
                <c:pt idx="2">
                  <c:v>40086</c:v>
                </c:pt>
                <c:pt idx="3">
                  <c:v>40178</c:v>
                </c:pt>
                <c:pt idx="4">
                  <c:v>40268</c:v>
                </c:pt>
                <c:pt idx="5">
                  <c:v>40359</c:v>
                </c:pt>
                <c:pt idx="6">
                  <c:v>40451</c:v>
                </c:pt>
                <c:pt idx="7">
                  <c:v>40543</c:v>
                </c:pt>
                <c:pt idx="8">
                  <c:v>40633</c:v>
                </c:pt>
                <c:pt idx="9">
                  <c:v>40724</c:v>
                </c:pt>
                <c:pt idx="10">
                  <c:v>40816</c:v>
                </c:pt>
                <c:pt idx="11">
                  <c:v>40908</c:v>
                </c:pt>
                <c:pt idx="12">
                  <c:v>40999</c:v>
                </c:pt>
                <c:pt idx="13">
                  <c:v>41090</c:v>
                </c:pt>
                <c:pt idx="14">
                  <c:v>41182</c:v>
                </c:pt>
                <c:pt idx="15">
                  <c:v>41274</c:v>
                </c:pt>
                <c:pt idx="16">
                  <c:v>41364</c:v>
                </c:pt>
                <c:pt idx="17">
                  <c:v>41455</c:v>
                </c:pt>
                <c:pt idx="18">
                  <c:v>41547</c:v>
                </c:pt>
              </c:numCache>
            </c:numRef>
          </c:cat>
          <c:val>
            <c:numRef>
              <c:f>biao!$B$4:$T$4</c:f>
              <c:numCache>
                <c:formatCode>0.00_);[Red]\(0.00\)</c:formatCode>
                <c:ptCount val="19"/>
                <c:pt idx="0">
                  <c:v>4.3405153308657697E-4</c:v>
                </c:pt>
                <c:pt idx="1">
                  <c:v>1.7080991612298791E-3</c:v>
                </c:pt>
                <c:pt idx="2">
                  <c:v>4.8271140835620986E-3</c:v>
                </c:pt>
                <c:pt idx="3">
                  <c:v>6.6938132061774205E-3</c:v>
                </c:pt>
                <c:pt idx="4">
                  <c:v>7.9163649981807832E-3</c:v>
                </c:pt>
                <c:pt idx="5">
                  <c:v>5.3936831774481411E-3</c:v>
                </c:pt>
                <c:pt idx="6">
                  <c:v>1.8679059016919092E-2</c:v>
                </c:pt>
                <c:pt idx="7">
                  <c:v>1.6016058714153361E-2</c:v>
                </c:pt>
                <c:pt idx="8">
                  <c:v>1.5230526634065572E-2</c:v>
                </c:pt>
                <c:pt idx="9">
                  <c:v>1.2911142372996617E-2</c:v>
                </c:pt>
                <c:pt idx="10">
                  <c:v>1.4607819866967981E-2</c:v>
                </c:pt>
                <c:pt idx="11">
                  <c:v>1.6516401502834673E-2</c:v>
                </c:pt>
                <c:pt idx="12">
                  <c:v>1.1815558011703052E-2</c:v>
                </c:pt>
                <c:pt idx="13">
                  <c:v>1.0521437042270081E-2</c:v>
                </c:pt>
                <c:pt idx="14">
                  <c:v>1.0700094219044321E-2</c:v>
                </c:pt>
                <c:pt idx="15">
                  <c:v>1.0277602809401125E-2</c:v>
                </c:pt>
                <c:pt idx="16">
                  <c:v>4.19707555430891E-2</c:v>
                </c:pt>
                <c:pt idx="17">
                  <c:v>5.7049120543867085E-2</c:v>
                </c:pt>
                <c:pt idx="18">
                  <c:v>5.3403168865327477E-2</c:v>
                </c:pt>
              </c:numCache>
            </c:numRef>
          </c:val>
        </c:ser>
        <c:ser>
          <c:idx val="3"/>
          <c:order val="3"/>
          <c:tx>
            <c:strRef>
              <c:f>biao!$A$5</c:f>
              <c:strCache>
                <c:ptCount val="1"/>
                <c:pt idx="0">
                  <c:v>现金</c:v>
                </c:pt>
              </c:strCache>
            </c:strRef>
          </c:tx>
          <c:cat>
            <c:numRef>
              <c:f>biao!$B$1:$T$1</c:f>
              <c:numCache>
                <c:formatCode>yyyy/m/dd</c:formatCode>
                <c:ptCount val="19"/>
                <c:pt idx="0">
                  <c:v>39903</c:v>
                </c:pt>
                <c:pt idx="1">
                  <c:v>39994</c:v>
                </c:pt>
                <c:pt idx="2">
                  <c:v>40086</c:v>
                </c:pt>
                <c:pt idx="3">
                  <c:v>40178</c:v>
                </c:pt>
                <c:pt idx="4">
                  <c:v>40268</c:v>
                </c:pt>
                <c:pt idx="5">
                  <c:v>40359</c:v>
                </c:pt>
                <c:pt idx="6">
                  <c:v>40451</c:v>
                </c:pt>
                <c:pt idx="7">
                  <c:v>40543</c:v>
                </c:pt>
                <c:pt idx="8">
                  <c:v>40633</c:v>
                </c:pt>
                <c:pt idx="9">
                  <c:v>40724</c:v>
                </c:pt>
                <c:pt idx="10">
                  <c:v>40816</c:v>
                </c:pt>
                <c:pt idx="11">
                  <c:v>40908</c:v>
                </c:pt>
                <c:pt idx="12">
                  <c:v>40999</c:v>
                </c:pt>
                <c:pt idx="13">
                  <c:v>41090</c:v>
                </c:pt>
                <c:pt idx="14">
                  <c:v>41182</c:v>
                </c:pt>
                <c:pt idx="15">
                  <c:v>41274</c:v>
                </c:pt>
                <c:pt idx="16">
                  <c:v>41364</c:v>
                </c:pt>
                <c:pt idx="17">
                  <c:v>41455</c:v>
                </c:pt>
                <c:pt idx="18">
                  <c:v>41547</c:v>
                </c:pt>
              </c:numCache>
            </c:numRef>
          </c:cat>
          <c:val>
            <c:numRef>
              <c:f>biao!$B$5:$T$5</c:f>
              <c:numCache>
                <c:formatCode>0.00_);[Red]\(0.00\)</c:formatCode>
                <c:ptCount val="19"/>
                <c:pt idx="0">
                  <c:v>0.1640144219841124</c:v>
                </c:pt>
                <c:pt idx="1">
                  <c:v>0.11546274586695295</c:v>
                </c:pt>
                <c:pt idx="2">
                  <c:v>9.4854823758252202E-2</c:v>
                </c:pt>
                <c:pt idx="3">
                  <c:v>7.807883597258683E-2</c:v>
                </c:pt>
                <c:pt idx="4">
                  <c:v>8.5695687764124007E-2</c:v>
                </c:pt>
                <c:pt idx="5">
                  <c:v>0.10506303896437366</c:v>
                </c:pt>
                <c:pt idx="6">
                  <c:v>5.7452226879101974E-2</c:v>
                </c:pt>
                <c:pt idx="7">
                  <c:v>6.05622607550809E-2</c:v>
                </c:pt>
                <c:pt idx="8">
                  <c:v>8.310396550963127E-2</c:v>
                </c:pt>
                <c:pt idx="9">
                  <c:v>7.3276181295411733E-2</c:v>
                </c:pt>
                <c:pt idx="10">
                  <c:v>0.16029088374584541</c:v>
                </c:pt>
                <c:pt idx="11">
                  <c:v>0.10128372991304944</c:v>
                </c:pt>
                <c:pt idx="12">
                  <c:v>9.2386671147496144E-2</c:v>
                </c:pt>
                <c:pt idx="13">
                  <c:v>0.10033615623842079</c:v>
                </c:pt>
                <c:pt idx="14">
                  <c:v>8.9226579235122727E-2</c:v>
                </c:pt>
                <c:pt idx="15">
                  <c:v>8.185099374837973E-2</c:v>
                </c:pt>
                <c:pt idx="16">
                  <c:v>9.2446569987538516E-2</c:v>
                </c:pt>
                <c:pt idx="17">
                  <c:v>8.9126131411566445E-2</c:v>
                </c:pt>
                <c:pt idx="18">
                  <c:v>8.1058946432527201E-2</c:v>
                </c:pt>
              </c:numCache>
            </c:numRef>
          </c:val>
        </c:ser>
        <c:ser>
          <c:idx val="4"/>
          <c:order val="4"/>
          <c:tx>
            <c:strRef>
              <c:f>biao!$A$6</c:f>
              <c:strCache>
                <c:ptCount val="1"/>
                <c:pt idx="0">
                  <c:v>其他资产</c:v>
                </c:pt>
              </c:strCache>
            </c:strRef>
          </c:tx>
          <c:cat>
            <c:numRef>
              <c:f>biao!$B$1:$T$1</c:f>
              <c:numCache>
                <c:formatCode>yyyy/m/dd</c:formatCode>
                <c:ptCount val="19"/>
                <c:pt idx="0">
                  <c:v>39903</c:v>
                </c:pt>
                <c:pt idx="1">
                  <c:v>39994</c:v>
                </c:pt>
                <c:pt idx="2">
                  <c:v>40086</c:v>
                </c:pt>
                <c:pt idx="3">
                  <c:v>40178</c:v>
                </c:pt>
                <c:pt idx="4">
                  <c:v>40268</c:v>
                </c:pt>
                <c:pt idx="5">
                  <c:v>40359</c:v>
                </c:pt>
                <c:pt idx="6">
                  <c:v>40451</c:v>
                </c:pt>
                <c:pt idx="7">
                  <c:v>40543</c:v>
                </c:pt>
                <c:pt idx="8">
                  <c:v>40633</c:v>
                </c:pt>
                <c:pt idx="9">
                  <c:v>40724</c:v>
                </c:pt>
                <c:pt idx="10">
                  <c:v>40816</c:v>
                </c:pt>
                <c:pt idx="11">
                  <c:v>40908</c:v>
                </c:pt>
                <c:pt idx="12">
                  <c:v>40999</c:v>
                </c:pt>
                <c:pt idx="13">
                  <c:v>41090</c:v>
                </c:pt>
                <c:pt idx="14">
                  <c:v>41182</c:v>
                </c:pt>
                <c:pt idx="15">
                  <c:v>41274</c:v>
                </c:pt>
                <c:pt idx="16">
                  <c:v>41364</c:v>
                </c:pt>
                <c:pt idx="17">
                  <c:v>41455</c:v>
                </c:pt>
                <c:pt idx="18">
                  <c:v>41547</c:v>
                </c:pt>
              </c:numCache>
            </c:numRef>
          </c:cat>
          <c:val>
            <c:numRef>
              <c:f>biao!$B$6:$T$6</c:f>
              <c:numCache>
                <c:formatCode>0.00_);[Red]\(0.00\)</c:formatCode>
                <c:ptCount val="19"/>
                <c:pt idx="0">
                  <c:v>1.5541027222634856E-2</c:v>
                </c:pt>
                <c:pt idx="1">
                  <c:v>1.3237151023053121E-2</c:v>
                </c:pt>
                <c:pt idx="2">
                  <c:v>1.2748968191471088E-2</c:v>
                </c:pt>
                <c:pt idx="3">
                  <c:v>2.25964758855444E-2</c:v>
                </c:pt>
                <c:pt idx="4">
                  <c:v>1.3320399434391783E-2</c:v>
                </c:pt>
                <c:pt idx="5">
                  <c:v>5.1185887642211783E-2</c:v>
                </c:pt>
                <c:pt idx="6">
                  <c:v>4.8054515889341433E-2</c:v>
                </c:pt>
                <c:pt idx="7">
                  <c:v>3.241266186054604E-2</c:v>
                </c:pt>
                <c:pt idx="8">
                  <c:v>-1.3665454318676524E-3</c:v>
                </c:pt>
                <c:pt idx="9">
                  <c:v>9.1276607591864997E-2</c:v>
                </c:pt>
                <c:pt idx="10">
                  <c:v>2.1875081189649159E-2</c:v>
                </c:pt>
                <c:pt idx="11">
                  <c:v>5.9576802472024556E-2</c:v>
                </c:pt>
                <c:pt idx="12">
                  <c:v>1.1413479687525409E-2</c:v>
                </c:pt>
                <c:pt idx="13">
                  <c:v>4.538153595220739E-2</c:v>
                </c:pt>
                <c:pt idx="14">
                  <c:v>2.5904083687973206E-3</c:v>
                </c:pt>
                <c:pt idx="15">
                  <c:v>3.9086934442219612E-2</c:v>
                </c:pt>
                <c:pt idx="16">
                  <c:v>-7.6129527153590004E-3</c:v>
                </c:pt>
                <c:pt idx="17">
                  <c:v>1.5095298631219722E-2</c:v>
                </c:pt>
                <c:pt idx="18">
                  <c:v>7.9162744150607274E-4</c:v>
                </c:pt>
              </c:numCache>
            </c:numRef>
          </c:val>
        </c:ser>
        <c:axId val="236847488"/>
        <c:axId val="236849024"/>
      </c:areaChart>
      <c:catAx>
        <c:axId val="236847488"/>
        <c:scaling>
          <c:orientation val="minMax"/>
        </c:scaling>
        <c:axPos val="b"/>
        <c:numFmt formatCode="yyyy/m/dd" sourceLinked="1"/>
        <c:tickLblPos val="nextTo"/>
        <c:txPr>
          <a:bodyPr/>
          <a:lstStyle/>
          <a:p>
            <a:pPr>
              <a:defRPr sz="900"/>
            </a:pPr>
            <a:endParaRPr lang="zh-CN"/>
          </a:p>
        </c:txPr>
        <c:crossAx val="236849024"/>
        <c:crosses val="autoZero"/>
        <c:lblAlgn val="ctr"/>
        <c:lblOffset val="100"/>
      </c:catAx>
      <c:valAx>
        <c:axId val="236849024"/>
        <c:scaling>
          <c:orientation val="minMax"/>
        </c:scaling>
        <c:axPos val="l"/>
        <c:majorGridlines/>
        <c:numFmt formatCode="0%" sourceLinked="1"/>
        <c:tickLblPos val="nextTo"/>
        <c:txPr>
          <a:bodyPr/>
          <a:lstStyle/>
          <a:p>
            <a:pPr>
              <a:defRPr sz="900"/>
            </a:pPr>
            <a:endParaRPr lang="zh-CN"/>
          </a:p>
        </c:txPr>
        <c:crossAx val="236847488"/>
        <c:crosses val="autoZero"/>
        <c:crossBetween val="midCat"/>
      </c:valAx>
    </c:plotArea>
    <c:legend>
      <c:legendPos val="r"/>
    </c:legend>
    <c:plotVisOnly val="1"/>
  </c:chart>
  <c:spPr>
    <a:ln>
      <a:noFill/>
    </a:ln>
  </c:sp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zh-CN"/>
  <c:style val="11"/>
  <c:chart>
    <c:autoTitleDeleted val="1"/>
    <c:plotArea>
      <c:layout>
        <c:manualLayout>
          <c:layoutTarget val="inner"/>
          <c:xMode val="edge"/>
          <c:yMode val="edge"/>
          <c:x val="0.10148625761402465"/>
          <c:y val="2.8993146689997092E-2"/>
          <c:w val="0.90749965056847637"/>
          <c:h val="0.8102005937782365"/>
        </c:manualLayout>
      </c:layout>
      <c:lineChart>
        <c:grouping val="standard"/>
        <c:ser>
          <c:idx val="0"/>
          <c:order val="0"/>
          <c:tx>
            <c:strRef>
              <c:f>BIAO2!$A$2</c:f>
              <c:strCache>
                <c:ptCount val="1"/>
                <c:pt idx="0">
                  <c:v>股票仓位</c:v>
                </c:pt>
              </c:strCache>
            </c:strRef>
          </c:tx>
          <c:cat>
            <c:numRef>
              <c:f>BIAO2!$B$1:$T$1</c:f>
              <c:numCache>
                <c:formatCode>yyyy/m/dd</c:formatCode>
                <c:ptCount val="19"/>
                <c:pt idx="0">
                  <c:v>39903</c:v>
                </c:pt>
                <c:pt idx="1">
                  <c:v>39994</c:v>
                </c:pt>
                <c:pt idx="2">
                  <c:v>40086</c:v>
                </c:pt>
                <c:pt idx="3">
                  <c:v>40178</c:v>
                </c:pt>
                <c:pt idx="4">
                  <c:v>40268</c:v>
                </c:pt>
                <c:pt idx="5">
                  <c:v>40359</c:v>
                </c:pt>
                <c:pt idx="6">
                  <c:v>40451</c:v>
                </c:pt>
                <c:pt idx="7">
                  <c:v>40543</c:v>
                </c:pt>
                <c:pt idx="8">
                  <c:v>40633</c:v>
                </c:pt>
                <c:pt idx="9">
                  <c:v>40724</c:v>
                </c:pt>
                <c:pt idx="10">
                  <c:v>40816</c:v>
                </c:pt>
                <c:pt idx="11">
                  <c:v>40908</c:v>
                </c:pt>
                <c:pt idx="12">
                  <c:v>40999</c:v>
                </c:pt>
                <c:pt idx="13">
                  <c:v>41090</c:v>
                </c:pt>
                <c:pt idx="14">
                  <c:v>41182</c:v>
                </c:pt>
                <c:pt idx="15">
                  <c:v>41274</c:v>
                </c:pt>
                <c:pt idx="16">
                  <c:v>41364</c:v>
                </c:pt>
                <c:pt idx="17">
                  <c:v>41455</c:v>
                </c:pt>
                <c:pt idx="18">
                  <c:v>41547</c:v>
                </c:pt>
              </c:numCache>
            </c:numRef>
          </c:cat>
          <c:val>
            <c:numRef>
              <c:f>BIAO2!$B$2:$T$2</c:f>
              <c:numCache>
                <c:formatCode>0.00_);[Red]\(0.00\)</c:formatCode>
                <c:ptCount val="19"/>
                <c:pt idx="0">
                  <c:v>79.809907095772886</c:v>
                </c:pt>
                <c:pt idx="1">
                  <c:v>87.297984531947677</c:v>
                </c:pt>
                <c:pt idx="2">
                  <c:v>87.193813868931372</c:v>
                </c:pt>
                <c:pt idx="3">
                  <c:v>88.399554661342322</c:v>
                </c:pt>
                <c:pt idx="4">
                  <c:v>89.275478907993687</c:v>
                </c:pt>
                <c:pt idx="5">
                  <c:v>79.154923439025893</c:v>
                </c:pt>
                <c:pt idx="6">
                  <c:v>80.077324793888948</c:v>
                </c:pt>
                <c:pt idx="7">
                  <c:v>86.548658931956552</c:v>
                </c:pt>
                <c:pt idx="8">
                  <c:v>87.101818932427136</c:v>
                </c:pt>
                <c:pt idx="9">
                  <c:v>84.629654502868618</c:v>
                </c:pt>
                <c:pt idx="10">
                  <c:v>75.24740945725226</c:v>
                </c:pt>
                <c:pt idx="11">
                  <c:v>80.879192034403317</c:v>
                </c:pt>
                <c:pt idx="12">
                  <c:v>85.215769042968745</c:v>
                </c:pt>
                <c:pt idx="13">
                  <c:v>85.050563812255859</c:v>
                </c:pt>
                <c:pt idx="14">
                  <c:v>85.436168793709044</c:v>
                </c:pt>
                <c:pt idx="15">
                  <c:v>88.478523254394531</c:v>
                </c:pt>
                <c:pt idx="16">
                  <c:v>88.106673717498609</c:v>
                </c:pt>
                <c:pt idx="17">
                  <c:v>86.721326112747178</c:v>
                </c:pt>
                <c:pt idx="18">
                  <c:v>88.95</c:v>
                </c:pt>
              </c:numCache>
            </c:numRef>
          </c:val>
        </c:ser>
        <c:marker val="1"/>
        <c:axId val="236893312"/>
        <c:axId val="236894848"/>
      </c:lineChart>
      <c:catAx>
        <c:axId val="236893312"/>
        <c:scaling>
          <c:orientation val="minMax"/>
        </c:scaling>
        <c:axPos val="b"/>
        <c:numFmt formatCode="yyyy/mm;@" sourceLinked="0"/>
        <c:tickLblPos val="low"/>
        <c:txPr>
          <a:bodyPr/>
          <a:lstStyle/>
          <a:p>
            <a:pPr>
              <a:defRPr sz="900"/>
            </a:pPr>
            <a:endParaRPr lang="zh-CN"/>
          </a:p>
        </c:txPr>
        <c:crossAx val="236894848"/>
        <c:crosses val="autoZero"/>
        <c:lblAlgn val="ctr"/>
        <c:lblOffset val="100"/>
      </c:catAx>
      <c:valAx>
        <c:axId val="236894848"/>
        <c:scaling>
          <c:orientation val="minMax"/>
          <c:min val="50"/>
        </c:scaling>
        <c:axPos val="l"/>
        <c:numFmt formatCode="0.00_);[Red]\(0.00\)" sourceLinked="1"/>
        <c:tickLblPos val="low"/>
        <c:txPr>
          <a:bodyPr/>
          <a:lstStyle/>
          <a:p>
            <a:pPr>
              <a:defRPr sz="900"/>
            </a:pPr>
            <a:endParaRPr lang="zh-CN"/>
          </a:p>
        </c:txPr>
        <c:crossAx val="236893312"/>
        <c:crosses val="autoZero"/>
        <c:crossBetween val="between"/>
      </c:valAx>
    </c:plotArea>
    <c:plotVisOnly val="1"/>
    <c:dispBlanksAs val="span"/>
  </c:chart>
  <c:spPr>
    <a:ln>
      <a:noFill/>
    </a:ln>
  </c:sp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hart>
    <c:autoTitleDeleted val="1"/>
    <c:plotArea>
      <c:layout/>
      <c:barChart>
        <c:barDir val="bar"/>
        <c:grouping val="clustered"/>
        <c:ser>
          <c:idx val="0"/>
          <c:order val="0"/>
          <c:tx>
            <c:strRef>
              <c:f>Sheet3!$H$1</c:f>
              <c:strCache>
                <c:ptCount val="1"/>
                <c:pt idx="0">
                  <c:v>2013年一季报</c:v>
                </c:pt>
              </c:strCache>
            </c:strRef>
          </c:tx>
          <c:cat>
            <c:strRef>
              <c:f>Sheet3!$G$2:$G$33</c:f>
              <c:strCache>
                <c:ptCount val="32"/>
                <c:pt idx="0">
                  <c:v>博时大中华亚太精选</c:v>
                </c:pt>
                <c:pt idx="1">
                  <c:v>华泰柏瑞亚洲企业</c:v>
                </c:pt>
                <c:pt idx="2">
                  <c:v>上投摩根亚太优势</c:v>
                </c:pt>
                <c:pt idx="3">
                  <c:v>汇添富亚澳精选</c:v>
                </c:pt>
                <c:pt idx="4">
                  <c:v>国富亚洲机会</c:v>
                </c:pt>
                <c:pt idx="5">
                  <c:v>易方达亚洲精选</c:v>
                </c:pt>
                <c:pt idx="6">
                  <c:v>广发亚太精选</c:v>
                </c:pt>
                <c:pt idx="7">
                  <c:v>国投瑞银新兴市场</c:v>
                </c:pt>
                <c:pt idx="8">
                  <c:v>上投摩根新兴市场</c:v>
                </c:pt>
                <c:pt idx="9">
                  <c:v>建信新兴市场优选</c:v>
                </c:pt>
                <c:pt idx="10">
                  <c:v>工银瑞信全球配置</c:v>
                </c:pt>
                <c:pt idx="11">
                  <c:v>工银瑞信全球精选</c:v>
                </c:pt>
                <c:pt idx="12">
                  <c:v>华夏全球精选</c:v>
                </c:pt>
                <c:pt idx="13">
                  <c:v>交银环球精选</c:v>
                </c:pt>
                <c:pt idx="14">
                  <c:v>建信全球机遇</c:v>
                </c:pt>
                <c:pt idx="15">
                  <c:v>长盛环球景气行业</c:v>
                </c:pt>
                <c:pt idx="16">
                  <c:v>招商全球资源</c:v>
                </c:pt>
                <c:pt idx="17">
                  <c:v>建信全球资源</c:v>
                </c:pt>
                <c:pt idx="18">
                  <c:v>上投摩根全球天然资源</c:v>
                </c:pt>
                <c:pt idx="19">
                  <c:v>交银全球自然资源</c:v>
                </c:pt>
                <c:pt idx="20">
                  <c:v>富国全球顶级消费品</c:v>
                </c:pt>
                <c:pt idx="21">
                  <c:v>鹏华美国房地产</c:v>
                </c:pt>
                <c:pt idx="22">
                  <c:v>诺安全球收益不动产</c:v>
                </c:pt>
                <c:pt idx="23">
                  <c:v>嘉实全球房地产</c:v>
                </c:pt>
                <c:pt idx="24">
                  <c:v>海富通大中华精选</c:v>
                </c:pt>
                <c:pt idx="25">
                  <c:v>嘉实海外中国股票</c:v>
                </c:pt>
                <c:pt idx="26">
                  <c:v>华宝兴业中国成长</c:v>
                </c:pt>
                <c:pt idx="27">
                  <c:v>华安大中华升级</c:v>
                </c:pt>
                <c:pt idx="28">
                  <c:v>海富通海外精选</c:v>
                </c:pt>
                <c:pt idx="29">
                  <c:v>华安香港精选</c:v>
                </c:pt>
                <c:pt idx="30">
                  <c:v>富国中国中小盘</c:v>
                </c:pt>
                <c:pt idx="31">
                  <c:v>景顺长城大中华</c:v>
                </c:pt>
              </c:strCache>
            </c:strRef>
          </c:cat>
          <c:val>
            <c:numRef>
              <c:f>Sheet3!$H$2:$H$33</c:f>
              <c:numCache>
                <c:formatCode>0.00_);[Red]\(0.00\)</c:formatCode>
                <c:ptCount val="32"/>
                <c:pt idx="0">
                  <c:v>95.388763427734318</c:v>
                </c:pt>
                <c:pt idx="1">
                  <c:v>77.940116882324233</c:v>
                </c:pt>
                <c:pt idx="2">
                  <c:v>94.145919799804702</c:v>
                </c:pt>
                <c:pt idx="3">
                  <c:v>90.764495849609375</c:v>
                </c:pt>
                <c:pt idx="4">
                  <c:v>85.274147033691236</c:v>
                </c:pt>
                <c:pt idx="5">
                  <c:v>91.087577819824048</c:v>
                </c:pt>
                <c:pt idx="6">
                  <c:v>87.050216674804702</c:v>
                </c:pt>
                <c:pt idx="7">
                  <c:v>96.152030944824048</c:v>
                </c:pt>
                <c:pt idx="8">
                  <c:v>93.088516235351548</c:v>
                </c:pt>
                <c:pt idx="9">
                  <c:v>92.4893798828125</c:v>
                </c:pt>
                <c:pt idx="10">
                  <c:v>93.220993041992315</c:v>
                </c:pt>
                <c:pt idx="11">
                  <c:v>96.190055847167969</c:v>
                </c:pt>
                <c:pt idx="12">
                  <c:v>86.128021240234318</c:v>
                </c:pt>
                <c:pt idx="13">
                  <c:v>87.845771789550639</c:v>
                </c:pt>
                <c:pt idx="14">
                  <c:v>86.877731323242159</c:v>
                </c:pt>
                <c:pt idx="15">
                  <c:v>76.978546142577969</c:v>
                </c:pt>
                <c:pt idx="16">
                  <c:v>90.330680847167969</c:v>
                </c:pt>
                <c:pt idx="17">
                  <c:v>78.061820983886733</c:v>
                </c:pt>
                <c:pt idx="18">
                  <c:v>81.279014587402344</c:v>
                </c:pt>
                <c:pt idx="19">
                  <c:v>83.783287048339844</c:v>
                </c:pt>
                <c:pt idx="20">
                  <c:v>93.473709106445199</c:v>
                </c:pt>
                <c:pt idx="21">
                  <c:v>79.357711791992202</c:v>
                </c:pt>
                <c:pt idx="22">
                  <c:v>82.38962554931652</c:v>
                </c:pt>
                <c:pt idx="23">
                  <c:v>93.294837951660156</c:v>
                </c:pt>
                <c:pt idx="24">
                  <c:v>89.54006195068358</c:v>
                </c:pt>
                <c:pt idx="25">
                  <c:v>95.468154907226562</c:v>
                </c:pt>
                <c:pt idx="26">
                  <c:v>87.623062133788778</c:v>
                </c:pt>
                <c:pt idx="27">
                  <c:v>91.278335571288878</c:v>
                </c:pt>
                <c:pt idx="28">
                  <c:v>88.261970520019531</c:v>
                </c:pt>
                <c:pt idx="29">
                  <c:v>90.371368408203111</c:v>
                </c:pt>
                <c:pt idx="30">
                  <c:v>75.492347717285057</c:v>
                </c:pt>
                <c:pt idx="31">
                  <c:v>88.785285949707145</c:v>
                </c:pt>
              </c:numCache>
            </c:numRef>
          </c:val>
        </c:ser>
        <c:ser>
          <c:idx val="1"/>
          <c:order val="1"/>
          <c:tx>
            <c:strRef>
              <c:f>Sheet3!$I$1</c:f>
              <c:strCache>
                <c:ptCount val="1"/>
                <c:pt idx="0">
                  <c:v>2013年中报</c:v>
                </c:pt>
              </c:strCache>
            </c:strRef>
          </c:tx>
          <c:cat>
            <c:strRef>
              <c:f>Sheet3!$G$2:$G$33</c:f>
              <c:strCache>
                <c:ptCount val="32"/>
                <c:pt idx="0">
                  <c:v>博时大中华亚太精选</c:v>
                </c:pt>
                <c:pt idx="1">
                  <c:v>华泰柏瑞亚洲企业</c:v>
                </c:pt>
                <c:pt idx="2">
                  <c:v>上投摩根亚太优势</c:v>
                </c:pt>
                <c:pt idx="3">
                  <c:v>汇添富亚澳精选</c:v>
                </c:pt>
                <c:pt idx="4">
                  <c:v>国富亚洲机会</c:v>
                </c:pt>
                <c:pt idx="5">
                  <c:v>易方达亚洲精选</c:v>
                </c:pt>
                <c:pt idx="6">
                  <c:v>广发亚太精选</c:v>
                </c:pt>
                <c:pt idx="7">
                  <c:v>国投瑞银新兴市场</c:v>
                </c:pt>
                <c:pt idx="8">
                  <c:v>上投摩根新兴市场</c:v>
                </c:pt>
                <c:pt idx="9">
                  <c:v>建信新兴市场优选</c:v>
                </c:pt>
                <c:pt idx="10">
                  <c:v>工银瑞信全球配置</c:v>
                </c:pt>
                <c:pt idx="11">
                  <c:v>工银瑞信全球精选</c:v>
                </c:pt>
                <c:pt idx="12">
                  <c:v>华夏全球精选</c:v>
                </c:pt>
                <c:pt idx="13">
                  <c:v>交银环球精选</c:v>
                </c:pt>
                <c:pt idx="14">
                  <c:v>建信全球机遇</c:v>
                </c:pt>
                <c:pt idx="15">
                  <c:v>长盛环球景气行业</c:v>
                </c:pt>
                <c:pt idx="16">
                  <c:v>招商全球资源</c:v>
                </c:pt>
                <c:pt idx="17">
                  <c:v>建信全球资源</c:v>
                </c:pt>
                <c:pt idx="18">
                  <c:v>上投摩根全球天然资源</c:v>
                </c:pt>
                <c:pt idx="19">
                  <c:v>交银全球自然资源</c:v>
                </c:pt>
                <c:pt idx="20">
                  <c:v>富国全球顶级消费品</c:v>
                </c:pt>
                <c:pt idx="21">
                  <c:v>鹏华美国房地产</c:v>
                </c:pt>
                <c:pt idx="22">
                  <c:v>诺安全球收益不动产</c:v>
                </c:pt>
                <c:pt idx="23">
                  <c:v>嘉实全球房地产</c:v>
                </c:pt>
                <c:pt idx="24">
                  <c:v>海富通大中华精选</c:v>
                </c:pt>
                <c:pt idx="25">
                  <c:v>嘉实海外中国股票</c:v>
                </c:pt>
                <c:pt idx="26">
                  <c:v>华宝兴业中国成长</c:v>
                </c:pt>
                <c:pt idx="27">
                  <c:v>华安大中华升级</c:v>
                </c:pt>
                <c:pt idx="28">
                  <c:v>海富通海外精选</c:v>
                </c:pt>
                <c:pt idx="29">
                  <c:v>华安香港精选</c:v>
                </c:pt>
                <c:pt idx="30">
                  <c:v>富国中国中小盘</c:v>
                </c:pt>
                <c:pt idx="31">
                  <c:v>景顺长城大中华</c:v>
                </c:pt>
              </c:strCache>
            </c:strRef>
          </c:cat>
          <c:val>
            <c:numRef>
              <c:f>Sheet3!$I$2:$I$33</c:f>
              <c:numCache>
                <c:formatCode>0.00_);[Red]\(0.00\)</c:formatCode>
                <c:ptCount val="32"/>
                <c:pt idx="0">
                  <c:v>92.982246398925781</c:v>
                </c:pt>
                <c:pt idx="1">
                  <c:v>82.596885681152457</c:v>
                </c:pt>
                <c:pt idx="2">
                  <c:v>92.6439208984375</c:v>
                </c:pt>
                <c:pt idx="3">
                  <c:v>90.678634643554517</c:v>
                </c:pt>
                <c:pt idx="4">
                  <c:v>73.039695739746094</c:v>
                </c:pt>
                <c:pt idx="5">
                  <c:v>90.256851196288878</c:v>
                </c:pt>
                <c:pt idx="6">
                  <c:v>83.417343139648437</c:v>
                </c:pt>
                <c:pt idx="7">
                  <c:v>96.088050842285057</c:v>
                </c:pt>
                <c:pt idx="8">
                  <c:v>90.541404724121094</c:v>
                </c:pt>
                <c:pt idx="9">
                  <c:v>87.485336303710767</c:v>
                </c:pt>
                <c:pt idx="10">
                  <c:v>93.92433929443358</c:v>
                </c:pt>
                <c:pt idx="11">
                  <c:v>92.844924926757827</c:v>
                </c:pt>
                <c:pt idx="12">
                  <c:v>86.346298217773438</c:v>
                </c:pt>
                <c:pt idx="13">
                  <c:v>86.317260742187599</c:v>
                </c:pt>
                <c:pt idx="14">
                  <c:v>79.750465393066378</c:v>
                </c:pt>
                <c:pt idx="15">
                  <c:v>77.150825500488139</c:v>
                </c:pt>
                <c:pt idx="16">
                  <c:v>88.537986755371094</c:v>
                </c:pt>
                <c:pt idx="17">
                  <c:v>80.299209594726563</c:v>
                </c:pt>
                <c:pt idx="18">
                  <c:v>78.054740905761719</c:v>
                </c:pt>
                <c:pt idx="19">
                  <c:v>76.544479370117301</c:v>
                </c:pt>
                <c:pt idx="20">
                  <c:v>92.950248718261719</c:v>
                </c:pt>
                <c:pt idx="21">
                  <c:v>91.331802368164048</c:v>
                </c:pt>
                <c:pt idx="22">
                  <c:v>84.080810546875</c:v>
                </c:pt>
                <c:pt idx="23">
                  <c:v>83.696586608886719</c:v>
                </c:pt>
                <c:pt idx="24">
                  <c:v>94.163368225097656</c:v>
                </c:pt>
                <c:pt idx="25">
                  <c:v>93.291358947753878</c:v>
                </c:pt>
                <c:pt idx="26">
                  <c:v>90.83563232421875</c:v>
                </c:pt>
                <c:pt idx="27">
                  <c:v>90.642715454101548</c:v>
                </c:pt>
                <c:pt idx="28">
                  <c:v>90.617469787597727</c:v>
                </c:pt>
                <c:pt idx="29">
                  <c:v>89.810317993164048</c:v>
                </c:pt>
                <c:pt idx="30">
                  <c:v>87.543441772460767</c:v>
                </c:pt>
                <c:pt idx="31">
                  <c:v>66.617782592773267</c:v>
                </c:pt>
              </c:numCache>
            </c:numRef>
          </c:val>
        </c:ser>
        <c:ser>
          <c:idx val="2"/>
          <c:order val="2"/>
          <c:tx>
            <c:strRef>
              <c:f>Sheet3!$J$1</c:f>
              <c:strCache>
                <c:ptCount val="1"/>
                <c:pt idx="0">
                  <c:v>2013年三季报</c:v>
                </c:pt>
              </c:strCache>
            </c:strRef>
          </c:tx>
          <c:cat>
            <c:strRef>
              <c:f>Sheet3!$G$2:$G$33</c:f>
              <c:strCache>
                <c:ptCount val="32"/>
                <c:pt idx="0">
                  <c:v>博时大中华亚太精选</c:v>
                </c:pt>
                <c:pt idx="1">
                  <c:v>华泰柏瑞亚洲企业</c:v>
                </c:pt>
                <c:pt idx="2">
                  <c:v>上投摩根亚太优势</c:v>
                </c:pt>
                <c:pt idx="3">
                  <c:v>汇添富亚澳精选</c:v>
                </c:pt>
                <c:pt idx="4">
                  <c:v>国富亚洲机会</c:v>
                </c:pt>
                <c:pt idx="5">
                  <c:v>易方达亚洲精选</c:v>
                </c:pt>
                <c:pt idx="6">
                  <c:v>广发亚太精选</c:v>
                </c:pt>
                <c:pt idx="7">
                  <c:v>国投瑞银新兴市场</c:v>
                </c:pt>
                <c:pt idx="8">
                  <c:v>上投摩根新兴市场</c:v>
                </c:pt>
                <c:pt idx="9">
                  <c:v>建信新兴市场优选</c:v>
                </c:pt>
                <c:pt idx="10">
                  <c:v>工银瑞信全球配置</c:v>
                </c:pt>
                <c:pt idx="11">
                  <c:v>工银瑞信全球精选</c:v>
                </c:pt>
                <c:pt idx="12">
                  <c:v>华夏全球精选</c:v>
                </c:pt>
                <c:pt idx="13">
                  <c:v>交银环球精选</c:v>
                </c:pt>
                <c:pt idx="14">
                  <c:v>建信全球机遇</c:v>
                </c:pt>
                <c:pt idx="15">
                  <c:v>长盛环球景气行业</c:v>
                </c:pt>
                <c:pt idx="16">
                  <c:v>招商全球资源</c:v>
                </c:pt>
                <c:pt idx="17">
                  <c:v>建信全球资源</c:v>
                </c:pt>
                <c:pt idx="18">
                  <c:v>上投摩根全球天然资源</c:v>
                </c:pt>
                <c:pt idx="19">
                  <c:v>交银全球自然资源</c:v>
                </c:pt>
                <c:pt idx="20">
                  <c:v>富国全球顶级消费品</c:v>
                </c:pt>
                <c:pt idx="21">
                  <c:v>鹏华美国房地产</c:v>
                </c:pt>
                <c:pt idx="22">
                  <c:v>诺安全球收益不动产</c:v>
                </c:pt>
                <c:pt idx="23">
                  <c:v>嘉实全球房地产</c:v>
                </c:pt>
                <c:pt idx="24">
                  <c:v>海富通大中华精选</c:v>
                </c:pt>
                <c:pt idx="25">
                  <c:v>嘉实海外中国股票</c:v>
                </c:pt>
                <c:pt idx="26">
                  <c:v>华宝兴业中国成长</c:v>
                </c:pt>
                <c:pt idx="27">
                  <c:v>华安大中华升级</c:v>
                </c:pt>
                <c:pt idx="28">
                  <c:v>海富通海外精选</c:v>
                </c:pt>
                <c:pt idx="29">
                  <c:v>华安香港精选</c:v>
                </c:pt>
                <c:pt idx="30">
                  <c:v>富国中国中小盘</c:v>
                </c:pt>
                <c:pt idx="31">
                  <c:v>景顺长城大中华</c:v>
                </c:pt>
              </c:strCache>
            </c:strRef>
          </c:cat>
          <c:val>
            <c:numRef>
              <c:f>Sheet3!$J$2:$J$33</c:f>
              <c:numCache>
                <c:formatCode>0.00_);[Red]\(0.00\)</c:formatCode>
                <c:ptCount val="32"/>
                <c:pt idx="0">
                  <c:v>84.823547363281094</c:v>
                </c:pt>
                <c:pt idx="1">
                  <c:v>71.350524902343764</c:v>
                </c:pt>
                <c:pt idx="2">
                  <c:v>95.777236938476548</c:v>
                </c:pt>
                <c:pt idx="3">
                  <c:v>86.868515014648438</c:v>
                </c:pt>
                <c:pt idx="4">
                  <c:v>89.753570556640469</c:v>
                </c:pt>
                <c:pt idx="5">
                  <c:v>93.011100769043139</c:v>
                </c:pt>
                <c:pt idx="6">
                  <c:v>85.744987487792997</c:v>
                </c:pt>
                <c:pt idx="7">
                  <c:v>97.066596984863295</c:v>
                </c:pt>
                <c:pt idx="8">
                  <c:v>96.580513000488281</c:v>
                </c:pt>
                <c:pt idx="9">
                  <c:v>88.384994506835938</c:v>
                </c:pt>
                <c:pt idx="10">
                  <c:v>94.827476501464659</c:v>
                </c:pt>
                <c:pt idx="11">
                  <c:v>97.562973022460767</c:v>
                </c:pt>
                <c:pt idx="12">
                  <c:v>81.74379730224608</c:v>
                </c:pt>
                <c:pt idx="13">
                  <c:v>93.531959533691378</c:v>
                </c:pt>
                <c:pt idx="14">
                  <c:v>86.31890869140625</c:v>
                </c:pt>
                <c:pt idx="15">
                  <c:v>81.906715393066378</c:v>
                </c:pt>
                <c:pt idx="16">
                  <c:v>86.601966857910156</c:v>
                </c:pt>
                <c:pt idx="17">
                  <c:v>89.733596801757813</c:v>
                </c:pt>
                <c:pt idx="18">
                  <c:v>83.986885070800781</c:v>
                </c:pt>
                <c:pt idx="19">
                  <c:v>88.573127746581903</c:v>
                </c:pt>
                <c:pt idx="20">
                  <c:v>91.706008911132812</c:v>
                </c:pt>
                <c:pt idx="21">
                  <c:v>91.176033020019489</c:v>
                </c:pt>
                <c:pt idx="22">
                  <c:v>100</c:v>
                </c:pt>
                <c:pt idx="23">
                  <c:v>93.329254150390611</c:v>
                </c:pt>
                <c:pt idx="24">
                  <c:v>82.673454284667969</c:v>
                </c:pt>
                <c:pt idx="25">
                  <c:v>94.618515014648409</c:v>
                </c:pt>
                <c:pt idx="26">
                  <c:v>95.886772155761477</c:v>
                </c:pt>
                <c:pt idx="27">
                  <c:v>91.774436950683409</c:v>
                </c:pt>
                <c:pt idx="28">
                  <c:v>79.969512939453111</c:v>
                </c:pt>
                <c:pt idx="29">
                  <c:v>89.899421691894531</c:v>
                </c:pt>
                <c:pt idx="30">
                  <c:v>83.829277038574048</c:v>
                </c:pt>
                <c:pt idx="31">
                  <c:v>88.501815795898466</c:v>
                </c:pt>
              </c:numCache>
            </c:numRef>
          </c:val>
        </c:ser>
        <c:gapWidth val="75"/>
        <c:overlap val="-25"/>
        <c:axId val="239833472"/>
        <c:axId val="239835008"/>
      </c:barChart>
      <c:catAx>
        <c:axId val="239833472"/>
        <c:scaling>
          <c:orientation val="minMax"/>
        </c:scaling>
        <c:axPos val="l"/>
        <c:majorTickMark val="none"/>
        <c:tickLblPos val="nextTo"/>
        <c:txPr>
          <a:bodyPr/>
          <a:lstStyle/>
          <a:p>
            <a:pPr>
              <a:defRPr sz="1000"/>
            </a:pPr>
            <a:endParaRPr lang="zh-CN"/>
          </a:p>
        </c:txPr>
        <c:crossAx val="239835008"/>
        <c:crosses val="autoZero"/>
        <c:auto val="1"/>
        <c:lblAlgn val="ctr"/>
        <c:lblOffset val="100"/>
      </c:catAx>
      <c:valAx>
        <c:axId val="239835008"/>
        <c:scaling>
          <c:orientation val="minMax"/>
          <c:max val="100"/>
        </c:scaling>
        <c:axPos val="b"/>
        <c:majorGridlines/>
        <c:numFmt formatCode="0.00_);[Red]\(0.00\)" sourceLinked="1"/>
        <c:majorTickMark val="none"/>
        <c:tickLblPos val="nextTo"/>
        <c:spPr>
          <a:ln w="9525">
            <a:noFill/>
          </a:ln>
        </c:spPr>
        <c:crossAx val="239833472"/>
        <c:crosses val="autoZero"/>
        <c:crossBetween val="between"/>
      </c:valAx>
    </c:plotArea>
    <c:legend>
      <c:legendPos val="b"/>
    </c:legend>
    <c:plotVisOnly val="1"/>
  </c:chart>
  <c:spPr>
    <a:ln>
      <a:noFill/>
    </a:ln>
  </c:sp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style val="14"/>
  <c:chart>
    <c:autoTitleDeleted val="1"/>
    <c:plotArea>
      <c:layout>
        <c:manualLayout>
          <c:layoutTarget val="inner"/>
          <c:xMode val="edge"/>
          <c:yMode val="edge"/>
          <c:x val="8.40433070866142E-2"/>
          <c:y val="2.8993146689997092E-2"/>
          <c:w val="0.9074996505684767"/>
          <c:h val="0.74528543307086903"/>
        </c:manualLayout>
      </c:layout>
      <c:lineChart>
        <c:grouping val="standard"/>
        <c:ser>
          <c:idx val="0"/>
          <c:order val="0"/>
          <c:tx>
            <c:strRef>
              <c:f>BIAO2!$A$5</c:f>
              <c:strCache>
                <c:ptCount val="1"/>
                <c:pt idx="0">
                  <c:v>基金仓位</c:v>
                </c:pt>
              </c:strCache>
            </c:strRef>
          </c:tx>
          <c:cat>
            <c:numRef>
              <c:f>BIAO2!$B$4:$T$4</c:f>
              <c:numCache>
                <c:formatCode>yyyy/m/dd</c:formatCode>
                <c:ptCount val="19"/>
                <c:pt idx="0">
                  <c:v>39903</c:v>
                </c:pt>
                <c:pt idx="1">
                  <c:v>39994</c:v>
                </c:pt>
                <c:pt idx="2">
                  <c:v>40086</c:v>
                </c:pt>
                <c:pt idx="3">
                  <c:v>40178</c:v>
                </c:pt>
                <c:pt idx="4">
                  <c:v>40268</c:v>
                </c:pt>
                <c:pt idx="5">
                  <c:v>40359</c:v>
                </c:pt>
                <c:pt idx="6">
                  <c:v>40451</c:v>
                </c:pt>
                <c:pt idx="7">
                  <c:v>40543</c:v>
                </c:pt>
                <c:pt idx="8">
                  <c:v>40633</c:v>
                </c:pt>
                <c:pt idx="9">
                  <c:v>40724</c:v>
                </c:pt>
                <c:pt idx="10">
                  <c:v>40816</c:v>
                </c:pt>
                <c:pt idx="11">
                  <c:v>40908</c:v>
                </c:pt>
                <c:pt idx="12">
                  <c:v>40999</c:v>
                </c:pt>
                <c:pt idx="13">
                  <c:v>41090</c:v>
                </c:pt>
                <c:pt idx="14">
                  <c:v>41182</c:v>
                </c:pt>
                <c:pt idx="15">
                  <c:v>41274</c:v>
                </c:pt>
                <c:pt idx="16">
                  <c:v>41364</c:v>
                </c:pt>
                <c:pt idx="17">
                  <c:v>41455</c:v>
                </c:pt>
                <c:pt idx="18">
                  <c:v>41547</c:v>
                </c:pt>
              </c:numCache>
            </c:numRef>
          </c:cat>
          <c:val>
            <c:numRef>
              <c:f>BIAO2!$B$5:$T$5</c:f>
              <c:numCache>
                <c:formatCode>0.00_);[Red]\(0.00\)</c:formatCode>
                <c:ptCount val="19"/>
                <c:pt idx="0">
                  <c:v>58.86</c:v>
                </c:pt>
                <c:pt idx="1">
                  <c:v>58.760000000000012</c:v>
                </c:pt>
                <c:pt idx="2">
                  <c:v>58.525000000000013</c:v>
                </c:pt>
                <c:pt idx="3">
                  <c:v>60.240000000000009</c:v>
                </c:pt>
                <c:pt idx="4">
                  <c:v>60.385000000000005</c:v>
                </c:pt>
                <c:pt idx="5">
                  <c:v>61.27000000000001</c:v>
                </c:pt>
                <c:pt idx="6">
                  <c:v>66.009999999999991</c:v>
                </c:pt>
                <c:pt idx="7">
                  <c:v>66.569999999999993</c:v>
                </c:pt>
                <c:pt idx="8">
                  <c:v>71.47</c:v>
                </c:pt>
                <c:pt idx="9">
                  <c:v>75.395714285714277</c:v>
                </c:pt>
                <c:pt idx="10">
                  <c:v>71.368181818181583</c:v>
                </c:pt>
                <c:pt idx="11">
                  <c:v>75.473846153846026</c:v>
                </c:pt>
                <c:pt idx="12">
                  <c:v>79.588666666666668</c:v>
                </c:pt>
                <c:pt idx="13">
                  <c:v>81.056666666666672</c:v>
                </c:pt>
                <c:pt idx="14">
                  <c:v>82.314000000000007</c:v>
                </c:pt>
                <c:pt idx="15">
                  <c:v>81.808125000000004</c:v>
                </c:pt>
                <c:pt idx="16">
                  <c:v>85.574999999999989</c:v>
                </c:pt>
                <c:pt idx="17">
                  <c:v>79.790625000000119</c:v>
                </c:pt>
                <c:pt idx="18">
                  <c:v>81.2</c:v>
                </c:pt>
              </c:numCache>
            </c:numRef>
          </c:val>
        </c:ser>
        <c:marker val="1"/>
        <c:axId val="239884928"/>
        <c:axId val="239886720"/>
      </c:lineChart>
      <c:catAx>
        <c:axId val="239884928"/>
        <c:scaling>
          <c:orientation val="minMax"/>
        </c:scaling>
        <c:axPos val="b"/>
        <c:numFmt formatCode="yyyy/mm;@" sourceLinked="0"/>
        <c:tickLblPos val="low"/>
        <c:crossAx val="239886720"/>
        <c:crosses val="autoZero"/>
        <c:lblAlgn val="ctr"/>
        <c:lblOffset val="100"/>
      </c:catAx>
      <c:valAx>
        <c:axId val="239886720"/>
        <c:scaling>
          <c:orientation val="minMax"/>
          <c:min val="50"/>
        </c:scaling>
        <c:axPos val="l"/>
        <c:numFmt formatCode="0.00_);[Red]\(0.00\)" sourceLinked="1"/>
        <c:tickLblPos val="low"/>
        <c:crossAx val="239884928"/>
        <c:crosses val="autoZero"/>
        <c:crossBetween val="between"/>
      </c:valAx>
    </c:plotArea>
    <c:plotVisOnly val="1"/>
    <c:dispBlanksAs val="span"/>
  </c:chart>
  <c:spPr>
    <a:ln>
      <a:noFill/>
    </a:ln>
  </c:sp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hart>
    <c:autoTitleDeleted val="1"/>
    <c:plotArea>
      <c:layout/>
      <c:barChart>
        <c:barDir val="bar"/>
        <c:grouping val="clustered"/>
        <c:ser>
          <c:idx val="0"/>
          <c:order val="0"/>
          <c:tx>
            <c:strRef>
              <c:f>'基金仓位 (20133)'!$AH$3</c:f>
              <c:strCache>
                <c:ptCount val="1"/>
                <c:pt idx="0">
                  <c:v>2013年一季报</c:v>
                </c:pt>
              </c:strCache>
            </c:strRef>
          </c:tx>
          <c:cat>
            <c:strRef>
              <c:f>'基金仓位 (20133)'!$AG$4:$AG$20</c:f>
              <c:strCache>
                <c:ptCount val="17"/>
                <c:pt idx="0">
                  <c:v>华宝兴业成熟市场</c:v>
                </c:pt>
                <c:pt idx="1">
                  <c:v>南方全球精选</c:v>
                </c:pt>
                <c:pt idx="2">
                  <c:v>银华全球核心优选</c:v>
                </c:pt>
                <c:pt idx="3">
                  <c:v>鹏华环球发现</c:v>
                </c:pt>
                <c:pt idx="4">
                  <c:v>银华抗通胀主题</c:v>
                </c:pt>
                <c:pt idx="5">
                  <c:v>中银全球策略</c:v>
                </c:pt>
                <c:pt idx="6">
                  <c:v>泰达宏利全球新格局</c:v>
                </c:pt>
                <c:pt idx="7">
                  <c:v>诺安全球黄金</c:v>
                </c:pt>
                <c:pt idx="8">
                  <c:v>博时抗通胀</c:v>
                </c:pt>
                <c:pt idx="9">
                  <c:v>易方达黄金主题</c:v>
                </c:pt>
                <c:pt idx="10">
                  <c:v>嘉实黄金</c:v>
                </c:pt>
                <c:pt idx="11">
                  <c:v>汇添富黄金及贵金属</c:v>
                </c:pt>
                <c:pt idx="12">
                  <c:v>国泰大宗商品</c:v>
                </c:pt>
                <c:pt idx="13">
                  <c:v>信诚金砖四国</c:v>
                </c:pt>
                <c:pt idx="14">
                  <c:v>诺安油气能源</c:v>
                </c:pt>
                <c:pt idx="15">
                  <c:v>富国全球债券</c:v>
                </c:pt>
                <c:pt idx="16">
                  <c:v>融通丰利四分法</c:v>
                </c:pt>
              </c:strCache>
            </c:strRef>
          </c:cat>
          <c:val>
            <c:numRef>
              <c:f>'基金仓位 (20133)'!$AH$4:$AH$20</c:f>
              <c:numCache>
                <c:formatCode>0.00_);[Red]\(0.00\)</c:formatCode>
                <c:ptCount val="17"/>
                <c:pt idx="0">
                  <c:v>94.8</c:v>
                </c:pt>
                <c:pt idx="1">
                  <c:v>59.849999999999994</c:v>
                </c:pt>
                <c:pt idx="2">
                  <c:v>78.63</c:v>
                </c:pt>
                <c:pt idx="3">
                  <c:v>93.45</c:v>
                </c:pt>
                <c:pt idx="4">
                  <c:v>92.81</c:v>
                </c:pt>
                <c:pt idx="5">
                  <c:v>84.36</c:v>
                </c:pt>
                <c:pt idx="6">
                  <c:v>69.39</c:v>
                </c:pt>
                <c:pt idx="7">
                  <c:v>93.649999999999991</c:v>
                </c:pt>
                <c:pt idx="8">
                  <c:v>90.57</c:v>
                </c:pt>
                <c:pt idx="9">
                  <c:v>94.27</c:v>
                </c:pt>
                <c:pt idx="10">
                  <c:v>94.5</c:v>
                </c:pt>
                <c:pt idx="11">
                  <c:v>94.13</c:v>
                </c:pt>
                <c:pt idx="12">
                  <c:v>72.760000000000005</c:v>
                </c:pt>
                <c:pt idx="13">
                  <c:v>70.149999999999991</c:v>
                </c:pt>
                <c:pt idx="14">
                  <c:v>93.86999999999999</c:v>
                </c:pt>
                <c:pt idx="15">
                  <c:v>92.01</c:v>
                </c:pt>
              </c:numCache>
            </c:numRef>
          </c:val>
        </c:ser>
        <c:ser>
          <c:idx val="1"/>
          <c:order val="1"/>
          <c:tx>
            <c:strRef>
              <c:f>'基金仓位 (20133)'!$AI$3</c:f>
              <c:strCache>
                <c:ptCount val="1"/>
                <c:pt idx="0">
                  <c:v>2013年中报</c:v>
                </c:pt>
              </c:strCache>
            </c:strRef>
          </c:tx>
          <c:cat>
            <c:strRef>
              <c:f>'基金仓位 (20133)'!$AG$4:$AG$20</c:f>
              <c:strCache>
                <c:ptCount val="17"/>
                <c:pt idx="0">
                  <c:v>华宝兴业成熟市场</c:v>
                </c:pt>
                <c:pt idx="1">
                  <c:v>南方全球精选</c:v>
                </c:pt>
                <c:pt idx="2">
                  <c:v>银华全球核心优选</c:v>
                </c:pt>
                <c:pt idx="3">
                  <c:v>鹏华环球发现</c:v>
                </c:pt>
                <c:pt idx="4">
                  <c:v>银华抗通胀主题</c:v>
                </c:pt>
                <c:pt idx="5">
                  <c:v>中银全球策略</c:v>
                </c:pt>
                <c:pt idx="6">
                  <c:v>泰达宏利全球新格局</c:v>
                </c:pt>
                <c:pt idx="7">
                  <c:v>诺安全球黄金</c:v>
                </c:pt>
                <c:pt idx="8">
                  <c:v>博时抗通胀</c:v>
                </c:pt>
                <c:pt idx="9">
                  <c:v>易方达黄金主题</c:v>
                </c:pt>
                <c:pt idx="10">
                  <c:v>嘉实黄金</c:v>
                </c:pt>
                <c:pt idx="11">
                  <c:v>汇添富黄金及贵金属</c:v>
                </c:pt>
                <c:pt idx="12">
                  <c:v>国泰大宗商品</c:v>
                </c:pt>
                <c:pt idx="13">
                  <c:v>信诚金砖四国</c:v>
                </c:pt>
                <c:pt idx="14">
                  <c:v>诺安油气能源</c:v>
                </c:pt>
                <c:pt idx="15">
                  <c:v>富国全球债券</c:v>
                </c:pt>
                <c:pt idx="16">
                  <c:v>融通丰利四分法</c:v>
                </c:pt>
              </c:strCache>
            </c:strRef>
          </c:cat>
          <c:val>
            <c:numRef>
              <c:f>'基金仓位 (20133)'!$AI$4:$AI$20</c:f>
              <c:numCache>
                <c:formatCode>0.00_);[Red]\(0.00\)</c:formatCode>
                <c:ptCount val="17"/>
                <c:pt idx="0">
                  <c:v>72.5</c:v>
                </c:pt>
                <c:pt idx="1">
                  <c:v>57.349999999999994</c:v>
                </c:pt>
                <c:pt idx="2">
                  <c:v>74.75</c:v>
                </c:pt>
                <c:pt idx="3">
                  <c:v>88.73</c:v>
                </c:pt>
                <c:pt idx="4">
                  <c:v>82.7</c:v>
                </c:pt>
                <c:pt idx="5">
                  <c:v>85.679999999999978</c:v>
                </c:pt>
                <c:pt idx="6">
                  <c:v>71.010000000000005</c:v>
                </c:pt>
                <c:pt idx="7">
                  <c:v>90</c:v>
                </c:pt>
                <c:pt idx="8">
                  <c:v>80.649999999999991</c:v>
                </c:pt>
                <c:pt idx="9">
                  <c:v>78.739999999999995</c:v>
                </c:pt>
                <c:pt idx="10">
                  <c:v>89.27</c:v>
                </c:pt>
                <c:pt idx="11">
                  <c:v>93.82</c:v>
                </c:pt>
                <c:pt idx="12">
                  <c:v>65.31</c:v>
                </c:pt>
                <c:pt idx="13">
                  <c:v>64.95</c:v>
                </c:pt>
                <c:pt idx="14">
                  <c:v>89.410000000000025</c:v>
                </c:pt>
                <c:pt idx="15">
                  <c:v>91.78</c:v>
                </c:pt>
              </c:numCache>
            </c:numRef>
          </c:val>
        </c:ser>
        <c:ser>
          <c:idx val="2"/>
          <c:order val="2"/>
          <c:tx>
            <c:strRef>
              <c:f>'基金仓位 (20133)'!$AJ$3</c:f>
              <c:strCache>
                <c:ptCount val="1"/>
                <c:pt idx="0">
                  <c:v>2013年三季报</c:v>
                </c:pt>
              </c:strCache>
            </c:strRef>
          </c:tx>
          <c:cat>
            <c:strRef>
              <c:f>'基金仓位 (20133)'!$AG$4:$AG$20</c:f>
              <c:strCache>
                <c:ptCount val="17"/>
                <c:pt idx="0">
                  <c:v>华宝兴业成熟市场</c:v>
                </c:pt>
                <c:pt idx="1">
                  <c:v>南方全球精选</c:v>
                </c:pt>
                <c:pt idx="2">
                  <c:v>银华全球核心优选</c:v>
                </c:pt>
                <c:pt idx="3">
                  <c:v>鹏华环球发现</c:v>
                </c:pt>
                <c:pt idx="4">
                  <c:v>银华抗通胀主题</c:v>
                </c:pt>
                <c:pt idx="5">
                  <c:v>中银全球策略</c:v>
                </c:pt>
                <c:pt idx="6">
                  <c:v>泰达宏利全球新格局</c:v>
                </c:pt>
                <c:pt idx="7">
                  <c:v>诺安全球黄金</c:v>
                </c:pt>
                <c:pt idx="8">
                  <c:v>博时抗通胀</c:v>
                </c:pt>
                <c:pt idx="9">
                  <c:v>易方达黄金主题</c:v>
                </c:pt>
                <c:pt idx="10">
                  <c:v>嘉实黄金</c:v>
                </c:pt>
                <c:pt idx="11">
                  <c:v>汇添富黄金及贵金属</c:v>
                </c:pt>
                <c:pt idx="12">
                  <c:v>国泰大宗商品</c:v>
                </c:pt>
                <c:pt idx="13">
                  <c:v>信诚金砖四国</c:v>
                </c:pt>
                <c:pt idx="14">
                  <c:v>诺安油气能源</c:v>
                </c:pt>
                <c:pt idx="15">
                  <c:v>富国全球债券</c:v>
                </c:pt>
                <c:pt idx="16">
                  <c:v>融通丰利四分法</c:v>
                </c:pt>
              </c:strCache>
            </c:strRef>
          </c:cat>
          <c:val>
            <c:numRef>
              <c:f>'基金仓位 (20133)'!$AJ$4:$AJ$20</c:f>
              <c:numCache>
                <c:formatCode>0.00_);[Red]\(0.00\)</c:formatCode>
                <c:ptCount val="17"/>
                <c:pt idx="0">
                  <c:v>83.43</c:v>
                </c:pt>
                <c:pt idx="1">
                  <c:v>54.47</c:v>
                </c:pt>
                <c:pt idx="2">
                  <c:v>81.849999999999994</c:v>
                </c:pt>
                <c:pt idx="3">
                  <c:v>93.440000000000026</c:v>
                </c:pt>
                <c:pt idx="4">
                  <c:v>85.79</c:v>
                </c:pt>
                <c:pt idx="5">
                  <c:v>69.69</c:v>
                </c:pt>
                <c:pt idx="6">
                  <c:v>75.239999999999995</c:v>
                </c:pt>
                <c:pt idx="7">
                  <c:v>92.5</c:v>
                </c:pt>
                <c:pt idx="8">
                  <c:v>79.599999999999994</c:v>
                </c:pt>
                <c:pt idx="9">
                  <c:v>75.11999999999999</c:v>
                </c:pt>
                <c:pt idx="10">
                  <c:v>94.16</c:v>
                </c:pt>
                <c:pt idx="11">
                  <c:v>94.33</c:v>
                </c:pt>
                <c:pt idx="12">
                  <c:v>75.209999999999994</c:v>
                </c:pt>
                <c:pt idx="13">
                  <c:v>64.95</c:v>
                </c:pt>
                <c:pt idx="14">
                  <c:v>96.169999999999987</c:v>
                </c:pt>
                <c:pt idx="15">
                  <c:v>83.27</c:v>
                </c:pt>
                <c:pt idx="16">
                  <c:v>70.5</c:v>
                </c:pt>
              </c:numCache>
            </c:numRef>
          </c:val>
        </c:ser>
        <c:gapWidth val="75"/>
        <c:overlap val="-25"/>
        <c:axId val="239949696"/>
        <c:axId val="239951232"/>
      </c:barChart>
      <c:catAx>
        <c:axId val="239949696"/>
        <c:scaling>
          <c:orientation val="minMax"/>
        </c:scaling>
        <c:axPos val="l"/>
        <c:majorTickMark val="none"/>
        <c:tickLblPos val="nextTo"/>
        <c:txPr>
          <a:bodyPr/>
          <a:lstStyle/>
          <a:p>
            <a:pPr>
              <a:defRPr sz="1000"/>
            </a:pPr>
            <a:endParaRPr lang="zh-CN"/>
          </a:p>
        </c:txPr>
        <c:crossAx val="239951232"/>
        <c:crosses val="autoZero"/>
        <c:auto val="1"/>
        <c:lblAlgn val="ctr"/>
        <c:lblOffset val="100"/>
      </c:catAx>
      <c:valAx>
        <c:axId val="239951232"/>
        <c:scaling>
          <c:orientation val="minMax"/>
          <c:max val="100"/>
        </c:scaling>
        <c:axPos val="b"/>
        <c:majorGridlines/>
        <c:numFmt formatCode="0.00_);[Red]\(0.00\)" sourceLinked="1"/>
        <c:majorTickMark val="none"/>
        <c:tickLblPos val="nextTo"/>
        <c:spPr>
          <a:ln w="9525">
            <a:noFill/>
          </a:ln>
        </c:spPr>
        <c:crossAx val="239949696"/>
        <c:crosses val="autoZero"/>
        <c:crossBetween val="between"/>
      </c:valAx>
    </c:plotArea>
    <c:legend>
      <c:legendPos val="b"/>
    </c:legend>
    <c:plotVisOnly val="1"/>
  </c:chart>
  <c:spPr>
    <a:ln>
      <a:noFill/>
    </a:ln>
  </c:sp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hart>
    <c:plotArea>
      <c:layout/>
      <c:areaChart>
        <c:grouping val="percentStacked"/>
        <c:ser>
          <c:idx val="0"/>
          <c:order val="0"/>
          <c:tx>
            <c:strRef>
              <c:f>biao!$A$3</c:f>
              <c:strCache>
                <c:ptCount val="1"/>
                <c:pt idx="0">
                  <c:v>印度</c:v>
                </c:pt>
              </c:strCache>
            </c:strRef>
          </c:tx>
          <c:cat>
            <c:numRef>
              <c:f>biao!$B$2:$G$2</c:f>
              <c:numCache>
                <c:formatCode>yyyy/m/dd</c:formatCode>
                <c:ptCount val="6"/>
                <c:pt idx="0">
                  <c:v>41090</c:v>
                </c:pt>
                <c:pt idx="1">
                  <c:v>41182</c:v>
                </c:pt>
                <c:pt idx="2">
                  <c:v>41274</c:v>
                </c:pt>
                <c:pt idx="3">
                  <c:v>41364</c:v>
                </c:pt>
                <c:pt idx="4">
                  <c:v>41455</c:v>
                </c:pt>
                <c:pt idx="5">
                  <c:v>41547</c:v>
                </c:pt>
              </c:numCache>
            </c:numRef>
          </c:cat>
          <c:val>
            <c:numRef>
              <c:f>biao!$B$3:$G$3</c:f>
              <c:numCache>
                <c:formatCode>#,##0.00</c:formatCode>
                <c:ptCount val="6"/>
                <c:pt idx="0">
                  <c:v>2.2744784375881451</c:v>
                </c:pt>
                <c:pt idx="1">
                  <c:v>3.3941115831080748</c:v>
                </c:pt>
                <c:pt idx="2">
                  <c:v>3.1583003537651519</c:v>
                </c:pt>
                <c:pt idx="3">
                  <c:v>3.0590197423318752</c:v>
                </c:pt>
                <c:pt idx="4" formatCode="0.00_);[Red]\(0.00\)">
                  <c:v>3.2133931723599747</c:v>
                </c:pt>
                <c:pt idx="5">
                  <c:v>2.0175028820122614</c:v>
                </c:pt>
              </c:numCache>
            </c:numRef>
          </c:val>
        </c:ser>
        <c:ser>
          <c:idx val="1"/>
          <c:order val="1"/>
          <c:tx>
            <c:strRef>
              <c:f>biao!$A$4</c:f>
              <c:strCache>
                <c:ptCount val="1"/>
                <c:pt idx="0">
                  <c:v>中国台湾</c:v>
                </c:pt>
              </c:strCache>
            </c:strRef>
          </c:tx>
          <c:cat>
            <c:numRef>
              <c:f>biao!$B$2:$G$2</c:f>
              <c:numCache>
                <c:formatCode>yyyy/m/dd</c:formatCode>
                <c:ptCount val="6"/>
                <c:pt idx="0">
                  <c:v>41090</c:v>
                </c:pt>
                <c:pt idx="1">
                  <c:v>41182</c:v>
                </c:pt>
                <c:pt idx="2">
                  <c:v>41274</c:v>
                </c:pt>
                <c:pt idx="3">
                  <c:v>41364</c:v>
                </c:pt>
                <c:pt idx="4">
                  <c:v>41455</c:v>
                </c:pt>
                <c:pt idx="5">
                  <c:v>41547</c:v>
                </c:pt>
              </c:numCache>
            </c:numRef>
          </c:cat>
          <c:val>
            <c:numRef>
              <c:f>biao!$B$4:$G$4</c:f>
              <c:numCache>
                <c:formatCode>#,##0.00</c:formatCode>
                <c:ptCount val="6"/>
                <c:pt idx="0">
                  <c:v>2.935219833238806</c:v>
                </c:pt>
                <c:pt idx="1">
                  <c:v>3.156365144167693</c:v>
                </c:pt>
                <c:pt idx="2">
                  <c:v>2.7915822569899911</c:v>
                </c:pt>
                <c:pt idx="3">
                  <c:v>3.0146240139663396</c:v>
                </c:pt>
                <c:pt idx="4" formatCode="0.00_);[Red]\(0.00\)">
                  <c:v>3.3947463881458608</c:v>
                </c:pt>
                <c:pt idx="5">
                  <c:v>2.7912855391985372</c:v>
                </c:pt>
              </c:numCache>
            </c:numRef>
          </c:val>
        </c:ser>
        <c:ser>
          <c:idx val="2"/>
          <c:order val="2"/>
          <c:tx>
            <c:strRef>
              <c:f>biao!$A$5</c:f>
              <c:strCache>
                <c:ptCount val="1"/>
                <c:pt idx="0">
                  <c:v>泰国</c:v>
                </c:pt>
              </c:strCache>
            </c:strRef>
          </c:tx>
          <c:cat>
            <c:numRef>
              <c:f>biao!$B$2:$G$2</c:f>
              <c:numCache>
                <c:formatCode>yyyy/m/dd</c:formatCode>
                <c:ptCount val="6"/>
                <c:pt idx="0">
                  <c:v>41090</c:v>
                </c:pt>
                <c:pt idx="1">
                  <c:v>41182</c:v>
                </c:pt>
                <c:pt idx="2">
                  <c:v>41274</c:v>
                </c:pt>
                <c:pt idx="3">
                  <c:v>41364</c:v>
                </c:pt>
                <c:pt idx="4">
                  <c:v>41455</c:v>
                </c:pt>
                <c:pt idx="5">
                  <c:v>41547</c:v>
                </c:pt>
              </c:numCache>
            </c:numRef>
          </c:cat>
          <c:val>
            <c:numRef>
              <c:f>biao!$B$5:$G$5</c:f>
              <c:numCache>
                <c:formatCode>#,##0.00</c:formatCode>
                <c:ptCount val="6"/>
                <c:pt idx="0">
                  <c:v>2.3259259713171998</c:v>
                </c:pt>
                <c:pt idx="1">
                  <c:v>2.0910438687784318</c:v>
                </c:pt>
                <c:pt idx="2">
                  <c:v>1.5969980035088385</c:v>
                </c:pt>
                <c:pt idx="3">
                  <c:v>2.0809239211228259</c:v>
                </c:pt>
                <c:pt idx="4" formatCode="0.00_);[Red]\(0.00\)">
                  <c:v>2.0530022518241697</c:v>
                </c:pt>
                <c:pt idx="5">
                  <c:v>1.5597557067968841</c:v>
                </c:pt>
              </c:numCache>
            </c:numRef>
          </c:val>
        </c:ser>
        <c:ser>
          <c:idx val="3"/>
          <c:order val="3"/>
          <c:tx>
            <c:strRef>
              <c:f>biao!$A$6</c:f>
              <c:strCache>
                <c:ptCount val="1"/>
                <c:pt idx="0">
                  <c:v>其他地区</c:v>
                </c:pt>
              </c:strCache>
            </c:strRef>
          </c:tx>
          <c:cat>
            <c:numRef>
              <c:f>biao!$B$2:$G$2</c:f>
              <c:numCache>
                <c:formatCode>yyyy/m/dd</c:formatCode>
                <c:ptCount val="6"/>
                <c:pt idx="0">
                  <c:v>41090</c:v>
                </c:pt>
                <c:pt idx="1">
                  <c:v>41182</c:v>
                </c:pt>
                <c:pt idx="2">
                  <c:v>41274</c:v>
                </c:pt>
                <c:pt idx="3">
                  <c:v>41364</c:v>
                </c:pt>
                <c:pt idx="4">
                  <c:v>41455</c:v>
                </c:pt>
                <c:pt idx="5">
                  <c:v>41547</c:v>
                </c:pt>
              </c:numCache>
            </c:numRef>
          </c:cat>
          <c:val>
            <c:numRef>
              <c:f>biao!$B$6:$G$6</c:f>
              <c:numCache>
                <c:formatCode>0.00_);[Red]\(0.00\)</c:formatCode>
                <c:ptCount val="6"/>
                <c:pt idx="0">
                  <c:v>2.7328808517724386</c:v>
                </c:pt>
                <c:pt idx="1">
                  <c:v>2.6570897666822213</c:v>
                </c:pt>
                <c:pt idx="2">
                  <c:v>2.5570709517282197</c:v>
                </c:pt>
                <c:pt idx="3">
                  <c:v>2.6920435078805407</c:v>
                </c:pt>
                <c:pt idx="4">
                  <c:v>3.0695902356996791</c:v>
                </c:pt>
                <c:pt idx="5">
                  <c:v>2.7600000000000002</c:v>
                </c:pt>
              </c:numCache>
            </c:numRef>
          </c:val>
        </c:ser>
        <c:ser>
          <c:idx val="4"/>
          <c:order val="4"/>
          <c:tx>
            <c:strRef>
              <c:f>biao!$A$7</c:f>
              <c:strCache>
                <c:ptCount val="1"/>
                <c:pt idx="0">
                  <c:v>英国</c:v>
                </c:pt>
              </c:strCache>
            </c:strRef>
          </c:tx>
          <c:cat>
            <c:numRef>
              <c:f>biao!$B$2:$G$2</c:f>
              <c:numCache>
                <c:formatCode>yyyy/m/dd</c:formatCode>
                <c:ptCount val="6"/>
                <c:pt idx="0">
                  <c:v>41090</c:v>
                </c:pt>
                <c:pt idx="1">
                  <c:v>41182</c:v>
                </c:pt>
                <c:pt idx="2">
                  <c:v>41274</c:v>
                </c:pt>
                <c:pt idx="3">
                  <c:v>41364</c:v>
                </c:pt>
                <c:pt idx="4">
                  <c:v>41455</c:v>
                </c:pt>
                <c:pt idx="5">
                  <c:v>41547</c:v>
                </c:pt>
              </c:numCache>
            </c:numRef>
          </c:cat>
          <c:val>
            <c:numRef>
              <c:f>biao!$B$7:$G$7</c:f>
              <c:numCache>
                <c:formatCode>#,##0.00</c:formatCode>
                <c:ptCount val="6"/>
                <c:pt idx="0">
                  <c:v>3.1974752899530925</c:v>
                </c:pt>
                <c:pt idx="1">
                  <c:v>2.7356222561647776</c:v>
                </c:pt>
                <c:pt idx="2">
                  <c:v>2.6541726583691245</c:v>
                </c:pt>
                <c:pt idx="3">
                  <c:v>2.5149549808939478</c:v>
                </c:pt>
                <c:pt idx="4" formatCode="0.00_);[Red]\(0.00\)">
                  <c:v>2.4376132267148165</c:v>
                </c:pt>
                <c:pt idx="5">
                  <c:v>2.2082285917851712</c:v>
                </c:pt>
              </c:numCache>
            </c:numRef>
          </c:val>
        </c:ser>
        <c:ser>
          <c:idx val="5"/>
          <c:order val="5"/>
          <c:tx>
            <c:strRef>
              <c:f>biao!$A$8</c:f>
              <c:strCache>
                <c:ptCount val="1"/>
                <c:pt idx="0">
                  <c:v>印度尼西亚</c:v>
                </c:pt>
              </c:strCache>
            </c:strRef>
          </c:tx>
          <c:spPr>
            <a:ln w="25400">
              <a:noFill/>
            </a:ln>
          </c:spPr>
          <c:cat>
            <c:numRef>
              <c:f>biao!$B$2:$G$2</c:f>
              <c:numCache>
                <c:formatCode>yyyy/m/dd</c:formatCode>
                <c:ptCount val="6"/>
                <c:pt idx="0">
                  <c:v>41090</c:v>
                </c:pt>
                <c:pt idx="1">
                  <c:v>41182</c:v>
                </c:pt>
                <c:pt idx="2">
                  <c:v>41274</c:v>
                </c:pt>
                <c:pt idx="3">
                  <c:v>41364</c:v>
                </c:pt>
                <c:pt idx="4">
                  <c:v>41455</c:v>
                </c:pt>
                <c:pt idx="5">
                  <c:v>41547</c:v>
                </c:pt>
              </c:numCache>
            </c:numRef>
          </c:cat>
          <c:val>
            <c:numRef>
              <c:f>biao!$B$8:$G$8</c:f>
              <c:numCache>
                <c:formatCode>#,##0.00</c:formatCode>
                <c:ptCount val="6"/>
                <c:pt idx="0">
                  <c:v>1.82898122123259</c:v>
                </c:pt>
                <c:pt idx="1">
                  <c:v>1.8536092599053746</c:v>
                </c:pt>
                <c:pt idx="2">
                  <c:v>1.8337374978433578</c:v>
                </c:pt>
                <c:pt idx="3">
                  <c:v>1.6511868685492361</c:v>
                </c:pt>
                <c:pt idx="4" formatCode="0.00_);[Red]\(0.00\)">
                  <c:v>1.1203991649529181</c:v>
                </c:pt>
                <c:pt idx="5">
                  <c:v>0.89177645270661521</c:v>
                </c:pt>
              </c:numCache>
            </c:numRef>
          </c:val>
        </c:ser>
        <c:ser>
          <c:idx val="6"/>
          <c:order val="6"/>
          <c:tx>
            <c:strRef>
              <c:f>biao!$A$9</c:f>
              <c:strCache>
                <c:ptCount val="1"/>
                <c:pt idx="0">
                  <c:v>新加坡</c:v>
                </c:pt>
              </c:strCache>
            </c:strRef>
          </c:tx>
          <c:spPr>
            <a:ln w="25400">
              <a:noFill/>
            </a:ln>
          </c:spPr>
          <c:cat>
            <c:numRef>
              <c:f>biao!$B$2:$G$2</c:f>
              <c:numCache>
                <c:formatCode>yyyy/m/dd</c:formatCode>
                <c:ptCount val="6"/>
                <c:pt idx="0">
                  <c:v>41090</c:v>
                </c:pt>
                <c:pt idx="1">
                  <c:v>41182</c:v>
                </c:pt>
                <c:pt idx="2">
                  <c:v>41274</c:v>
                </c:pt>
                <c:pt idx="3">
                  <c:v>41364</c:v>
                </c:pt>
                <c:pt idx="4">
                  <c:v>41455</c:v>
                </c:pt>
                <c:pt idx="5">
                  <c:v>41547</c:v>
                </c:pt>
              </c:numCache>
            </c:numRef>
          </c:cat>
          <c:val>
            <c:numRef>
              <c:f>biao!$B$9:$G$9</c:f>
              <c:numCache>
                <c:formatCode>#,##0.00</c:formatCode>
                <c:ptCount val="6"/>
                <c:pt idx="0">
                  <c:v>1.5721870899783814</c:v>
                </c:pt>
                <c:pt idx="1">
                  <c:v>2.4577931007391389</c:v>
                </c:pt>
                <c:pt idx="2">
                  <c:v>2.0853304286529419</c:v>
                </c:pt>
                <c:pt idx="3">
                  <c:v>2.0914883146777621</c:v>
                </c:pt>
                <c:pt idx="4" formatCode="0.00_);[Red]\(0.00\)">
                  <c:v>2.1082768684961999</c:v>
                </c:pt>
                <c:pt idx="5">
                  <c:v>1.88092045173633</c:v>
                </c:pt>
              </c:numCache>
            </c:numRef>
          </c:val>
        </c:ser>
        <c:ser>
          <c:idx val="7"/>
          <c:order val="7"/>
          <c:tx>
            <c:strRef>
              <c:f>biao!$A$10</c:f>
              <c:strCache>
                <c:ptCount val="1"/>
                <c:pt idx="0">
                  <c:v>韩国</c:v>
                </c:pt>
              </c:strCache>
            </c:strRef>
          </c:tx>
          <c:spPr>
            <a:ln w="25400">
              <a:noFill/>
            </a:ln>
          </c:spPr>
          <c:cat>
            <c:numRef>
              <c:f>biao!$B$2:$G$2</c:f>
              <c:numCache>
                <c:formatCode>yyyy/m/dd</c:formatCode>
                <c:ptCount val="6"/>
                <c:pt idx="0">
                  <c:v>41090</c:v>
                </c:pt>
                <c:pt idx="1">
                  <c:v>41182</c:v>
                </c:pt>
                <c:pt idx="2">
                  <c:v>41274</c:v>
                </c:pt>
                <c:pt idx="3">
                  <c:v>41364</c:v>
                </c:pt>
                <c:pt idx="4">
                  <c:v>41455</c:v>
                </c:pt>
                <c:pt idx="5">
                  <c:v>41547</c:v>
                </c:pt>
              </c:numCache>
            </c:numRef>
          </c:cat>
          <c:val>
            <c:numRef>
              <c:f>biao!$B$10:$G$10</c:f>
              <c:numCache>
                <c:formatCode>#,##0.00</c:formatCode>
                <c:ptCount val="6"/>
                <c:pt idx="0">
                  <c:v>6.5569818354175755</c:v>
                </c:pt>
                <c:pt idx="1">
                  <c:v>6.9731964294727797</c:v>
                </c:pt>
                <c:pt idx="2">
                  <c:v>6.4726193586152165</c:v>
                </c:pt>
                <c:pt idx="3">
                  <c:v>6.1357185359918569</c:v>
                </c:pt>
                <c:pt idx="4" formatCode="0.00_);[Red]\(0.00\)">
                  <c:v>5.5350628815604734</c:v>
                </c:pt>
                <c:pt idx="5">
                  <c:v>5.9750260623100484</c:v>
                </c:pt>
              </c:numCache>
            </c:numRef>
          </c:val>
        </c:ser>
        <c:ser>
          <c:idx val="8"/>
          <c:order val="8"/>
          <c:tx>
            <c:strRef>
              <c:f>biao!$A$11</c:f>
              <c:strCache>
                <c:ptCount val="1"/>
                <c:pt idx="0">
                  <c:v>美国</c:v>
                </c:pt>
              </c:strCache>
            </c:strRef>
          </c:tx>
          <c:spPr>
            <a:ln w="25400">
              <a:noFill/>
            </a:ln>
          </c:spPr>
          <c:cat>
            <c:numRef>
              <c:f>biao!$B$2:$G$2</c:f>
              <c:numCache>
                <c:formatCode>yyyy/m/dd</c:formatCode>
                <c:ptCount val="6"/>
                <c:pt idx="0">
                  <c:v>41090</c:v>
                </c:pt>
                <c:pt idx="1">
                  <c:v>41182</c:v>
                </c:pt>
                <c:pt idx="2">
                  <c:v>41274</c:v>
                </c:pt>
                <c:pt idx="3">
                  <c:v>41364</c:v>
                </c:pt>
                <c:pt idx="4">
                  <c:v>41455</c:v>
                </c:pt>
                <c:pt idx="5">
                  <c:v>41547</c:v>
                </c:pt>
              </c:numCache>
            </c:numRef>
          </c:cat>
          <c:val>
            <c:numRef>
              <c:f>biao!$B$11:$G$11</c:f>
              <c:numCache>
                <c:formatCode>#,##0.00</c:formatCode>
                <c:ptCount val="6"/>
                <c:pt idx="0">
                  <c:v>15.291634488922657</c:v>
                </c:pt>
                <c:pt idx="1">
                  <c:v>15.47935710668945</c:v>
                </c:pt>
                <c:pt idx="2">
                  <c:v>15.659761859005306</c:v>
                </c:pt>
                <c:pt idx="3">
                  <c:v>15.042701155296085</c:v>
                </c:pt>
                <c:pt idx="4" formatCode="0.00_);[Red]\(0.00\)">
                  <c:v>16.596152593442323</c:v>
                </c:pt>
                <c:pt idx="5">
                  <c:v>17.864372075771694</c:v>
                </c:pt>
              </c:numCache>
            </c:numRef>
          </c:val>
        </c:ser>
        <c:ser>
          <c:idx val="9"/>
          <c:order val="9"/>
          <c:tx>
            <c:strRef>
              <c:f>biao!$A$12</c:f>
              <c:strCache>
                <c:ptCount val="1"/>
                <c:pt idx="0">
                  <c:v>中国香港</c:v>
                </c:pt>
              </c:strCache>
            </c:strRef>
          </c:tx>
          <c:spPr>
            <a:ln w="25400">
              <a:noFill/>
            </a:ln>
          </c:spPr>
          <c:cat>
            <c:numRef>
              <c:f>biao!$B$2:$G$2</c:f>
              <c:numCache>
                <c:formatCode>yyyy/m/dd</c:formatCode>
                <c:ptCount val="6"/>
                <c:pt idx="0">
                  <c:v>41090</c:v>
                </c:pt>
                <c:pt idx="1">
                  <c:v>41182</c:v>
                </c:pt>
                <c:pt idx="2">
                  <c:v>41274</c:v>
                </c:pt>
                <c:pt idx="3">
                  <c:v>41364</c:v>
                </c:pt>
                <c:pt idx="4">
                  <c:v>41455</c:v>
                </c:pt>
                <c:pt idx="5">
                  <c:v>41547</c:v>
                </c:pt>
              </c:numCache>
            </c:numRef>
          </c:cat>
          <c:val>
            <c:numRef>
              <c:f>biao!$B$12:$G$12</c:f>
              <c:numCache>
                <c:formatCode>#,##0.00</c:formatCode>
                <c:ptCount val="6"/>
                <c:pt idx="0">
                  <c:v>61.284234980579143</c:v>
                </c:pt>
                <c:pt idx="1">
                  <c:v>59.201811484292008</c:v>
                </c:pt>
                <c:pt idx="2">
                  <c:v>61.190426631521909</c:v>
                </c:pt>
                <c:pt idx="3">
                  <c:v>61.717338959289542</c:v>
                </c:pt>
                <c:pt idx="4" formatCode="0.00_);[Red]\(0.00\)">
                  <c:v>60.471763216803595</c:v>
                </c:pt>
                <c:pt idx="5">
                  <c:v>62.047278461983147</c:v>
                </c:pt>
              </c:numCache>
            </c:numRef>
          </c:val>
        </c:ser>
        <c:axId val="240419584"/>
        <c:axId val="240421120"/>
      </c:areaChart>
      <c:catAx>
        <c:axId val="240419584"/>
        <c:scaling>
          <c:orientation val="minMax"/>
        </c:scaling>
        <c:axPos val="b"/>
        <c:numFmt formatCode="yyyy/m/dd" sourceLinked="1"/>
        <c:tickLblPos val="nextTo"/>
        <c:crossAx val="240421120"/>
        <c:crosses val="autoZero"/>
        <c:lblAlgn val="ctr"/>
        <c:lblOffset val="100"/>
      </c:catAx>
      <c:valAx>
        <c:axId val="240421120"/>
        <c:scaling>
          <c:orientation val="minMax"/>
        </c:scaling>
        <c:axPos val="l"/>
        <c:majorGridlines/>
        <c:numFmt formatCode="0%" sourceLinked="1"/>
        <c:tickLblPos val="nextTo"/>
        <c:crossAx val="240419584"/>
        <c:crosses val="autoZero"/>
        <c:crossBetween val="midCat"/>
      </c:valAx>
    </c:plotArea>
    <c:legend>
      <c:legendPos val="r"/>
    </c:legend>
    <c:plotVisOnly val="1"/>
  </c:chart>
  <c:spPr>
    <a:ln>
      <a:noFill/>
    </a:ln>
  </c:spPr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zh-CN"/>
  <c:style val="10"/>
  <c:chart>
    <c:plotArea>
      <c:layout/>
      <c:barChart>
        <c:barDir val="bar"/>
        <c:grouping val="clustered"/>
        <c:ser>
          <c:idx val="0"/>
          <c:order val="0"/>
          <c:cat>
            <c:strRef>
              <c:f>Sheet2!$A$2:$A$11</c:f>
              <c:strCache>
                <c:ptCount val="10"/>
                <c:pt idx="0">
                  <c:v>中国香港</c:v>
                </c:pt>
                <c:pt idx="1">
                  <c:v>美国</c:v>
                </c:pt>
                <c:pt idx="2">
                  <c:v>韩国</c:v>
                </c:pt>
                <c:pt idx="3">
                  <c:v>新加坡</c:v>
                </c:pt>
                <c:pt idx="4">
                  <c:v>印度尼西亚</c:v>
                </c:pt>
                <c:pt idx="5">
                  <c:v>英国</c:v>
                </c:pt>
                <c:pt idx="6">
                  <c:v>其他地区</c:v>
                </c:pt>
                <c:pt idx="7">
                  <c:v>泰国</c:v>
                </c:pt>
                <c:pt idx="8">
                  <c:v>中国台湾</c:v>
                </c:pt>
                <c:pt idx="9">
                  <c:v>印度</c:v>
                </c:pt>
              </c:strCache>
            </c:strRef>
          </c:cat>
          <c:val>
            <c:numRef>
              <c:f>Sheet2!$B$2:$B$11</c:f>
              <c:numCache>
                <c:formatCode>0.00_ ;[Red]\-0.00\ </c:formatCode>
                <c:ptCount val="10"/>
                <c:pt idx="0">
                  <c:v>1.5755152451795793</c:v>
                </c:pt>
                <c:pt idx="1">
                  <c:v>1.2682194823293982</c:v>
                </c:pt>
                <c:pt idx="2">
                  <c:v>0.43996318074957635</c:v>
                </c:pt>
                <c:pt idx="3">
                  <c:v>-0.2273564167598677</c:v>
                </c:pt>
                <c:pt idx="4">
                  <c:v>-0.22862271224630218</c:v>
                </c:pt>
                <c:pt idx="5">
                  <c:v>-0.22938463492964517</c:v>
                </c:pt>
                <c:pt idx="6">
                  <c:v>-0.30959023569967903</c:v>
                </c:pt>
                <c:pt idx="7">
                  <c:v>-0.49324654502728682</c:v>
                </c:pt>
                <c:pt idx="8">
                  <c:v>-0.60346084894732288</c:v>
                </c:pt>
                <c:pt idx="9">
                  <c:v>-1.1958902903477098</c:v>
                </c:pt>
              </c:numCache>
            </c:numRef>
          </c:val>
        </c:ser>
        <c:axId val="240477696"/>
        <c:axId val="240479232"/>
      </c:barChart>
      <c:catAx>
        <c:axId val="240477696"/>
        <c:scaling>
          <c:orientation val="minMax"/>
        </c:scaling>
        <c:axPos val="l"/>
        <c:tickLblPos val="high"/>
        <c:crossAx val="240479232"/>
        <c:crosses val="autoZero"/>
        <c:auto val="1"/>
        <c:lblAlgn val="ctr"/>
        <c:lblOffset val="100"/>
      </c:catAx>
      <c:valAx>
        <c:axId val="240479232"/>
        <c:scaling>
          <c:orientation val="minMax"/>
        </c:scaling>
        <c:axPos val="b"/>
        <c:majorGridlines/>
        <c:numFmt formatCode="0.00_ ;[Red]\-0.00\ " sourceLinked="1"/>
        <c:tickLblPos val="nextTo"/>
        <c:crossAx val="240477696"/>
        <c:crosses val="autoZero"/>
        <c:crossBetween val="between"/>
      </c:valAx>
    </c:plotArea>
    <c:plotVisOnly val="1"/>
  </c:chart>
  <c:spPr>
    <a:ln>
      <a:noFill/>
    </a:ln>
  </c:spPr>
  <c:externalData r:id="rId1"/>
</c:chartSpac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2013-07-25T00:00:00</PublishDate>
  <Abstract/>
  <CompanyAddress>众禄基金研究中心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10</Pages>
  <Words>499</Words>
  <Characters>2847</Characters>
  <Application>Microsoft Office Word</Application>
  <DocSecurity>0</DocSecurity>
  <Lines>23</Lines>
  <Paragraphs>6</Paragraphs>
  <ScaleCrop>false</ScaleCrop>
  <Company>众禄</Company>
  <LinksUpToDate>false</LinksUpToDate>
  <CharactersWithSpaces>3340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QDII基金二季报投资组合分析报告</dc:title>
  <dc:creator>zhuyz</dc:creator>
  <cp:lastModifiedBy>fanjie</cp:lastModifiedBy>
  <cp:revision>68</cp:revision>
  <cp:lastPrinted>2013-10-30T05:19:00Z</cp:lastPrinted>
  <dcterms:created xsi:type="dcterms:W3CDTF">2013-10-29T06:26:00Z</dcterms:created>
  <dcterms:modified xsi:type="dcterms:W3CDTF">2013-10-30T05:21:00Z</dcterms:modified>
</cp:coreProperties>
</file>