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CDD" w:rsidRPr="00855CDD" w:rsidRDefault="00855CDD" w:rsidP="00855CDD">
      <w:pPr>
        <w:widowControl/>
        <w:spacing w:line="384" w:lineRule="atLeast"/>
        <w:jc w:val="left"/>
        <w:rPr>
          <w:rFonts w:ascii="微软雅黑" w:eastAsia="微软雅黑" w:hAnsi="微软雅黑" w:cs="Helvetica"/>
          <w:color w:val="000000"/>
          <w:kern w:val="0"/>
          <w:sz w:val="24"/>
          <w:szCs w:val="24"/>
        </w:rPr>
      </w:pPr>
    </w:p>
    <w:p w:rsidR="00855CDD" w:rsidRDefault="00855CDD" w:rsidP="00855CDD">
      <w:pPr>
        <w:widowControl/>
        <w:spacing w:line="384" w:lineRule="atLeast"/>
        <w:jc w:val="center"/>
        <w:rPr>
          <w:rFonts w:ascii="微软雅黑" w:eastAsia="微软雅黑" w:hAnsi="微软雅黑" w:cs="Helvetica"/>
          <w:b/>
          <w:color w:val="000000"/>
          <w:kern w:val="0"/>
          <w:sz w:val="30"/>
          <w:szCs w:val="30"/>
        </w:rPr>
      </w:pPr>
      <w:bookmarkStart w:id="0" w:name="_GoBack"/>
      <w:r w:rsidRPr="00855CDD">
        <w:rPr>
          <w:rFonts w:ascii="微软雅黑" w:eastAsia="微软雅黑" w:hAnsi="微软雅黑" w:cs="Helvetica" w:hint="eastAsia"/>
          <w:b/>
          <w:color w:val="000000"/>
          <w:kern w:val="0"/>
          <w:sz w:val="30"/>
          <w:szCs w:val="30"/>
        </w:rPr>
        <w:t>募资新</w:t>
      </w:r>
      <w:proofErr w:type="gramStart"/>
      <w:r w:rsidRPr="00855CDD">
        <w:rPr>
          <w:rFonts w:ascii="微软雅黑" w:eastAsia="微软雅黑" w:hAnsi="微软雅黑" w:cs="Helvetica" w:hint="eastAsia"/>
          <w:b/>
          <w:color w:val="000000"/>
          <w:kern w:val="0"/>
          <w:sz w:val="30"/>
          <w:szCs w:val="30"/>
        </w:rPr>
        <w:t>规</w:t>
      </w:r>
      <w:proofErr w:type="gramEnd"/>
      <w:r w:rsidRPr="00855CDD">
        <w:rPr>
          <w:rFonts w:ascii="微软雅黑" w:eastAsia="微软雅黑" w:hAnsi="微软雅黑" w:cs="Helvetica" w:hint="eastAsia"/>
          <w:b/>
          <w:color w:val="000000"/>
          <w:kern w:val="0"/>
          <w:sz w:val="30"/>
          <w:szCs w:val="30"/>
        </w:rPr>
        <w:t>、松绑私募、优先股落地</w:t>
      </w:r>
      <w:r>
        <w:rPr>
          <w:rFonts w:ascii="微软雅黑" w:eastAsia="微软雅黑" w:hAnsi="微软雅黑" w:cs="Helvetica" w:hint="eastAsia"/>
          <w:b/>
          <w:color w:val="000000"/>
          <w:kern w:val="0"/>
          <w:sz w:val="30"/>
          <w:szCs w:val="30"/>
        </w:rPr>
        <w:t>——</w:t>
      </w:r>
      <w:r>
        <w:rPr>
          <w:rFonts w:ascii="微软雅黑" w:eastAsia="微软雅黑" w:hAnsi="微软雅黑" w:cs="Helvetica"/>
          <w:b/>
          <w:color w:val="000000"/>
          <w:kern w:val="0"/>
          <w:sz w:val="30"/>
          <w:szCs w:val="30"/>
        </w:rPr>
        <w:t>新三板上周利好频出</w:t>
      </w:r>
      <w:bookmarkEnd w:id="0"/>
    </w:p>
    <w:p w:rsidR="00855CDD" w:rsidRPr="00855CDD" w:rsidRDefault="00855CDD" w:rsidP="00855CDD">
      <w:pPr>
        <w:widowControl/>
        <w:spacing w:line="384" w:lineRule="atLeast"/>
        <w:jc w:val="center"/>
        <w:rPr>
          <w:rFonts w:ascii="微软雅黑" w:eastAsia="微软雅黑" w:hAnsi="微软雅黑" w:cs="Helvetica" w:hint="eastAsia"/>
          <w:b/>
          <w:color w:val="000000"/>
          <w:kern w:val="0"/>
          <w:sz w:val="30"/>
          <w:szCs w:val="30"/>
        </w:rPr>
      </w:pPr>
      <w:proofErr w:type="gramStart"/>
      <w:r>
        <w:rPr>
          <w:rFonts w:ascii="微软雅黑" w:eastAsia="微软雅黑" w:hAnsi="微软雅黑" w:cs="Helvetica" w:hint="eastAsia"/>
          <w:b/>
          <w:color w:val="000000"/>
          <w:kern w:val="0"/>
          <w:sz w:val="30"/>
          <w:szCs w:val="30"/>
        </w:rPr>
        <w:t>附九泰</w:t>
      </w:r>
      <w:r>
        <w:rPr>
          <w:rFonts w:ascii="微软雅黑" w:eastAsia="微软雅黑" w:hAnsi="微软雅黑" w:cs="Helvetica"/>
          <w:b/>
          <w:color w:val="000000"/>
          <w:kern w:val="0"/>
          <w:sz w:val="30"/>
          <w:szCs w:val="30"/>
        </w:rPr>
        <w:t>基金</w:t>
      </w:r>
      <w:proofErr w:type="gramEnd"/>
      <w:r>
        <w:rPr>
          <w:rFonts w:ascii="微软雅黑" w:eastAsia="微软雅黑" w:hAnsi="微软雅黑" w:cs="Helvetica"/>
          <w:b/>
          <w:color w:val="000000"/>
          <w:kern w:val="0"/>
          <w:sz w:val="30"/>
          <w:szCs w:val="30"/>
        </w:rPr>
        <w:t>新三板周</w:t>
      </w:r>
      <w:r>
        <w:rPr>
          <w:rFonts w:ascii="微软雅黑" w:eastAsia="微软雅黑" w:hAnsi="微软雅黑" w:cs="Helvetica" w:hint="eastAsia"/>
          <w:b/>
          <w:color w:val="000000"/>
          <w:kern w:val="0"/>
          <w:sz w:val="30"/>
          <w:szCs w:val="30"/>
        </w:rPr>
        <w:t>报</w:t>
      </w:r>
      <w:r>
        <w:rPr>
          <w:rFonts w:ascii="微软雅黑" w:eastAsia="微软雅黑" w:hAnsi="微软雅黑" w:cs="Helvetica"/>
          <w:b/>
          <w:color w:val="000000"/>
          <w:kern w:val="0"/>
          <w:sz w:val="30"/>
          <w:szCs w:val="30"/>
        </w:rPr>
        <w:t>（</w:t>
      </w:r>
      <w:r>
        <w:rPr>
          <w:rFonts w:ascii="微软雅黑" w:eastAsia="微软雅黑" w:hAnsi="微软雅黑" w:cs="Helvetica" w:hint="eastAsia"/>
          <w:b/>
          <w:color w:val="000000"/>
          <w:kern w:val="0"/>
          <w:sz w:val="30"/>
          <w:szCs w:val="30"/>
        </w:rPr>
        <w:t>8.8</w:t>
      </w:r>
      <w:r>
        <w:rPr>
          <w:rFonts w:ascii="微软雅黑" w:eastAsia="微软雅黑" w:hAnsi="微软雅黑" w:cs="Helvetica"/>
          <w:b/>
          <w:color w:val="000000"/>
          <w:kern w:val="0"/>
          <w:sz w:val="30"/>
          <w:szCs w:val="30"/>
        </w:rPr>
        <w:t>—8.12）</w:t>
      </w:r>
    </w:p>
    <w:p w:rsidR="00855CDD" w:rsidRDefault="00855CDD" w:rsidP="00855CDD">
      <w:pPr>
        <w:widowControl/>
        <w:jc w:val="left"/>
        <w:rPr>
          <w:rFonts w:ascii="微软雅黑" w:eastAsia="微软雅黑" w:hAnsi="微软雅黑" w:cs="宋体"/>
          <w:b/>
          <w:color w:val="000000" w:themeColor="text1"/>
          <w:kern w:val="0"/>
          <w:sz w:val="24"/>
          <w:szCs w:val="24"/>
        </w:rPr>
      </w:pPr>
    </w:p>
    <w:p w:rsidR="00855CDD" w:rsidRPr="00855CDD" w:rsidRDefault="00855CDD" w:rsidP="00855CDD">
      <w:pPr>
        <w:widowControl/>
        <w:jc w:val="left"/>
        <w:rPr>
          <w:rFonts w:ascii="微软雅黑" w:eastAsia="微软雅黑" w:hAnsi="微软雅黑" w:cs="宋体"/>
          <w:b/>
          <w:color w:val="000000" w:themeColor="text1"/>
          <w:kern w:val="0"/>
          <w:sz w:val="24"/>
          <w:szCs w:val="24"/>
        </w:rPr>
      </w:pPr>
      <w:r w:rsidRPr="00855CDD">
        <w:rPr>
          <w:rFonts w:ascii="微软雅黑" w:eastAsia="微软雅黑" w:hAnsi="微软雅黑" w:cs="宋体"/>
          <w:b/>
          <w:color w:val="000000" w:themeColor="text1"/>
          <w:kern w:val="0"/>
          <w:sz w:val="24"/>
          <w:szCs w:val="24"/>
        </w:rPr>
        <w:t>新三板一周要闻</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MS Gothic" w:eastAsia="MS Gothic" w:hAnsi="MS Gothic" w:cs="MS Gothic" w:hint="eastAsia"/>
          <w:b/>
          <w:bCs/>
          <w:kern w:val="0"/>
          <w:sz w:val="24"/>
          <w:szCs w:val="24"/>
        </w:rPr>
        <w:t>➤</w:t>
      </w:r>
      <w:r w:rsidRPr="00855CDD">
        <w:rPr>
          <w:rFonts w:ascii="微软雅黑" w:eastAsia="微软雅黑" w:hAnsi="微软雅黑" w:cs="宋体"/>
          <w:b/>
          <w:bCs/>
          <w:kern w:val="0"/>
          <w:sz w:val="24"/>
          <w:szCs w:val="24"/>
        </w:rPr>
        <w:t> 三板指数小幅下跌</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4"/>
          <w:szCs w:val="24"/>
        </w:rPr>
        <w:t>上周三板成指总体下跌1.16%，收于1148.42；三板做市</w:t>
      </w:r>
      <w:proofErr w:type="gramStart"/>
      <w:r w:rsidRPr="00855CDD">
        <w:rPr>
          <w:rFonts w:ascii="微软雅黑" w:eastAsia="微软雅黑" w:hAnsi="微软雅黑" w:cs="宋体" w:hint="eastAsia"/>
          <w:kern w:val="0"/>
          <w:sz w:val="24"/>
          <w:szCs w:val="24"/>
        </w:rPr>
        <w:t>指数环</w:t>
      </w:r>
      <w:proofErr w:type="gramEnd"/>
      <w:r w:rsidRPr="00855CDD">
        <w:rPr>
          <w:rFonts w:ascii="微软雅黑" w:eastAsia="微软雅黑" w:hAnsi="微软雅黑" w:cs="宋体" w:hint="eastAsia"/>
          <w:kern w:val="0"/>
          <w:sz w:val="24"/>
          <w:szCs w:val="24"/>
        </w:rPr>
        <w:t>比下跌0.37%，收于1091.06点。新三板成交量和成交额分别较前一周有所上升，成交量为5.92亿股，环比上升28.36%；成交额为33.17亿元，环比上升6.26%。估值上，新三板的PE和PB分别为33.52和3.50。上周新三板做市企业中，上涨427家，持平651家，下跌533家，上涨家数较前一周360家有所增加</w:t>
      </w:r>
      <w:r w:rsidRPr="00855CDD">
        <w:rPr>
          <w:rFonts w:ascii="微软雅黑" w:eastAsia="微软雅黑" w:hAnsi="微软雅黑" w:cs="宋体"/>
          <w:kern w:val="0"/>
          <w:sz w:val="24"/>
          <w:szCs w:val="24"/>
        </w:rPr>
        <w:t>。</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MS Gothic" w:eastAsia="MS Gothic" w:hAnsi="MS Gothic" w:cs="MS Gothic" w:hint="eastAsia"/>
          <w:b/>
          <w:bCs/>
          <w:kern w:val="0"/>
          <w:sz w:val="24"/>
          <w:szCs w:val="24"/>
        </w:rPr>
        <w:t>➤</w:t>
      </w:r>
      <w:r w:rsidRPr="00855CDD">
        <w:rPr>
          <w:rFonts w:ascii="微软雅黑" w:eastAsia="微软雅黑" w:hAnsi="微软雅黑" w:cs="宋体"/>
          <w:b/>
          <w:bCs/>
          <w:kern w:val="0"/>
          <w:sz w:val="24"/>
          <w:szCs w:val="24"/>
        </w:rPr>
        <w:t> 拟募资金额持续下降</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4"/>
          <w:szCs w:val="24"/>
        </w:rPr>
        <w:t>上周共有38家企业发布了定向增发预案，预计募资28.78亿元，较前一周减少7.27%；实施完成58家企业的定向增发，募资总额27.43亿元，较前一周减少37.36%</w:t>
      </w:r>
      <w:r w:rsidRPr="00855CDD">
        <w:rPr>
          <w:rFonts w:ascii="微软雅黑" w:eastAsia="微软雅黑" w:hAnsi="微软雅黑" w:cs="宋体"/>
          <w:kern w:val="0"/>
          <w:sz w:val="24"/>
          <w:szCs w:val="24"/>
        </w:rPr>
        <w:t>。</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MS Gothic" w:eastAsia="MS Gothic" w:hAnsi="MS Gothic" w:cs="MS Gothic" w:hint="eastAsia"/>
          <w:b/>
          <w:bCs/>
          <w:kern w:val="0"/>
          <w:sz w:val="24"/>
          <w:szCs w:val="24"/>
        </w:rPr>
        <w:t>➤</w:t>
      </w:r>
      <w:r w:rsidRPr="00855CDD">
        <w:rPr>
          <w:rFonts w:ascii="微软雅黑" w:eastAsia="微软雅黑" w:hAnsi="微软雅黑" w:cs="宋体"/>
          <w:b/>
          <w:bCs/>
          <w:kern w:val="0"/>
          <w:sz w:val="24"/>
          <w:szCs w:val="24"/>
        </w:rPr>
        <w:t> 新挂牌企业家数呈加速态势</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4"/>
          <w:szCs w:val="24"/>
        </w:rPr>
        <w:t>上周共有396家公司公告在新三板挂牌转让。截至8月12日，新三年板挂牌企业高达8542家，采取做市转让方式的企业共1614家，新增4家做市企业。</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MS Gothic" w:eastAsia="MS Gothic" w:hAnsi="MS Gothic" w:cs="MS Gothic" w:hint="eastAsia"/>
          <w:b/>
          <w:bCs/>
          <w:kern w:val="0"/>
          <w:sz w:val="24"/>
          <w:szCs w:val="24"/>
        </w:rPr>
        <w:t>➤</w:t>
      </w:r>
      <w:r w:rsidRPr="00855CDD">
        <w:rPr>
          <w:rFonts w:ascii="微软雅黑" w:eastAsia="微软雅黑" w:hAnsi="微软雅黑" w:cs="宋体"/>
          <w:b/>
          <w:bCs/>
          <w:kern w:val="0"/>
          <w:sz w:val="24"/>
          <w:szCs w:val="24"/>
        </w:rPr>
        <w:t> 新三板挂牌公司募资出新</w:t>
      </w:r>
      <w:proofErr w:type="gramStart"/>
      <w:r w:rsidRPr="00855CDD">
        <w:rPr>
          <w:rFonts w:ascii="微软雅黑" w:eastAsia="微软雅黑" w:hAnsi="微软雅黑" w:cs="宋体"/>
          <w:b/>
          <w:bCs/>
          <w:kern w:val="0"/>
          <w:sz w:val="24"/>
          <w:szCs w:val="24"/>
        </w:rPr>
        <w:t>规</w:t>
      </w:r>
      <w:proofErr w:type="gramEnd"/>
      <w:r w:rsidRPr="00855CDD">
        <w:rPr>
          <w:rFonts w:ascii="微软雅黑" w:eastAsia="微软雅黑" w:hAnsi="微软雅黑" w:cs="宋体"/>
          <w:b/>
          <w:bCs/>
          <w:kern w:val="0"/>
          <w:sz w:val="24"/>
          <w:szCs w:val="24"/>
        </w:rPr>
        <w:t>，进一步严格规范募资用途</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4"/>
          <w:szCs w:val="24"/>
        </w:rPr>
        <w:lastRenderedPageBreak/>
        <w:t>       8月8日，全国中小企业股份转让系统发布《挂牌公司股票发行常见问题解答(三)》。新</w:t>
      </w:r>
      <w:proofErr w:type="gramStart"/>
      <w:r w:rsidRPr="00855CDD">
        <w:rPr>
          <w:rFonts w:ascii="微软雅黑" w:eastAsia="微软雅黑" w:hAnsi="微软雅黑" w:cs="宋体" w:hint="eastAsia"/>
          <w:kern w:val="0"/>
          <w:sz w:val="24"/>
          <w:szCs w:val="24"/>
        </w:rPr>
        <w:t>规</w:t>
      </w:r>
      <w:proofErr w:type="gramEnd"/>
      <w:r w:rsidRPr="00855CDD">
        <w:rPr>
          <w:rFonts w:ascii="微软雅黑" w:eastAsia="微软雅黑" w:hAnsi="微软雅黑" w:cs="宋体" w:hint="eastAsia"/>
          <w:kern w:val="0"/>
          <w:sz w:val="24"/>
          <w:szCs w:val="24"/>
        </w:rPr>
        <w:t>涉及募集资金管理、认购协议中特殊条款、特殊类型挂牌公司融资等三方面内容。资金管理方面，要求新三板挂牌公司募集资金应当用于公司主营业务及相关业务领域。除金融类企业外，募集资金不得用于股票及其他衍生品种、可转换公司债</w:t>
      </w:r>
      <w:proofErr w:type="gramStart"/>
      <w:r w:rsidRPr="00855CDD">
        <w:rPr>
          <w:rFonts w:ascii="微软雅黑" w:eastAsia="微软雅黑" w:hAnsi="微软雅黑" w:cs="宋体" w:hint="eastAsia"/>
          <w:kern w:val="0"/>
          <w:sz w:val="24"/>
          <w:szCs w:val="24"/>
        </w:rPr>
        <w:t>券</w:t>
      </w:r>
      <w:proofErr w:type="gramEnd"/>
      <w:r w:rsidRPr="00855CDD">
        <w:rPr>
          <w:rFonts w:ascii="微软雅黑" w:eastAsia="微软雅黑" w:hAnsi="微软雅黑" w:cs="宋体" w:hint="eastAsia"/>
          <w:kern w:val="0"/>
          <w:sz w:val="24"/>
          <w:szCs w:val="24"/>
        </w:rPr>
        <w:t>等交易，要求设立募集资金存放专户，挂牌企业与主办券商、存放募集资金的商业银行须签订三方监管协议。</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4"/>
          <w:szCs w:val="24"/>
        </w:rPr>
        <w:t>     </w:t>
      </w:r>
      <w:r w:rsidRPr="00855CDD">
        <w:rPr>
          <w:rFonts w:ascii="微软雅黑" w:eastAsia="微软雅黑" w:hAnsi="微软雅黑" w:cs="宋体" w:hint="eastAsia"/>
          <w:b/>
          <w:kern w:val="0"/>
          <w:sz w:val="24"/>
          <w:szCs w:val="24"/>
        </w:rPr>
        <w:t xml:space="preserve">  </w:t>
      </w:r>
      <w:proofErr w:type="gramStart"/>
      <w:r w:rsidRPr="00855CDD">
        <w:rPr>
          <w:rFonts w:ascii="微软雅黑" w:eastAsia="微软雅黑" w:hAnsi="微软雅黑" w:cs="宋体" w:hint="eastAsia"/>
          <w:b/>
          <w:kern w:val="0"/>
          <w:sz w:val="24"/>
          <w:szCs w:val="24"/>
        </w:rPr>
        <w:t>九泰点评</w:t>
      </w:r>
      <w:proofErr w:type="gramEnd"/>
      <w:r w:rsidRPr="00855CDD">
        <w:rPr>
          <w:rFonts w:ascii="微软雅黑" w:eastAsia="微软雅黑" w:hAnsi="微软雅黑" w:cs="宋体" w:hint="eastAsia"/>
          <w:b/>
          <w:kern w:val="0"/>
          <w:sz w:val="24"/>
          <w:szCs w:val="24"/>
        </w:rPr>
        <w:t>：</w:t>
      </w:r>
      <w:r w:rsidRPr="00855CDD">
        <w:rPr>
          <w:rFonts w:ascii="微软雅黑" w:eastAsia="微软雅黑" w:hAnsi="微软雅黑" w:cs="宋体" w:hint="eastAsia"/>
          <w:kern w:val="0"/>
          <w:sz w:val="24"/>
          <w:szCs w:val="24"/>
        </w:rPr>
        <w:t>新</w:t>
      </w:r>
      <w:proofErr w:type="gramStart"/>
      <w:r w:rsidRPr="00855CDD">
        <w:rPr>
          <w:rFonts w:ascii="微软雅黑" w:eastAsia="微软雅黑" w:hAnsi="微软雅黑" w:cs="宋体" w:hint="eastAsia"/>
          <w:kern w:val="0"/>
          <w:sz w:val="24"/>
          <w:szCs w:val="24"/>
        </w:rPr>
        <w:t>规</w:t>
      </w:r>
      <w:proofErr w:type="gramEnd"/>
      <w:r w:rsidRPr="00855CDD">
        <w:rPr>
          <w:rFonts w:ascii="微软雅黑" w:eastAsia="微软雅黑" w:hAnsi="微软雅黑" w:cs="宋体" w:hint="eastAsia"/>
          <w:kern w:val="0"/>
          <w:sz w:val="24"/>
          <w:szCs w:val="24"/>
        </w:rPr>
        <w:t>的推出一方面沿袭</w:t>
      </w:r>
      <w:r w:rsidRPr="00855CDD">
        <w:rPr>
          <w:rFonts w:ascii="微软雅黑" w:eastAsia="微软雅黑" w:hAnsi="微软雅黑" w:cs="宋体"/>
          <w:kern w:val="0"/>
          <w:sz w:val="24"/>
          <w:szCs w:val="24"/>
        </w:rPr>
        <w:t>了股转这一年多以来从严监管的思路，对企业规范融资、合理用资有很好的指导意义，也为整个市场更加合</w:t>
      </w:r>
      <w:proofErr w:type="gramStart"/>
      <w:r w:rsidRPr="00855CDD">
        <w:rPr>
          <w:rFonts w:ascii="微软雅黑" w:eastAsia="微软雅黑" w:hAnsi="微软雅黑" w:cs="宋体"/>
          <w:kern w:val="0"/>
          <w:sz w:val="24"/>
          <w:szCs w:val="24"/>
        </w:rPr>
        <w:t>规</w:t>
      </w:r>
      <w:proofErr w:type="gramEnd"/>
      <w:r w:rsidRPr="00855CDD">
        <w:rPr>
          <w:rFonts w:ascii="微软雅黑" w:eastAsia="微软雅黑" w:hAnsi="微软雅黑" w:cs="宋体"/>
          <w:kern w:val="0"/>
          <w:sz w:val="24"/>
          <w:szCs w:val="24"/>
        </w:rPr>
        <w:t>有序奠定了很好的基础，同时切实保护了中小投资者在市场中的平等地位。另一方面，对券商的督导工作、企业的规范自查都提出了更高</w:t>
      </w:r>
      <w:proofErr w:type="gramStart"/>
      <w:r w:rsidRPr="00855CDD">
        <w:rPr>
          <w:rFonts w:ascii="微软雅黑" w:eastAsia="微软雅黑" w:hAnsi="微软雅黑" w:cs="宋体"/>
          <w:kern w:val="0"/>
          <w:sz w:val="24"/>
          <w:szCs w:val="24"/>
        </w:rPr>
        <w:t>的信批和</w:t>
      </w:r>
      <w:proofErr w:type="gramEnd"/>
      <w:r w:rsidRPr="00855CDD">
        <w:rPr>
          <w:rFonts w:ascii="微软雅黑" w:eastAsia="微软雅黑" w:hAnsi="微软雅黑" w:cs="宋体"/>
          <w:kern w:val="0"/>
          <w:sz w:val="24"/>
          <w:szCs w:val="24"/>
        </w:rPr>
        <w:t>规范要求，实际上大幅提升了二者的工作量，另外，对PE机构的对赌也有严格限制，会打消很多传统PE参与新三板的积极性，甚至会限制某些存在对赌的企业挂牌新三板。从长期来看，是对新三板的极大利好。</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MS Gothic" w:eastAsia="MS Gothic" w:hAnsi="MS Gothic" w:cs="MS Gothic" w:hint="eastAsia"/>
          <w:b/>
          <w:bCs/>
          <w:kern w:val="0"/>
          <w:sz w:val="24"/>
          <w:szCs w:val="24"/>
        </w:rPr>
        <w:t>➤</w:t>
      </w:r>
      <w:r w:rsidRPr="00855CDD">
        <w:rPr>
          <w:rFonts w:ascii="微软雅黑" w:eastAsia="微软雅黑" w:hAnsi="微软雅黑" w:cs="宋体"/>
          <w:b/>
          <w:bCs/>
          <w:kern w:val="0"/>
          <w:sz w:val="24"/>
          <w:szCs w:val="24"/>
        </w:rPr>
        <w:t> 新三板松绑私募：参与股票发行及重组无须事前备案</w:t>
      </w:r>
    </w:p>
    <w:p w:rsidR="00855CDD" w:rsidRPr="00855CDD" w:rsidRDefault="00855CDD" w:rsidP="00855CDD">
      <w:pPr>
        <w:widowControl/>
        <w:ind w:firstLine="480"/>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4"/>
          <w:szCs w:val="24"/>
        </w:rPr>
        <w:t>日前全国中小企业股份转让系统通知券商，新三板挂牌企业股票发行以及重组审核中，私募基金备案将不再作为前提条件，只需承诺备案即可。此次放松私募备案条件，一定程度说明了基金业协会的监管有了阶段性的成效。</w:t>
      </w:r>
    </w:p>
    <w:p w:rsidR="00855CDD" w:rsidRPr="00855CDD" w:rsidRDefault="00855CDD" w:rsidP="00855CDD">
      <w:pPr>
        <w:widowControl/>
        <w:ind w:firstLine="480"/>
        <w:jc w:val="left"/>
        <w:rPr>
          <w:rFonts w:ascii="微软雅黑" w:eastAsia="微软雅黑" w:hAnsi="微软雅黑" w:cs="宋体"/>
          <w:kern w:val="0"/>
          <w:sz w:val="24"/>
          <w:szCs w:val="24"/>
        </w:rPr>
      </w:pPr>
      <w:proofErr w:type="gramStart"/>
      <w:r w:rsidRPr="00855CDD">
        <w:rPr>
          <w:rFonts w:ascii="微软雅黑" w:eastAsia="微软雅黑" w:hAnsi="微软雅黑" w:cs="宋体" w:hint="eastAsia"/>
          <w:b/>
          <w:kern w:val="0"/>
          <w:sz w:val="24"/>
          <w:szCs w:val="24"/>
        </w:rPr>
        <w:t>九泰点评</w:t>
      </w:r>
      <w:proofErr w:type="gramEnd"/>
      <w:r w:rsidRPr="00855CDD">
        <w:rPr>
          <w:rFonts w:ascii="微软雅黑" w:eastAsia="微软雅黑" w:hAnsi="微软雅黑" w:cs="宋体" w:hint="eastAsia"/>
          <w:b/>
          <w:kern w:val="0"/>
          <w:sz w:val="24"/>
          <w:szCs w:val="24"/>
        </w:rPr>
        <w:t>：</w:t>
      </w:r>
      <w:r w:rsidRPr="00855CDD">
        <w:rPr>
          <w:rFonts w:ascii="微软雅黑" w:eastAsia="微软雅黑" w:hAnsi="微软雅黑" w:cs="宋体"/>
          <w:kern w:val="0"/>
          <w:sz w:val="24"/>
          <w:szCs w:val="24"/>
        </w:rPr>
        <w:t>目前全国中小企业股份转让系统通知券商，新三板挂牌企业股票发行以及重组审核中，私募基金备案将不再作为前提条件，只需承诺备案即可。此次 放松私募备案条件，显示了股转系统对之前对私募机构一系列严格监管的结果是充分肯定的，并且认可当前私募机构参与新三板发行的私募机构已具相当规范性，因此才从流程上给予一定的宽松对待。</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MS Gothic" w:eastAsia="MS Gothic" w:hAnsi="MS Gothic" w:cs="MS Gothic" w:hint="eastAsia"/>
          <w:b/>
          <w:bCs/>
          <w:kern w:val="0"/>
          <w:sz w:val="24"/>
          <w:szCs w:val="24"/>
        </w:rPr>
        <w:lastRenderedPageBreak/>
        <w:t>➤</w:t>
      </w:r>
      <w:r w:rsidRPr="00855CDD">
        <w:rPr>
          <w:rFonts w:ascii="微软雅黑" w:eastAsia="微软雅黑" w:hAnsi="微软雅黑" w:cs="宋体"/>
          <w:b/>
          <w:bCs/>
          <w:kern w:val="0"/>
          <w:sz w:val="24"/>
          <w:szCs w:val="24"/>
        </w:rPr>
        <w:t> 新三板优先股红利终落地</w:t>
      </w:r>
    </w:p>
    <w:p w:rsidR="00855CDD" w:rsidRPr="00855CDD" w:rsidRDefault="00855CDD" w:rsidP="00855CDD">
      <w:pPr>
        <w:widowControl/>
        <w:ind w:firstLine="480"/>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4"/>
          <w:szCs w:val="24"/>
        </w:rPr>
        <w:t>全国股</w:t>
      </w:r>
      <w:proofErr w:type="gramStart"/>
      <w:r w:rsidRPr="00855CDD">
        <w:rPr>
          <w:rFonts w:ascii="微软雅黑" w:eastAsia="微软雅黑" w:hAnsi="微软雅黑" w:cs="宋体" w:hint="eastAsia"/>
          <w:kern w:val="0"/>
          <w:sz w:val="24"/>
          <w:szCs w:val="24"/>
        </w:rPr>
        <w:t>转系统</w:t>
      </w:r>
      <w:proofErr w:type="gramEnd"/>
      <w:r w:rsidRPr="00855CDD">
        <w:rPr>
          <w:rFonts w:ascii="微软雅黑" w:eastAsia="微软雅黑" w:hAnsi="微软雅黑" w:cs="宋体" w:hint="eastAsia"/>
          <w:kern w:val="0"/>
          <w:sz w:val="24"/>
          <w:szCs w:val="24"/>
        </w:rPr>
        <w:t>发布《全国股转系统为非公开发行优先股提供转让服务》。8月8日晚间，全国股转公司发布公告称，为了更好地开展优先股试点工作，满足优先股投资者对优先股的转让需求，全国股</w:t>
      </w:r>
      <w:proofErr w:type="gramStart"/>
      <w:r w:rsidRPr="00855CDD">
        <w:rPr>
          <w:rFonts w:ascii="微软雅黑" w:eastAsia="微软雅黑" w:hAnsi="微软雅黑" w:cs="宋体" w:hint="eastAsia"/>
          <w:kern w:val="0"/>
          <w:sz w:val="24"/>
          <w:szCs w:val="24"/>
        </w:rPr>
        <w:t>转系统</w:t>
      </w:r>
      <w:proofErr w:type="gramEnd"/>
      <w:r w:rsidRPr="00855CDD">
        <w:rPr>
          <w:rFonts w:ascii="微软雅黑" w:eastAsia="微软雅黑" w:hAnsi="微软雅黑" w:cs="宋体" w:hint="eastAsia"/>
          <w:kern w:val="0"/>
          <w:sz w:val="24"/>
          <w:szCs w:val="24"/>
        </w:rPr>
        <w:t>从2016年8月8日起，为非公开发行优先股提供转让服务。</w:t>
      </w:r>
    </w:p>
    <w:p w:rsidR="00855CDD" w:rsidRPr="00855CDD" w:rsidRDefault="00855CDD" w:rsidP="00855CDD">
      <w:pPr>
        <w:widowControl/>
        <w:ind w:firstLine="480"/>
        <w:jc w:val="left"/>
        <w:rPr>
          <w:rFonts w:ascii="微软雅黑" w:eastAsia="微软雅黑" w:hAnsi="微软雅黑" w:cs="宋体"/>
          <w:kern w:val="0"/>
          <w:sz w:val="24"/>
          <w:szCs w:val="24"/>
        </w:rPr>
      </w:pPr>
      <w:proofErr w:type="gramStart"/>
      <w:r w:rsidRPr="00855CDD">
        <w:rPr>
          <w:rFonts w:ascii="微软雅黑" w:eastAsia="微软雅黑" w:hAnsi="微软雅黑" w:cs="宋体" w:hint="eastAsia"/>
          <w:b/>
          <w:kern w:val="0"/>
          <w:sz w:val="24"/>
          <w:szCs w:val="24"/>
        </w:rPr>
        <w:t>九泰点评</w:t>
      </w:r>
      <w:proofErr w:type="gramEnd"/>
      <w:r w:rsidRPr="00855CDD">
        <w:rPr>
          <w:rFonts w:ascii="微软雅黑" w:eastAsia="微软雅黑" w:hAnsi="微软雅黑" w:cs="宋体" w:hint="eastAsia"/>
          <w:b/>
          <w:kern w:val="0"/>
          <w:sz w:val="24"/>
          <w:szCs w:val="24"/>
        </w:rPr>
        <w:t>：</w:t>
      </w:r>
      <w:r w:rsidRPr="00855CDD">
        <w:rPr>
          <w:rFonts w:ascii="微软雅黑" w:eastAsia="微软雅黑" w:hAnsi="微软雅黑" w:cs="宋体"/>
          <w:kern w:val="0"/>
          <w:sz w:val="24"/>
          <w:szCs w:val="24"/>
        </w:rPr>
        <w:t>优先股给挂牌企业提供了一种额外的融资手段，相对传统股权融资和银行信贷，具有成本低廉、操作方便、不稀释控股权表决权等优点，对于经营业绩优良、质地优秀的企业具有一定吸引力。优先股的率先落地也为市场注入了一定的信心，为股</w:t>
      </w:r>
      <w:proofErr w:type="gramStart"/>
      <w:r w:rsidRPr="00855CDD">
        <w:rPr>
          <w:rFonts w:ascii="微软雅黑" w:eastAsia="微软雅黑" w:hAnsi="微软雅黑" w:cs="宋体"/>
          <w:kern w:val="0"/>
          <w:sz w:val="24"/>
          <w:szCs w:val="24"/>
        </w:rPr>
        <w:t>转系统</w:t>
      </w:r>
      <w:proofErr w:type="gramEnd"/>
      <w:r w:rsidRPr="00855CDD">
        <w:rPr>
          <w:rFonts w:ascii="微软雅黑" w:eastAsia="微软雅黑" w:hAnsi="微软雅黑" w:cs="宋体"/>
          <w:kern w:val="0"/>
          <w:sz w:val="24"/>
          <w:szCs w:val="24"/>
        </w:rPr>
        <w:t>其他的创新配套政策开展和实施奠定了基础。</w:t>
      </w:r>
    </w:p>
    <w:p w:rsidR="00855CDD" w:rsidRPr="00855CDD" w:rsidRDefault="00855CDD" w:rsidP="00855CDD">
      <w:pPr>
        <w:widowControl/>
        <w:jc w:val="left"/>
        <w:rPr>
          <w:rFonts w:ascii="微软雅黑" w:eastAsia="微软雅黑" w:hAnsi="微软雅黑" w:cs="宋体" w:hint="eastAsia"/>
          <w:b/>
          <w:color w:val="000000" w:themeColor="text1"/>
          <w:kern w:val="0"/>
          <w:sz w:val="24"/>
          <w:szCs w:val="24"/>
        </w:rPr>
      </w:pPr>
      <w:r w:rsidRPr="00855CDD">
        <w:rPr>
          <w:rFonts w:ascii="微软雅黑" w:eastAsia="微软雅黑" w:hAnsi="微软雅黑" w:cs="宋体"/>
          <w:b/>
          <w:color w:val="000000" w:themeColor="text1"/>
          <w:kern w:val="0"/>
          <w:sz w:val="24"/>
          <w:szCs w:val="24"/>
        </w:rPr>
        <w:t>新三板市场数据深度分析</w:t>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kern w:val="0"/>
          <w:sz w:val="23"/>
          <w:szCs w:val="23"/>
        </w:rPr>
        <w:t>市场规模数据</w:t>
      </w:r>
    </w:p>
    <w:p w:rsidR="00855CDD" w:rsidRPr="00855CDD" w:rsidRDefault="00855CDD" w:rsidP="00855CDD">
      <w:pPr>
        <w:widowControl/>
        <w:spacing w:line="420" w:lineRule="atLeast"/>
        <w:ind w:firstLine="480"/>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3"/>
          <w:szCs w:val="23"/>
        </w:rPr>
        <w:t>截至2016年8月12日，新三板挂牌企业总数达到8542家，其中协议转让6928家，做市转让1614家。上周新增挂牌企业396家，创下有史以来周挂牌企业数量的最高纪录。按照证监会</w:t>
      </w:r>
      <w:proofErr w:type="gramStart"/>
      <w:r w:rsidRPr="00855CDD">
        <w:rPr>
          <w:rFonts w:ascii="微软雅黑" w:eastAsia="微软雅黑" w:hAnsi="微软雅黑" w:cs="宋体" w:hint="eastAsia"/>
          <w:kern w:val="0"/>
          <w:sz w:val="23"/>
          <w:szCs w:val="23"/>
        </w:rPr>
        <w:t>一级行业</w:t>
      </w:r>
      <w:proofErr w:type="gramEnd"/>
      <w:r w:rsidRPr="00855CDD">
        <w:rPr>
          <w:rFonts w:ascii="微软雅黑" w:eastAsia="微软雅黑" w:hAnsi="微软雅黑" w:cs="宋体" w:hint="eastAsia"/>
          <w:kern w:val="0"/>
          <w:sz w:val="23"/>
          <w:szCs w:val="23"/>
        </w:rPr>
        <w:t>分布来看，整个新三板市场中，制造业与信息传输、软件和信息技术服务业企业占比达70%以上，为新三板的绝对主力。</w:t>
      </w:r>
    </w:p>
    <w:p w:rsidR="00855CDD" w:rsidRPr="00855CDD" w:rsidRDefault="00855CDD" w:rsidP="00855CDD">
      <w:pPr>
        <w:widowControl/>
        <w:shd w:val="clear" w:color="auto" w:fill="FFFFFF"/>
        <w:spacing w:line="480"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color w:val="F79646"/>
          <w:kern w:val="0"/>
          <w:sz w:val="24"/>
          <w:szCs w:val="24"/>
        </w:rPr>
        <w:t>上周新增挂牌公司概况</w:t>
      </w:r>
    </w:p>
    <w:p w:rsidR="00855CDD" w:rsidRPr="00855CDD" w:rsidRDefault="00855CDD" w:rsidP="00855CDD">
      <w:pPr>
        <w:widowControl/>
        <w:shd w:val="clear" w:color="auto" w:fill="FFFFFF"/>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noProof/>
          <w:color w:val="3E3E3E"/>
          <w:kern w:val="0"/>
          <w:sz w:val="24"/>
          <w:szCs w:val="24"/>
        </w:rPr>
        <w:drawing>
          <wp:inline distT="0" distB="0" distL="0" distR="0">
            <wp:extent cx="5627192" cy="1436370"/>
            <wp:effectExtent l="0" t="0" r="0" b="0"/>
            <wp:docPr id="13" name="图片 13" descr="https://mmbiz.qlogo.cn/mmbiz_png/wyBIcVjib6Iw2aH0nibFCZnkW0GcQicQv3UTJJhUqLOcIIibWA9ShlJ9XJTwGCAWjSQMhGWAj5z879PicE9abN31eSg/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mbiz.qlogo.cn/mmbiz_png/wyBIcVjib6Iw2aH0nibFCZnkW0GcQicQv3UTJJhUqLOcIIibWA9ShlJ9XJTwGCAWjSQMhGWAj5z879PicE9abN31eSg/0?wx_fm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44918" cy="1440895"/>
                    </a:xfrm>
                    <a:prstGeom prst="rect">
                      <a:avLst/>
                    </a:prstGeom>
                    <a:noFill/>
                    <a:ln>
                      <a:noFill/>
                    </a:ln>
                  </pic:spPr>
                </pic:pic>
              </a:graphicData>
            </a:graphic>
          </wp:inline>
        </w:drawing>
      </w:r>
    </w:p>
    <w:p w:rsidR="00855CDD" w:rsidRPr="00855CDD" w:rsidRDefault="00855CDD" w:rsidP="00855CDD">
      <w:pPr>
        <w:widowControl/>
        <w:shd w:val="clear" w:color="auto" w:fill="FFFFFF"/>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color w:val="F79646"/>
          <w:kern w:val="0"/>
          <w:sz w:val="24"/>
          <w:szCs w:val="24"/>
        </w:rPr>
        <w:t>上周市场规模统计</w:t>
      </w:r>
    </w:p>
    <w:p w:rsidR="00855CDD" w:rsidRPr="00855CDD" w:rsidRDefault="00855CDD" w:rsidP="00855CDD">
      <w:pPr>
        <w:widowControl/>
        <w:shd w:val="clear" w:color="auto" w:fill="FFFFFF"/>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noProof/>
          <w:color w:val="3E3E3E"/>
          <w:kern w:val="0"/>
          <w:sz w:val="24"/>
          <w:szCs w:val="24"/>
        </w:rPr>
        <w:lastRenderedPageBreak/>
        <w:drawing>
          <wp:inline distT="0" distB="0" distL="0" distR="0">
            <wp:extent cx="5534025" cy="1227914"/>
            <wp:effectExtent l="0" t="0" r="0" b="0"/>
            <wp:docPr id="12" name="图片 12" descr="https://mmbiz.qlogo.cn/mmbiz_png/wyBIcVjib6Iw2aH0nibFCZnkW0GcQicQv3UZUhjCeOrDv2yBdib3r0Gn7ib8tGAKAN9w7nrmSyK5AqVekNKFASmFKuA/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mbiz.qlogo.cn/mmbiz_png/wyBIcVjib6Iw2aH0nibFCZnkW0GcQicQv3UZUhjCeOrDv2yBdib3r0Gn7ib8tGAKAN9w7nrmSyK5AqVekNKFASmFKuA/0?wx_fm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54156" cy="1232381"/>
                    </a:xfrm>
                    <a:prstGeom prst="rect">
                      <a:avLst/>
                    </a:prstGeom>
                    <a:noFill/>
                    <a:ln>
                      <a:noFill/>
                    </a:ln>
                  </pic:spPr>
                </pic:pic>
              </a:graphicData>
            </a:graphic>
          </wp:inline>
        </w:drawing>
      </w:r>
    </w:p>
    <w:p w:rsidR="00855CDD" w:rsidRPr="00855CDD" w:rsidRDefault="00855CDD" w:rsidP="00855CDD">
      <w:pPr>
        <w:widowControl/>
        <w:shd w:val="clear" w:color="auto" w:fill="FFFFFF"/>
        <w:spacing w:line="384" w:lineRule="atLeast"/>
        <w:jc w:val="left"/>
        <w:rPr>
          <w:rFonts w:ascii="微软雅黑" w:eastAsia="微软雅黑" w:hAnsi="微软雅黑" w:cs="宋体"/>
          <w:color w:val="3E3E3E"/>
          <w:kern w:val="0"/>
          <w:sz w:val="24"/>
          <w:szCs w:val="24"/>
        </w:rPr>
      </w:pPr>
      <w:r w:rsidRPr="00855CDD">
        <w:rPr>
          <w:rFonts w:ascii="微软雅黑" w:eastAsia="微软雅黑" w:hAnsi="微软雅黑" w:cs="宋体"/>
          <w:noProof/>
          <w:color w:val="3E3E3E"/>
          <w:kern w:val="0"/>
          <w:sz w:val="24"/>
          <w:szCs w:val="24"/>
        </w:rPr>
        <w:drawing>
          <wp:inline distT="0" distB="0" distL="0" distR="0">
            <wp:extent cx="5486400" cy="2883243"/>
            <wp:effectExtent l="0" t="0" r="0" b="0"/>
            <wp:docPr id="11" name="图片 11" descr="https://mmbiz.qlogo.cn/mmbiz_png/wyBIcVjib6Iw2aH0nibFCZnkW0GcQicQv3UMzSpxpahSUUcIMn5icQ8jjV67UUqFTh3IPRtaR8hONwYybZZ2tZ0qiaw/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biz.qlogo.cn/mmbiz_png/wyBIcVjib6Iw2aH0nibFCZnkW0GcQicQv3UMzSpxpahSUUcIMn5icQ8jjV67UUqFTh3IPRtaR8hONwYybZZ2tZ0qiaw/0?wx_fm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91287" cy="2885811"/>
                    </a:xfrm>
                    <a:prstGeom prst="rect">
                      <a:avLst/>
                    </a:prstGeom>
                    <a:noFill/>
                    <a:ln>
                      <a:noFill/>
                    </a:ln>
                  </pic:spPr>
                </pic:pic>
              </a:graphicData>
            </a:graphic>
          </wp:inline>
        </w:drawing>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kern w:val="0"/>
          <w:sz w:val="23"/>
          <w:szCs w:val="23"/>
        </w:rPr>
        <w:t>市场交易数据</w:t>
      </w:r>
      <w:r w:rsidRPr="00855CDD">
        <w:rPr>
          <w:rFonts w:ascii="微软雅黑" w:eastAsia="微软雅黑" w:hAnsi="微软雅黑" w:cs="宋体" w:hint="eastAsia"/>
          <w:color w:val="3E3E3E"/>
          <w:kern w:val="0"/>
          <w:sz w:val="23"/>
          <w:szCs w:val="23"/>
          <w:shd w:val="clear" w:color="auto" w:fill="FFFFFF"/>
        </w:rPr>
        <w:t xml:space="preserve">  </w:t>
      </w:r>
    </w:p>
    <w:p w:rsidR="00855CDD" w:rsidRPr="00855CDD" w:rsidRDefault="00855CDD" w:rsidP="00855CDD">
      <w:pPr>
        <w:widowControl/>
        <w:spacing w:line="420" w:lineRule="atLeast"/>
        <w:ind w:firstLine="480"/>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3"/>
          <w:szCs w:val="23"/>
        </w:rPr>
        <w:t>8月8日至8月12日间，市场总成交59254.36万股，较上上周增加28.36%；成交金额331742.82万元，较上上周增加6.26%，交易活跃度略有改善；成交均价5.60元，较上上周降低17.22%。</w:t>
      </w:r>
    </w:p>
    <w:p w:rsidR="00855CDD" w:rsidRPr="00855CDD" w:rsidRDefault="00855CDD" w:rsidP="00855CDD">
      <w:pPr>
        <w:widowControl/>
        <w:shd w:val="clear" w:color="auto" w:fill="FFFFFF"/>
        <w:spacing w:line="384" w:lineRule="atLeast"/>
        <w:ind w:firstLine="480"/>
        <w:jc w:val="center"/>
        <w:rPr>
          <w:rFonts w:ascii="微软雅黑" w:eastAsia="微软雅黑" w:hAnsi="微软雅黑" w:cs="宋体"/>
          <w:color w:val="3E3E3E"/>
          <w:kern w:val="0"/>
          <w:sz w:val="24"/>
          <w:szCs w:val="24"/>
        </w:rPr>
      </w:pPr>
      <w:r w:rsidRPr="00855CDD">
        <w:rPr>
          <w:rFonts w:ascii="微软雅黑" w:eastAsia="微软雅黑" w:hAnsi="微软雅黑" w:cs="宋体"/>
          <w:color w:val="F79646"/>
          <w:kern w:val="0"/>
          <w:sz w:val="24"/>
          <w:szCs w:val="24"/>
        </w:rPr>
        <w:lastRenderedPageBreak/>
        <w:t>上周市场概览</w:t>
      </w:r>
      <w:r w:rsidRPr="00855CDD">
        <w:rPr>
          <w:rFonts w:ascii="微软雅黑" w:eastAsia="微软雅黑" w:hAnsi="微软雅黑" w:cs="宋体"/>
          <w:noProof/>
          <w:color w:val="3E3E3E"/>
          <w:kern w:val="0"/>
          <w:sz w:val="24"/>
          <w:szCs w:val="24"/>
        </w:rPr>
        <w:drawing>
          <wp:inline distT="0" distB="0" distL="0" distR="0">
            <wp:extent cx="5610225" cy="3124359"/>
            <wp:effectExtent l="0" t="0" r="0" b="0"/>
            <wp:docPr id="10" name="图片 10" descr="https://mmbiz.qlogo.cn/mmbiz_png/wyBIcVjib6Iw2aH0nibFCZnkW0GcQicQv3U2NZcUAS72JyctX41ApZbZiaTIzVHOOdIlfwA3v3kdiaqMHIBzVk2hJtA/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mbiz.qlogo.cn/mmbiz_png/wyBIcVjib6Iw2aH0nibFCZnkW0GcQicQv3U2NZcUAS72JyctX41ApZbZiaTIzVHOOdIlfwA3v3kdiaqMHIBzVk2hJtA/0?wx_fmt=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4978" cy="3127006"/>
                    </a:xfrm>
                    <a:prstGeom prst="rect">
                      <a:avLst/>
                    </a:prstGeom>
                    <a:noFill/>
                    <a:ln>
                      <a:noFill/>
                    </a:ln>
                  </pic:spPr>
                </pic:pic>
              </a:graphicData>
            </a:graphic>
          </wp:inline>
        </w:drawing>
      </w:r>
    </w:p>
    <w:p w:rsidR="00855CDD" w:rsidRPr="00855CDD" w:rsidRDefault="00855CDD" w:rsidP="00855CDD">
      <w:pPr>
        <w:widowControl/>
        <w:shd w:val="clear" w:color="auto" w:fill="FFFFFF"/>
        <w:spacing w:line="384" w:lineRule="atLeast"/>
        <w:ind w:firstLine="480"/>
        <w:jc w:val="center"/>
        <w:rPr>
          <w:rFonts w:ascii="微软雅黑" w:eastAsia="微软雅黑" w:hAnsi="微软雅黑" w:cs="宋体"/>
          <w:color w:val="3E3E3E"/>
          <w:kern w:val="0"/>
          <w:sz w:val="24"/>
          <w:szCs w:val="24"/>
        </w:rPr>
      </w:pPr>
    </w:p>
    <w:p w:rsidR="00855CDD" w:rsidRPr="00855CDD" w:rsidRDefault="00855CDD" w:rsidP="00855CDD">
      <w:pPr>
        <w:widowControl/>
        <w:shd w:val="clear" w:color="auto" w:fill="FFFFFF"/>
        <w:spacing w:line="384" w:lineRule="atLeast"/>
        <w:jc w:val="left"/>
        <w:rPr>
          <w:rFonts w:ascii="微软雅黑" w:eastAsia="微软雅黑" w:hAnsi="微软雅黑" w:cs="宋体"/>
          <w:color w:val="3E3E3E"/>
          <w:kern w:val="0"/>
          <w:sz w:val="24"/>
          <w:szCs w:val="24"/>
        </w:rPr>
      </w:pPr>
      <w:r w:rsidRPr="00855CDD">
        <w:rPr>
          <w:rFonts w:ascii="微软雅黑" w:eastAsia="微软雅黑" w:hAnsi="微软雅黑" w:cs="宋体"/>
          <w:noProof/>
          <w:color w:val="F79646"/>
          <w:kern w:val="0"/>
          <w:sz w:val="24"/>
          <w:szCs w:val="24"/>
        </w:rPr>
        <w:drawing>
          <wp:inline distT="0" distB="0" distL="0" distR="0">
            <wp:extent cx="5429250" cy="3050413"/>
            <wp:effectExtent l="0" t="0" r="0" b="0"/>
            <wp:docPr id="9" name="图片 9" descr="https://mmbiz.qlogo.cn/mmbiz_png/wyBIcVjib6Iw2aH0nibFCZnkW0GcQicQv3U0jR3G2bEWOY9ztazViccyFrTwlJQ0GVtoic9XdWWMxNsG795ZPZVDlUQ/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mbiz.qlogo.cn/mmbiz_png/wyBIcVjib6Iw2aH0nibFCZnkW0GcQicQv3U0jR3G2bEWOY9ztazViccyFrTwlJQ0GVtoic9XdWWMxNsG795ZPZVDlUQ/0?wx_fm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7141" cy="3054847"/>
                    </a:xfrm>
                    <a:prstGeom prst="rect">
                      <a:avLst/>
                    </a:prstGeom>
                    <a:noFill/>
                    <a:ln>
                      <a:noFill/>
                    </a:ln>
                  </pic:spPr>
                </pic:pic>
              </a:graphicData>
            </a:graphic>
          </wp:inline>
        </w:drawing>
      </w:r>
    </w:p>
    <w:p w:rsidR="00855CDD" w:rsidRPr="00855CDD" w:rsidRDefault="00855CDD" w:rsidP="00855CDD">
      <w:pPr>
        <w:widowControl/>
        <w:spacing w:line="420" w:lineRule="atLeast"/>
        <w:ind w:firstLine="480"/>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3"/>
          <w:szCs w:val="23"/>
        </w:rPr>
        <w:t>按照万得二级行业分类，上周成交数量排名前三的行业板块为多元金融、软件与服务和材料行业。个股成交上，成交金额最多的分别为东海证券、永安期货和</w:t>
      </w:r>
      <w:proofErr w:type="gramStart"/>
      <w:r w:rsidRPr="00855CDD">
        <w:rPr>
          <w:rFonts w:ascii="微软雅黑" w:eastAsia="微软雅黑" w:hAnsi="微软雅黑" w:cs="宋体" w:hint="eastAsia"/>
          <w:kern w:val="0"/>
          <w:sz w:val="23"/>
          <w:szCs w:val="23"/>
        </w:rPr>
        <w:t>君实</w:t>
      </w:r>
      <w:proofErr w:type="gramEnd"/>
      <w:r w:rsidRPr="00855CDD">
        <w:rPr>
          <w:rFonts w:ascii="微软雅黑" w:eastAsia="微软雅黑" w:hAnsi="微软雅黑" w:cs="宋体" w:hint="eastAsia"/>
          <w:kern w:val="0"/>
          <w:sz w:val="23"/>
          <w:szCs w:val="23"/>
        </w:rPr>
        <w:t>生物；成交数量最多的为东海证券、永安期货和</w:t>
      </w:r>
      <w:proofErr w:type="gramStart"/>
      <w:r w:rsidRPr="00855CDD">
        <w:rPr>
          <w:rFonts w:ascii="微软雅黑" w:eastAsia="微软雅黑" w:hAnsi="微软雅黑" w:cs="宋体" w:hint="eastAsia"/>
          <w:kern w:val="0"/>
          <w:sz w:val="23"/>
          <w:szCs w:val="23"/>
        </w:rPr>
        <w:t>联讯</w:t>
      </w:r>
      <w:proofErr w:type="gramEnd"/>
      <w:r w:rsidRPr="00855CDD">
        <w:rPr>
          <w:rFonts w:ascii="微软雅黑" w:eastAsia="微软雅黑" w:hAnsi="微软雅黑" w:cs="宋体" w:hint="eastAsia"/>
          <w:kern w:val="0"/>
          <w:sz w:val="23"/>
          <w:szCs w:val="23"/>
        </w:rPr>
        <w:t>证券。上周换手率最高的前三名企业分别为麦凯智造、</w:t>
      </w:r>
      <w:proofErr w:type="gramStart"/>
      <w:r w:rsidRPr="00855CDD">
        <w:rPr>
          <w:rFonts w:ascii="微软雅黑" w:eastAsia="微软雅黑" w:hAnsi="微软雅黑" w:cs="宋体" w:hint="eastAsia"/>
          <w:kern w:val="0"/>
          <w:sz w:val="23"/>
          <w:szCs w:val="23"/>
        </w:rPr>
        <w:t>大德捷盈和中</w:t>
      </w:r>
      <w:proofErr w:type="gramEnd"/>
      <w:r w:rsidRPr="00855CDD">
        <w:rPr>
          <w:rFonts w:ascii="微软雅黑" w:eastAsia="微软雅黑" w:hAnsi="微软雅黑" w:cs="宋体" w:hint="eastAsia"/>
          <w:kern w:val="0"/>
          <w:sz w:val="23"/>
          <w:szCs w:val="23"/>
        </w:rPr>
        <w:t>旭石化。</w:t>
      </w:r>
    </w:p>
    <w:p w:rsidR="00855CDD" w:rsidRPr="00855CDD" w:rsidRDefault="00855CDD" w:rsidP="00855CDD">
      <w:pPr>
        <w:widowControl/>
        <w:shd w:val="clear" w:color="auto" w:fill="FFFFFF"/>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color w:val="F79646"/>
          <w:kern w:val="0"/>
          <w:sz w:val="24"/>
          <w:szCs w:val="24"/>
        </w:rPr>
        <w:lastRenderedPageBreak/>
        <w:t>上周挂牌公司股票成交额前10名</w:t>
      </w:r>
    </w:p>
    <w:p w:rsidR="00855CDD" w:rsidRPr="00855CDD" w:rsidRDefault="00855CDD" w:rsidP="00855CDD">
      <w:pPr>
        <w:widowControl/>
        <w:shd w:val="clear" w:color="auto" w:fill="FFFFFF"/>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noProof/>
          <w:color w:val="3E3E3E"/>
          <w:kern w:val="0"/>
          <w:sz w:val="24"/>
          <w:szCs w:val="24"/>
        </w:rPr>
        <w:drawing>
          <wp:inline distT="0" distB="0" distL="0" distR="0">
            <wp:extent cx="5436664" cy="3324225"/>
            <wp:effectExtent l="0" t="0" r="0" b="0"/>
            <wp:docPr id="8" name="图片 8" descr="https://mmbiz.qlogo.cn/mmbiz_png/wyBIcVjib6Iw2aH0nibFCZnkW0GcQicQv3UcictrI20icYfwvWf5ibg1MF2mDEq2KQB6Tdn1URiaaXlsNmlkQycEgpzYA/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biz.qlogo.cn/mmbiz_png/wyBIcVjib6Iw2aH0nibFCZnkW0GcQicQv3UcictrI20icYfwvWf5ibg1MF2mDEq2KQB6Tdn1URiaaXlsNmlkQycEgpzYA/0?wx_fm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4866" cy="3329240"/>
                    </a:xfrm>
                    <a:prstGeom prst="rect">
                      <a:avLst/>
                    </a:prstGeom>
                    <a:noFill/>
                    <a:ln>
                      <a:noFill/>
                    </a:ln>
                  </pic:spPr>
                </pic:pic>
              </a:graphicData>
            </a:graphic>
          </wp:inline>
        </w:drawing>
      </w:r>
    </w:p>
    <w:p w:rsidR="00855CDD" w:rsidRPr="00855CDD" w:rsidRDefault="00855CDD" w:rsidP="00855CDD">
      <w:pPr>
        <w:widowControl/>
        <w:shd w:val="clear" w:color="auto" w:fill="FFFFFF"/>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color w:val="F79646"/>
          <w:kern w:val="0"/>
          <w:sz w:val="24"/>
          <w:szCs w:val="24"/>
        </w:rPr>
        <w:t>上周挂牌公司股票成交数量前10名</w:t>
      </w:r>
    </w:p>
    <w:p w:rsidR="00855CDD" w:rsidRPr="00855CDD" w:rsidRDefault="00855CDD" w:rsidP="00855CDD">
      <w:pPr>
        <w:widowControl/>
        <w:shd w:val="clear" w:color="auto" w:fill="FFFFFF"/>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noProof/>
          <w:color w:val="3E3E3E"/>
          <w:kern w:val="0"/>
          <w:sz w:val="24"/>
          <w:szCs w:val="24"/>
        </w:rPr>
        <w:drawing>
          <wp:inline distT="0" distB="0" distL="0" distR="0">
            <wp:extent cx="5728221" cy="3457575"/>
            <wp:effectExtent l="0" t="0" r="6350" b="0"/>
            <wp:docPr id="7" name="图片 7" descr="https://mmbiz.qlogo.cn/mmbiz_png/wyBIcVjib6Iw2aH0nibFCZnkW0GcQicQv3U3RVhREHJibGpPGzATmBslGqBXzXibFdBibQn1pJ0cnGaia20MGflgttplA/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mbiz.qlogo.cn/mmbiz_png/wyBIcVjib6Iw2aH0nibFCZnkW0GcQicQv3U3RVhREHJibGpPGzATmBslGqBXzXibFdBibQn1pJ0cnGaia20MGflgttplA/0?wx_fm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2245" cy="3460004"/>
                    </a:xfrm>
                    <a:prstGeom prst="rect">
                      <a:avLst/>
                    </a:prstGeom>
                    <a:noFill/>
                    <a:ln>
                      <a:noFill/>
                    </a:ln>
                  </pic:spPr>
                </pic:pic>
              </a:graphicData>
            </a:graphic>
          </wp:inline>
        </w:drawing>
      </w:r>
    </w:p>
    <w:p w:rsidR="00855CDD" w:rsidRPr="00855CDD" w:rsidRDefault="00855CDD" w:rsidP="00855CDD">
      <w:pPr>
        <w:widowControl/>
        <w:shd w:val="clear" w:color="auto" w:fill="FFFFFF"/>
        <w:spacing w:line="384" w:lineRule="atLeast"/>
        <w:ind w:firstLine="480"/>
        <w:jc w:val="center"/>
        <w:rPr>
          <w:rFonts w:ascii="微软雅黑" w:eastAsia="微软雅黑" w:hAnsi="微软雅黑" w:cs="宋体"/>
          <w:color w:val="3E3E3E"/>
          <w:kern w:val="0"/>
          <w:sz w:val="24"/>
          <w:szCs w:val="24"/>
        </w:rPr>
      </w:pPr>
      <w:r w:rsidRPr="00855CDD">
        <w:rPr>
          <w:rFonts w:ascii="微软雅黑" w:eastAsia="微软雅黑" w:hAnsi="微软雅黑" w:cs="宋体"/>
          <w:color w:val="F79646"/>
          <w:kern w:val="0"/>
          <w:sz w:val="24"/>
          <w:szCs w:val="24"/>
        </w:rPr>
        <w:t>上周新三板</w:t>
      </w:r>
      <w:proofErr w:type="gramStart"/>
      <w:r w:rsidRPr="00855CDD">
        <w:rPr>
          <w:rFonts w:ascii="微软雅黑" w:eastAsia="微软雅黑" w:hAnsi="微软雅黑" w:cs="宋体"/>
          <w:color w:val="F79646"/>
          <w:kern w:val="0"/>
          <w:sz w:val="24"/>
          <w:szCs w:val="24"/>
        </w:rPr>
        <w:t>换手率前十名</w:t>
      </w:r>
      <w:proofErr w:type="gramEnd"/>
    </w:p>
    <w:p w:rsidR="00855CDD" w:rsidRPr="00855CDD" w:rsidRDefault="00855CDD" w:rsidP="00855CDD">
      <w:pPr>
        <w:widowControl/>
        <w:shd w:val="clear" w:color="auto" w:fill="FFFFFF"/>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noProof/>
          <w:color w:val="3E3E3E"/>
          <w:kern w:val="0"/>
          <w:sz w:val="24"/>
          <w:szCs w:val="24"/>
        </w:rPr>
        <w:lastRenderedPageBreak/>
        <w:drawing>
          <wp:inline distT="0" distB="0" distL="0" distR="0">
            <wp:extent cx="5610225" cy="3418599"/>
            <wp:effectExtent l="0" t="0" r="0" b="0"/>
            <wp:docPr id="6" name="图片 6" descr="https://mmbiz.qlogo.cn/mmbiz_png/wyBIcVjib6Iw2aH0nibFCZnkW0GcQicQv3UbQtA3918X11KCUkJaHcl2KdZvZ5aXTGvNsYNantibvlHxtia7TlAjIjg/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mbiz.qlogo.cn/mmbiz_png/wyBIcVjib6Iw2aH0nibFCZnkW0GcQicQv3UbQtA3918X11KCUkJaHcl2KdZvZ5aXTGvNsYNantibvlHxtia7TlAjIjg/0?wx_fm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4702" cy="3421327"/>
                    </a:xfrm>
                    <a:prstGeom prst="rect">
                      <a:avLst/>
                    </a:prstGeom>
                    <a:noFill/>
                    <a:ln>
                      <a:noFill/>
                    </a:ln>
                  </pic:spPr>
                </pic:pic>
              </a:graphicData>
            </a:graphic>
          </wp:inline>
        </w:drawing>
      </w:r>
    </w:p>
    <w:p w:rsidR="00855CDD" w:rsidRPr="00855CDD" w:rsidRDefault="00855CDD" w:rsidP="00855CDD">
      <w:pPr>
        <w:widowControl/>
        <w:shd w:val="clear" w:color="auto" w:fill="FFFFFF"/>
        <w:spacing w:line="384" w:lineRule="atLeast"/>
        <w:jc w:val="left"/>
        <w:rPr>
          <w:rFonts w:ascii="微软雅黑" w:eastAsia="微软雅黑" w:hAnsi="微软雅黑" w:cs="宋体"/>
          <w:color w:val="3E3E3E"/>
          <w:kern w:val="0"/>
          <w:sz w:val="24"/>
          <w:szCs w:val="24"/>
        </w:rPr>
      </w:pP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kern w:val="0"/>
          <w:sz w:val="23"/>
          <w:szCs w:val="23"/>
        </w:rPr>
        <w:t>三板指数分析</w:t>
      </w:r>
    </w:p>
    <w:p w:rsidR="00855CDD" w:rsidRPr="00855CDD" w:rsidRDefault="00855CDD" w:rsidP="00855CDD">
      <w:pPr>
        <w:widowControl/>
        <w:spacing w:line="420" w:lineRule="atLeast"/>
        <w:ind w:firstLine="480"/>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3"/>
          <w:szCs w:val="23"/>
        </w:rPr>
        <w:t>上周三板成指小幅下跌1.16%，收于1,148.42点；做市指数继续维持其下跌态势，周跌幅0.37%，收于1,091.06点，不断刷新2015年股灾至今的新低。</w:t>
      </w:r>
    </w:p>
    <w:p w:rsidR="00855CDD" w:rsidRPr="00855CDD" w:rsidRDefault="00855CDD" w:rsidP="00855CDD">
      <w:pPr>
        <w:widowControl/>
        <w:ind w:firstLine="480"/>
        <w:jc w:val="center"/>
        <w:rPr>
          <w:rFonts w:ascii="微软雅黑" w:eastAsia="微软雅黑" w:hAnsi="微软雅黑" w:cs="宋体"/>
          <w:kern w:val="0"/>
          <w:sz w:val="24"/>
          <w:szCs w:val="24"/>
        </w:rPr>
      </w:pPr>
      <w:r w:rsidRPr="00855CDD">
        <w:rPr>
          <w:rFonts w:ascii="微软雅黑" w:eastAsia="微软雅黑" w:hAnsi="微软雅黑" w:cs="宋体" w:hint="eastAsia"/>
          <w:color w:val="F79646"/>
          <w:kern w:val="0"/>
          <w:sz w:val="23"/>
          <w:szCs w:val="23"/>
        </w:rPr>
        <w:t>上周新三板指数概况</w:t>
      </w:r>
    </w:p>
    <w:p w:rsidR="00855CDD" w:rsidRPr="00855CDD" w:rsidRDefault="00855CDD" w:rsidP="00855CDD">
      <w:pPr>
        <w:widowControl/>
        <w:spacing w:line="384" w:lineRule="atLeast"/>
        <w:jc w:val="center"/>
        <w:rPr>
          <w:rFonts w:ascii="微软雅黑" w:eastAsia="微软雅黑" w:hAnsi="微软雅黑" w:cs="宋体"/>
          <w:color w:val="3E3E3E"/>
          <w:kern w:val="0"/>
          <w:sz w:val="24"/>
          <w:szCs w:val="24"/>
        </w:rPr>
      </w:pPr>
      <w:r w:rsidRPr="00855CDD">
        <w:rPr>
          <w:rFonts w:ascii="微软雅黑" w:eastAsia="微软雅黑" w:hAnsi="微软雅黑" w:cs="宋体"/>
          <w:noProof/>
          <w:color w:val="3E3E3E"/>
          <w:kern w:val="0"/>
          <w:sz w:val="24"/>
          <w:szCs w:val="24"/>
        </w:rPr>
        <w:drawing>
          <wp:inline distT="0" distB="0" distL="0" distR="0">
            <wp:extent cx="5674502" cy="973981"/>
            <wp:effectExtent l="0" t="0" r="2540" b="0"/>
            <wp:docPr id="5" name="图片 5" descr="https://mmbiz.qlogo.cn/mmbiz_png/wyBIcVjib6Iw2aH0nibFCZnkW0GcQicQv3USsQtbCf50zzBFn7CyH1K57PodX4Azv7narQ31uW854pRIu08apw3QQ/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mbiz.qlogo.cn/mmbiz_png/wyBIcVjib6Iw2aH0nibFCZnkW0GcQicQv3USsQtbCf50zzBFn7CyH1K57PodX4Azv7narQ31uW854pRIu08apw3QQ/0?wx_fmt=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733" cy="983804"/>
                    </a:xfrm>
                    <a:prstGeom prst="rect">
                      <a:avLst/>
                    </a:prstGeom>
                    <a:noFill/>
                    <a:ln>
                      <a:noFill/>
                    </a:ln>
                  </pic:spPr>
                </pic:pic>
              </a:graphicData>
            </a:graphic>
          </wp:inline>
        </w:drawing>
      </w:r>
    </w:p>
    <w:p w:rsidR="00855CDD" w:rsidRPr="00855CDD" w:rsidRDefault="00855CDD" w:rsidP="00855CDD">
      <w:pPr>
        <w:widowControl/>
        <w:shd w:val="clear" w:color="auto" w:fill="FFFFFF"/>
        <w:ind w:firstLine="420"/>
        <w:jc w:val="center"/>
        <w:rPr>
          <w:rFonts w:ascii="微软雅黑" w:eastAsia="微软雅黑" w:hAnsi="微软雅黑" w:cs="宋体"/>
          <w:kern w:val="0"/>
          <w:sz w:val="24"/>
          <w:szCs w:val="24"/>
        </w:rPr>
      </w:pPr>
      <w:r w:rsidRPr="00855CDD">
        <w:rPr>
          <w:rFonts w:ascii="微软雅黑" w:eastAsia="微软雅黑" w:hAnsi="微软雅黑" w:cs="宋体" w:hint="eastAsia"/>
          <w:color w:val="F79646"/>
          <w:kern w:val="0"/>
          <w:sz w:val="23"/>
          <w:szCs w:val="23"/>
        </w:rPr>
        <w:lastRenderedPageBreak/>
        <w:t>2016年6月份以来三板做市指数走势</w:t>
      </w:r>
      <w:r w:rsidRPr="00855CDD">
        <w:rPr>
          <w:rFonts w:ascii="微软雅黑" w:eastAsia="微软雅黑" w:hAnsi="微软雅黑" w:cs="宋体"/>
          <w:noProof/>
          <w:kern w:val="0"/>
          <w:sz w:val="24"/>
          <w:szCs w:val="24"/>
        </w:rPr>
        <w:drawing>
          <wp:inline distT="0" distB="0" distL="0" distR="0">
            <wp:extent cx="5629275" cy="3215484"/>
            <wp:effectExtent l="0" t="0" r="0" b="4445"/>
            <wp:docPr id="4" name="图片 4" descr="https://mmbiz.qlogo.cn/mmbiz_png/wyBIcVjib6Iw2aH0nibFCZnkW0GcQicQv3UTx5RKnsUG7W7gib8J3HyYmTxA37quH85HpP9UsGybcZDwTpVv94heuA/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mmbiz.qlogo.cn/mmbiz_png/wyBIcVjib6Iw2aH0nibFCZnkW0GcQicQv3UTx5RKnsUG7W7gib8J3HyYmTxA37quH85HpP9UsGybcZDwTpVv94heuA/0?wx_fmt=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7468" cy="3220164"/>
                    </a:xfrm>
                    <a:prstGeom prst="rect">
                      <a:avLst/>
                    </a:prstGeom>
                    <a:noFill/>
                    <a:ln>
                      <a:noFill/>
                    </a:ln>
                  </pic:spPr>
                </pic:pic>
              </a:graphicData>
            </a:graphic>
          </wp:inline>
        </w:drawing>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kern w:val="0"/>
          <w:sz w:val="23"/>
          <w:szCs w:val="23"/>
        </w:rPr>
        <w:t>市场融资数据</w:t>
      </w:r>
    </w:p>
    <w:p w:rsidR="00855CDD" w:rsidRPr="00855CDD" w:rsidRDefault="00855CDD" w:rsidP="00855CDD">
      <w:pPr>
        <w:widowControl/>
        <w:spacing w:line="420" w:lineRule="atLeast"/>
        <w:ind w:firstLine="480"/>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3"/>
          <w:szCs w:val="23"/>
        </w:rPr>
        <w:t>上周共有38家企业发布了定向增发预案，预计募资28.78亿元，较上上周减少7.27%；实施完成58家企业的定向增发，募资总额27.43亿元，较上上周减少37.36%。</w:t>
      </w:r>
    </w:p>
    <w:p w:rsidR="00855CDD" w:rsidRPr="00855CDD" w:rsidRDefault="00855CDD" w:rsidP="00855CDD">
      <w:pPr>
        <w:widowControl/>
        <w:ind w:firstLine="480"/>
        <w:jc w:val="center"/>
        <w:rPr>
          <w:rFonts w:ascii="微软雅黑" w:eastAsia="微软雅黑" w:hAnsi="微软雅黑" w:cs="宋体"/>
          <w:kern w:val="0"/>
          <w:sz w:val="24"/>
          <w:szCs w:val="24"/>
        </w:rPr>
      </w:pPr>
      <w:proofErr w:type="gramStart"/>
      <w:r w:rsidRPr="00855CDD">
        <w:rPr>
          <w:rFonts w:ascii="微软雅黑" w:eastAsia="微软雅黑" w:hAnsi="微软雅黑" w:cs="宋体"/>
          <w:kern w:val="0"/>
          <w:sz w:val="24"/>
          <w:szCs w:val="24"/>
        </w:rPr>
        <w:t>上周定增预案</w:t>
      </w:r>
      <w:proofErr w:type="gramEnd"/>
      <w:r w:rsidRPr="00855CDD">
        <w:rPr>
          <w:rFonts w:ascii="微软雅黑" w:eastAsia="微软雅黑" w:hAnsi="微软雅黑" w:cs="宋体"/>
          <w:kern w:val="0"/>
          <w:sz w:val="24"/>
          <w:szCs w:val="24"/>
        </w:rPr>
        <w:t>统计</w:t>
      </w:r>
      <w:r w:rsidRPr="00855CDD">
        <w:rPr>
          <w:rFonts w:ascii="微软雅黑" w:eastAsia="微软雅黑" w:hAnsi="微软雅黑" w:cs="宋体"/>
          <w:noProof/>
          <w:kern w:val="0"/>
          <w:sz w:val="24"/>
          <w:szCs w:val="24"/>
        </w:rPr>
        <w:drawing>
          <wp:inline distT="0" distB="0" distL="0" distR="0">
            <wp:extent cx="5800725" cy="1735856"/>
            <wp:effectExtent l="0" t="0" r="0" b="0"/>
            <wp:docPr id="3" name="图片 3" descr="https://mmbiz.qlogo.cn/mmbiz_png/wyBIcVjib6Iw2aH0nibFCZnkW0GcQicQv3UmPzBCribbPXLVvXoTu2sLZ1avQq6XkE9Q5j8Ge6NQbibic9SicPAx1ibibVg/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mmbiz.qlogo.cn/mmbiz_png/wyBIcVjib6Iw2aH0nibFCZnkW0GcQicQv3UmPzBCribbPXLVvXoTu2sLZ1avQq6XkE9Q5j8Ge6NQbibic9SicPAx1ibibVg/0?wx_fmt=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8205" cy="1738095"/>
                    </a:xfrm>
                    <a:prstGeom prst="rect">
                      <a:avLst/>
                    </a:prstGeom>
                    <a:noFill/>
                    <a:ln>
                      <a:noFill/>
                    </a:ln>
                  </pic:spPr>
                </pic:pic>
              </a:graphicData>
            </a:graphic>
          </wp:inline>
        </w:drawing>
      </w:r>
    </w:p>
    <w:p w:rsidR="00855CDD" w:rsidRPr="00855CDD" w:rsidRDefault="00855CDD" w:rsidP="00855CDD">
      <w:pPr>
        <w:widowControl/>
        <w:jc w:val="left"/>
        <w:rPr>
          <w:rFonts w:ascii="微软雅黑" w:eastAsia="微软雅黑" w:hAnsi="微软雅黑" w:cs="宋体"/>
          <w:kern w:val="0"/>
          <w:sz w:val="24"/>
          <w:szCs w:val="24"/>
        </w:rPr>
      </w:pPr>
      <w:r w:rsidRPr="00855CDD">
        <w:rPr>
          <w:rFonts w:ascii="微软雅黑" w:eastAsia="微软雅黑" w:hAnsi="微软雅黑" w:cs="宋体"/>
          <w:kern w:val="0"/>
          <w:sz w:val="23"/>
          <w:szCs w:val="23"/>
        </w:rPr>
        <w:t>三板估值分析</w:t>
      </w:r>
    </w:p>
    <w:p w:rsidR="00855CDD" w:rsidRPr="00855CDD" w:rsidRDefault="00855CDD" w:rsidP="00855CDD">
      <w:pPr>
        <w:widowControl/>
        <w:spacing w:line="420" w:lineRule="atLeast"/>
        <w:ind w:firstLine="480"/>
        <w:jc w:val="left"/>
        <w:rPr>
          <w:rFonts w:ascii="微软雅黑" w:eastAsia="微软雅黑" w:hAnsi="微软雅黑" w:cs="宋体"/>
          <w:kern w:val="0"/>
          <w:sz w:val="24"/>
          <w:szCs w:val="24"/>
        </w:rPr>
      </w:pPr>
      <w:r w:rsidRPr="00855CDD">
        <w:rPr>
          <w:rFonts w:ascii="微软雅黑" w:eastAsia="微软雅黑" w:hAnsi="微软雅黑" w:cs="宋体" w:hint="eastAsia"/>
          <w:kern w:val="0"/>
          <w:sz w:val="23"/>
          <w:szCs w:val="23"/>
        </w:rPr>
        <w:t>根据万得数据，8月12日，新三板市场市盈率(整体法、剔除负值) 26.48倍，</w:t>
      </w:r>
      <w:proofErr w:type="gramStart"/>
      <w:r w:rsidRPr="00855CDD">
        <w:rPr>
          <w:rFonts w:ascii="微软雅黑" w:eastAsia="微软雅黑" w:hAnsi="微软雅黑" w:cs="宋体" w:hint="eastAsia"/>
          <w:kern w:val="0"/>
          <w:sz w:val="23"/>
          <w:szCs w:val="23"/>
        </w:rPr>
        <w:t>市净率</w:t>
      </w:r>
      <w:proofErr w:type="gramEnd"/>
      <w:r w:rsidRPr="00855CDD">
        <w:rPr>
          <w:rFonts w:ascii="微软雅黑" w:eastAsia="微软雅黑" w:hAnsi="微软雅黑" w:cs="宋体" w:hint="eastAsia"/>
          <w:kern w:val="0"/>
          <w:sz w:val="23"/>
          <w:szCs w:val="23"/>
        </w:rPr>
        <w:t>(整体法) 5.56倍，市销率(整体法) 2.79倍，与前一周估值情况差异不</w:t>
      </w:r>
      <w:r w:rsidRPr="00855CDD">
        <w:rPr>
          <w:rFonts w:ascii="微软雅黑" w:eastAsia="微软雅黑" w:hAnsi="微软雅黑" w:cs="宋体" w:hint="eastAsia"/>
          <w:kern w:val="0"/>
          <w:sz w:val="23"/>
          <w:szCs w:val="23"/>
        </w:rPr>
        <w:lastRenderedPageBreak/>
        <w:t>大。</w:t>
      </w:r>
      <w:r w:rsidRPr="00855CDD">
        <w:rPr>
          <w:rFonts w:ascii="微软雅黑" w:eastAsia="微软雅黑" w:hAnsi="微软雅黑" w:cs="宋体"/>
          <w:noProof/>
          <w:kern w:val="0"/>
          <w:sz w:val="24"/>
          <w:szCs w:val="24"/>
        </w:rPr>
        <w:drawing>
          <wp:inline distT="0" distB="0" distL="0" distR="0">
            <wp:extent cx="5848350" cy="1554291"/>
            <wp:effectExtent l="0" t="0" r="0" b="8255"/>
            <wp:docPr id="2" name="图片 2" descr="https://mmbiz.qlogo.cn/mmbiz_png/wyBIcVjib6Iw2aH0nibFCZnkW0GcQicQv3UaWRrXekUFicz79gO1P9kgicAQjZWDia2Z62kiaL8R5ojKZvPyEyGYpqq5Q/0?wx_fm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mmbiz.qlogo.cn/mmbiz_png/wyBIcVjib6Iw2aH0nibFCZnkW0GcQicQv3UaWRrXekUFicz79gO1P9kgicAQjZWDia2Z62kiaL8R5ojKZvPyEyGYpqq5Q/0?wx_fmt=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61561" cy="1557802"/>
                    </a:xfrm>
                    <a:prstGeom prst="rect">
                      <a:avLst/>
                    </a:prstGeom>
                    <a:noFill/>
                    <a:ln>
                      <a:noFill/>
                    </a:ln>
                  </pic:spPr>
                </pic:pic>
              </a:graphicData>
            </a:graphic>
          </wp:inline>
        </w:drawing>
      </w:r>
    </w:p>
    <w:p w:rsidR="00FA0CAE" w:rsidRPr="00855CDD" w:rsidRDefault="00855CDD">
      <w:pPr>
        <w:rPr>
          <w:rFonts w:ascii="微软雅黑" w:eastAsia="微软雅黑" w:hAnsi="微软雅黑"/>
        </w:rPr>
      </w:pPr>
    </w:p>
    <w:sectPr w:rsidR="00FA0CAE" w:rsidRPr="00855C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CDD"/>
    <w:rsid w:val="002C6772"/>
    <w:rsid w:val="00855CDD"/>
    <w:rsid w:val="0088717D"/>
    <w:rsid w:val="00AC25B3"/>
    <w:rsid w:val="00E45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D3AA38-9EB3-41CA-B9FC-DC0CF184A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855CD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55CDD"/>
    <w:rPr>
      <w:rFonts w:ascii="宋体" w:eastAsia="宋体" w:hAnsi="宋体" w:cs="宋体"/>
      <w:b/>
      <w:bCs/>
      <w:kern w:val="0"/>
      <w:sz w:val="36"/>
      <w:szCs w:val="36"/>
    </w:rPr>
  </w:style>
  <w:style w:type="paragraph" w:styleId="a3">
    <w:name w:val="Normal (Web)"/>
    <w:basedOn w:val="a"/>
    <w:uiPriority w:val="99"/>
    <w:semiHidden/>
    <w:unhideWhenUsed/>
    <w:rsid w:val="00855CD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55CDD"/>
    <w:rPr>
      <w:b/>
      <w:bCs/>
    </w:rPr>
  </w:style>
  <w:style w:type="character" w:styleId="a5">
    <w:name w:val="Hyperlink"/>
    <w:basedOn w:val="a0"/>
    <w:uiPriority w:val="99"/>
    <w:semiHidden/>
    <w:unhideWhenUsed/>
    <w:rsid w:val="00855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89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刘颖</dc:creator>
  <cp:keywords/>
  <dc:description/>
  <cp:lastModifiedBy>刘颖</cp:lastModifiedBy>
  <cp:revision>1</cp:revision>
  <dcterms:created xsi:type="dcterms:W3CDTF">2016-08-16T09:02:00Z</dcterms:created>
  <dcterms:modified xsi:type="dcterms:W3CDTF">2016-08-16T09:24:00Z</dcterms:modified>
</cp:coreProperties>
</file>