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50" w:rsidRPr="00E734EB" w:rsidRDefault="007D7050" w:rsidP="007D7050">
      <w:pPr>
        <w:spacing w:line="360" w:lineRule="exact"/>
        <w:jc w:val="center"/>
        <w:rPr>
          <w:rFonts w:eastAsiaTheme="minorEastAsia" w:cs="Arial"/>
          <w:b/>
          <w:color w:val="000000"/>
          <w:sz w:val="28"/>
          <w:szCs w:val="28"/>
        </w:rPr>
      </w:pPr>
      <w:proofErr w:type="gramStart"/>
      <w:r w:rsidRPr="00E734EB">
        <w:rPr>
          <w:rFonts w:eastAsiaTheme="minorEastAsia" w:cs="Arial"/>
          <w:b/>
          <w:color w:val="000000"/>
          <w:sz w:val="28"/>
          <w:szCs w:val="28"/>
        </w:rPr>
        <w:t>清科数据</w:t>
      </w:r>
      <w:proofErr w:type="gramEnd"/>
      <w:r w:rsidRPr="00E734EB">
        <w:rPr>
          <w:rFonts w:eastAsiaTheme="minorEastAsia" w:cs="Arial"/>
          <w:b/>
          <w:color w:val="000000"/>
          <w:sz w:val="28"/>
          <w:szCs w:val="28"/>
        </w:rPr>
        <w:t>：</w:t>
      </w:r>
      <w:r w:rsidR="00BF57C8">
        <w:rPr>
          <w:rFonts w:eastAsiaTheme="minorEastAsia" w:cs="Arial" w:hint="eastAsia"/>
          <w:b/>
          <w:color w:val="000000"/>
          <w:sz w:val="28"/>
          <w:szCs w:val="28"/>
        </w:rPr>
        <w:t>1</w:t>
      </w:r>
      <w:r w:rsidR="00BF57C8">
        <w:rPr>
          <w:rFonts w:eastAsiaTheme="minorEastAsia" w:cs="Arial" w:hint="eastAsia"/>
          <w:b/>
          <w:color w:val="000000"/>
          <w:sz w:val="28"/>
          <w:szCs w:val="28"/>
        </w:rPr>
        <w:t>月互联网行业崭露头角</w:t>
      </w:r>
      <w:r w:rsidR="00B2679A">
        <w:rPr>
          <w:rFonts w:eastAsiaTheme="minorEastAsia" w:cs="Arial" w:hint="eastAsia"/>
          <w:b/>
          <w:color w:val="000000"/>
          <w:sz w:val="28"/>
          <w:szCs w:val="28"/>
        </w:rPr>
        <w:t xml:space="preserve"> </w:t>
      </w:r>
      <w:r w:rsidR="00BF57C8">
        <w:rPr>
          <w:rFonts w:eastAsiaTheme="minorEastAsia" w:cs="Arial" w:hint="eastAsia"/>
          <w:b/>
          <w:color w:val="000000"/>
          <w:sz w:val="28"/>
          <w:szCs w:val="28"/>
        </w:rPr>
        <w:t>清洁技术行业势头足</w:t>
      </w:r>
    </w:p>
    <w:p w:rsidR="007D7050" w:rsidRPr="00E734EB" w:rsidRDefault="007D7050" w:rsidP="007D7050">
      <w:pPr>
        <w:spacing w:line="360" w:lineRule="exact"/>
        <w:jc w:val="center"/>
        <w:rPr>
          <w:rFonts w:eastAsiaTheme="minorEastAsia" w:cs="Arial"/>
          <w:szCs w:val="21"/>
        </w:rPr>
      </w:pPr>
    </w:p>
    <w:p w:rsidR="007D7050" w:rsidRPr="00E734EB" w:rsidRDefault="007D7050" w:rsidP="007D7050">
      <w:pPr>
        <w:spacing w:line="360" w:lineRule="exact"/>
        <w:jc w:val="center"/>
        <w:rPr>
          <w:rFonts w:eastAsiaTheme="minorEastAsia" w:cs="Arial"/>
        </w:rPr>
      </w:pPr>
      <w:r w:rsidRPr="00E734EB">
        <w:rPr>
          <w:rFonts w:eastAsiaTheme="minorEastAsia" w:cs="Arial"/>
        </w:rPr>
        <w:t>201</w:t>
      </w:r>
      <w:r w:rsidR="00E636D2">
        <w:rPr>
          <w:rFonts w:eastAsiaTheme="minorEastAsia" w:cs="Arial" w:hint="eastAsia"/>
        </w:rPr>
        <w:t>5</w:t>
      </w:r>
      <w:r w:rsidRPr="00E734EB">
        <w:rPr>
          <w:rFonts w:eastAsiaTheme="minorEastAsia" w:cs="Arial"/>
        </w:rPr>
        <w:t>-</w:t>
      </w:r>
      <w:r w:rsidR="00E636D2">
        <w:rPr>
          <w:rFonts w:eastAsiaTheme="minorEastAsia" w:cs="Arial" w:hint="eastAsia"/>
        </w:rPr>
        <w:t>0</w:t>
      </w:r>
      <w:r w:rsidR="00DB61F8">
        <w:rPr>
          <w:rFonts w:eastAsiaTheme="minorEastAsia" w:cs="Arial" w:hint="eastAsia"/>
        </w:rPr>
        <w:t>2</w:t>
      </w:r>
      <w:r w:rsidRPr="00E734EB">
        <w:rPr>
          <w:rFonts w:eastAsiaTheme="minorEastAsia" w:cs="Arial"/>
        </w:rPr>
        <w:t>-</w:t>
      </w:r>
      <w:r w:rsidR="00E636D2">
        <w:rPr>
          <w:rFonts w:eastAsiaTheme="minorEastAsia" w:cs="Arial" w:hint="eastAsia"/>
        </w:rPr>
        <w:t>0</w:t>
      </w:r>
      <w:r w:rsidR="00B2679A">
        <w:rPr>
          <w:rFonts w:eastAsiaTheme="minorEastAsia" w:cs="Arial" w:hint="eastAsia"/>
        </w:rPr>
        <w:t xml:space="preserve">9 </w:t>
      </w:r>
      <w:proofErr w:type="gramStart"/>
      <w:r w:rsidRPr="00E734EB">
        <w:rPr>
          <w:rFonts w:eastAsiaTheme="minorEastAsia" w:cs="Arial"/>
        </w:rPr>
        <w:t>清科研究中心</w:t>
      </w:r>
      <w:proofErr w:type="gramEnd"/>
      <w:r w:rsidR="00B2679A">
        <w:rPr>
          <w:rFonts w:eastAsiaTheme="minorEastAsia" w:cs="Arial" w:hint="eastAsia"/>
        </w:rPr>
        <w:t xml:space="preserve"> </w:t>
      </w:r>
      <w:r w:rsidR="00E32C6B" w:rsidRPr="00E734EB">
        <w:rPr>
          <w:rFonts w:eastAsiaTheme="minorEastAsia" w:cs="Arial"/>
        </w:rPr>
        <w:t>李群</w:t>
      </w:r>
    </w:p>
    <w:p w:rsidR="007D7050" w:rsidRPr="00E734EB" w:rsidRDefault="007D7050" w:rsidP="007D7050">
      <w:pPr>
        <w:spacing w:line="360" w:lineRule="exact"/>
        <w:jc w:val="center"/>
        <w:rPr>
          <w:rFonts w:eastAsiaTheme="minorEastAsia" w:cs="Arial"/>
          <w:szCs w:val="21"/>
        </w:rPr>
      </w:pPr>
    </w:p>
    <w:p w:rsidR="00AC49DC" w:rsidRDefault="00E32C6B" w:rsidP="00902DA0">
      <w:pPr>
        <w:spacing w:line="360" w:lineRule="exact"/>
        <w:ind w:firstLineChars="200" w:firstLine="420"/>
        <w:rPr>
          <w:rFonts w:cs="Arial"/>
          <w:kern w:val="0"/>
        </w:rPr>
      </w:pPr>
      <w:proofErr w:type="gramStart"/>
      <w:r w:rsidRPr="00E734EB">
        <w:rPr>
          <w:rFonts w:cs="Arial"/>
          <w:kern w:val="0"/>
        </w:rPr>
        <w:t>根据清科</w:t>
      </w:r>
      <w:r w:rsidR="00055A4B" w:rsidRPr="00E734EB">
        <w:rPr>
          <w:rFonts w:cs="Arial"/>
          <w:kern w:val="0"/>
        </w:rPr>
        <w:t>集团</w:t>
      </w:r>
      <w:proofErr w:type="gramEnd"/>
      <w:r w:rsidR="00055A4B" w:rsidRPr="00E734EB">
        <w:rPr>
          <w:rFonts w:cs="Arial"/>
          <w:kern w:val="0"/>
        </w:rPr>
        <w:t>旗下私募通数据统计</w:t>
      </w:r>
      <w:r w:rsidRPr="00E734EB">
        <w:rPr>
          <w:rFonts w:cs="Arial"/>
          <w:kern w:val="0"/>
        </w:rPr>
        <w:t>，</w:t>
      </w:r>
      <w:r w:rsidRPr="00E734EB">
        <w:rPr>
          <w:rFonts w:cs="Arial"/>
          <w:kern w:val="0"/>
        </w:rPr>
        <w:t>201</w:t>
      </w:r>
      <w:r w:rsidR="006918CD">
        <w:rPr>
          <w:rFonts w:cs="Arial" w:hint="eastAsia"/>
          <w:kern w:val="0"/>
        </w:rPr>
        <w:t>5</w:t>
      </w:r>
      <w:r w:rsidRPr="00E734EB">
        <w:rPr>
          <w:rFonts w:cs="Arial"/>
          <w:kern w:val="0"/>
        </w:rPr>
        <w:t>年</w:t>
      </w:r>
      <w:r w:rsidR="006918CD">
        <w:rPr>
          <w:rFonts w:cs="Arial" w:hint="eastAsia"/>
          <w:kern w:val="0"/>
        </w:rPr>
        <w:t>1</w:t>
      </w:r>
      <w:r w:rsidRPr="00E734EB">
        <w:rPr>
          <w:rFonts w:cs="Arial"/>
          <w:kern w:val="0"/>
        </w:rPr>
        <w:t>月中国并购市场共完成</w:t>
      </w:r>
      <w:r w:rsidR="006918CD">
        <w:rPr>
          <w:rFonts w:cs="Arial" w:hint="eastAsia"/>
          <w:kern w:val="0"/>
        </w:rPr>
        <w:t>11</w:t>
      </w:r>
      <w:r w:rsidR="00107B88">
        <w:rPr>
          <w:rFonts w:cs="Arial" w:hint="eastAsia"/>
          <w:kern w:val="0"/>
        </w:rPr>
        <w:t>6</w:t>
      </w:r>
      <w:r w:rsidRPr="00E734EB">
        <w:rPr>
          <w:rFonts w:cs="Arial"/>
          <w:kern w:val="0"/>
        </w:rPr>
        <w:t>起并购交易，其中披露金额的有</w:t>
      </w:r>
      <w:r w:rsidR="006918CD">
        <w:rPr>
          <w:rFonts w:cs="Arial" w:hint="eastAsia"/>
          <w:kern w:val="0"/>
        </w:rPr>
        <w:t>11</w:t>
      </w:r>
      <w:r w:rsidR="00107B88">
        <w:rPr>
          <w:rFonts w:cs="Arial" w:hint="eastAsia"/>
          <w:kern w:val="0"/>
        </w:rPr>
        <w:t>1</w:t>
      </w:r>
      <w:r w:rsidRPr="00E734EB">
        <w:rPr>
          <w:rFonts w:cs="Arial"/>
          <w:kern w:val="0"/>
        </w:rPr>
        <w:t>起，交易总金额约为</w:t>
      </w:r>
      <w:r w:rsidR="00107B88">
        <w:rPr>
          <w:rFonts w:cs="Arial" w:hint="eastAsia"/>
          <w:kern w:val="0"/>
        </w:rPr>
        <w:t>40.13</w:t>
      </w:r>
      <w:r w:rsidRPr="00E734EB">
        <w:rPr>
          <w:rFonts w:cs="Arial"/>
          <w:kern w:val="0"/>
        </w:rPr>
        <w:t>亿美元，平均每起案例资金规模约</w:t>
      </w:r>
      <w:r w:rsidR="00107B88">
        <w:rPr>
          <w:rFonts w:cs="Arial" w:hint="eastAsia"/>
          <w:kern w:val="0"/>
        </w:rPr>
        <w:t>3615</w:t>
      </w:r>
      <w:r w:rsidR="00760616">
        <w:rPr>
          <w:rFonts w:cs="Arial" w:hint="eastAsia"/>
          <w:kern w:val="0"/>
        </w:rPr>
        <w:t>.00</w:t>
      </w:r>
      <w:r w:rsidR="00AC49DC">
        <w:rPr>
          <w:rFonts w:cs="Arial" w:hint="eastAsia"/>
          <w:kern w:val="0"/>
        </w:rPr>
        <w:t>万</w:t>
      </w:r>
      <w:r w:rsidRPr="00E734EB">
        <w:rPr>
          <w:rFonts w:cs="Arial"/>
          <w:kern w:val="0"/>
        </w:rPr>
        <w:t>美元。与上月相比，</w:t>
      </w:r>
      <w:r w:rsidR="006918CD">
        <w:rPr>
          <w:rFonts w:cs="Arial" w:hint="eastAsia"/>
          <w:kern w:val="0"/>
        </w:rPr>
        <w:t>2015</w:t>
      </w:r>
      <w:r w:rsidR="006918CD">
        <w:rPr>
          <w:rFonts w:cs="Arial" w:hint="eastAsia"/>
          <w:kern w:val="0"/>
        </w:rPr>
        <w:t>年</w:t>
      </w:r>
      <w:r w:rsidR="006918CD">
        <w:rPr>
          <w:rFonts w:cs="Arial" w:hint="eastAsia"/>
          <w:kern w:val="0"/>
        </w:rPr>
        <w:t>1</w:t>
      </w:r>
      <w:r w:rsidR="00BA14B9" w:rsidRPr="00E734EB">
        <w:rPr>
          <w:rFonts w:cs="Arial"/>
          <w:kern w:val="0"/>
        </w:rPr>
        <w:t>月中国市场并购交易案例</w:t>
      </w:r>
      <w:r w:rsidR="000F3500">
        <w:rPr>
          <w:rFonts w:cs="Arial" w:hint="eastAsia"/>
          <w:kern w:val="0"/>
        </w:rPr>
        <w:t>数</w:t>
      </w:r>
      <w:r w:rsidR="006918CD">
        <w:rPr>
          <w:rFonts w:cs="Arial" w:hint="eastAsia"/>
          <w:kern w:val="0"/>
        </w:rPr>
        <w:t>下降</w:t>
      </w:r>
      <w:r w:rsidR="006918CD">
        <w:rPr>
          <w:rFonts w:cs="Arial" w:hint="eastAsia"/>
          <w:kern w:val="0"/>
        </w:rPr>
        <w:t>60.</w:t>
      </w:r>
      <w:r w:rsidR="00107B88">
        <w:rPr>
          <w:rFonts w:cs="Arial" w:hint="eastAsia"/>
          <w:kern w:val="0"/>
        </w:rPr>
        <w:t>9</w:t>
      </w:r>
      <w:r w:rsidRPr="00E734EB">
        <w:rPr>
          <w:rFonts w:cs="Arial"/>
          <w:kern w:val="0"/>
        </w:rPr>
        <w:t>%</w:t>
      </w:r>
      <w:r w:rsidRPr="00E734EB">
        <w:rPr>
          <w:rFonts w:cs="Arial"/>
          <w:kern w:val="0"/>
        </w:rPr>
        <w:t>，总金额</w:t>
      </w:r>
      <w:r w:rsidR="006918CD">
        <w:rPr>
          <w:rFonts w:cs="Arial" w:hint="eastAsia"/>
          <w:kern w:val="0"/>
        </w:rPr>
        <w:t>下降</w:t>
      </w:r>
      <w:r w:rsidR="006918CD">
        <w:rPr>
          <w:rFonts w:cs="Arial" w:hint="eastAsia"/>
          <w:kern w:val="0"/>
        </w:rPr>
        <w:t>5</w:t>
      </w:r>
      <w:r w:rsidR="00107B88">
        <w:rPr>
          <w:rFonts w:cs="Arial" w:hint="eastAsia"/>
          <w:kern w:val="0"/>
        </w:rPr>
        <w:t>9.9</w:t>
      </w:r>
      <w:r w:rsidRPr="00E734EB">
        <w:rPr>
          <w:rFonts w:cs="Arial"/>
          <w:kern w:val="0"/>
        </w:rPr>
        <w:t>%</w:t>
      </w:r>
      <w:r w:rsidR="006918CD">
        <w:rPr>
          <w:rFonts w:cs="Arial" w:hint="eastAsia"/>
          <w:kern w:val="0"/>
        </w:rPr>
        <w:t>。</w:t>
      </w:r>
      <w:proofErr w:type="gramStart"/>
      <w:r w:rsidRPr="00E734EB">
        <w:rPr>
          <w:rFonts w:cs="Arial"/>
          <w:kern w:val="0"/>
        </w:rPr>
        <w:t>根据</w:t>
      </w:r>
      <w:r w:rsidR="006525D9" w:rsidRPr="00E734EB">
        <w:rPr>
          <w:rFonts w:cs="Arial"/>
          <w:kern w:val="0"/>
        </w:rPr>
        <w:t>清科集团</w:t>
      </w:r>
      <w:proofErr w:type="gramEnd"/>
      <w:r w:rsidR="006525D9" w:rsidRPr="00E734EB">
        <w:rPr>
          <w:rFonts w:cs="Arial"/>
          <w:kern w:val="0"/>
        </w:rPr>
        <w:t>旗下私募通数据统计</w:t>
      </w:r>
      <w:r w:rsidR="00F67011" w:rsidRPr="00E734EB">
        <w:rPr>
          <w:rFonts w:cs="Arial"/>
          <w:kern w:val="0"/>
        </w:rPr>
        <w:t>显示</w:t>
      </w:r>
      <w:r w:rsidRPr="00E734EB">
        <w:rPr>
          <w:rFonts w:cs="Arial"/>
          <w:kern w:val="0"/>
        </w:rPr>
        <w:t>，</w:t>
      </w:r>
      <w:r w:rsidR="003545D9" w:rsidRPr="003545D9">
        <w:rPr>
          <w:rFonts w:cs="Arial" w:hint="eastAsia"/>
          <w:kern w:val="0"/>
        </w:rPr>
        <w:t>2014</w:t>
      </w:r>
      <w:r w:rsidR="00595B5C">
        <w:rPr>
          <w:rFonts w:cs="Arial" w:hint="eastAsia"/>
          <w:kern w:val="0"/>
        </w:rPr>
        <w:t>年并购市场不负众望，金额与数量整体保持上升的趋势。本月</w:t>
      </w:r>
      <w:r w:rsidR="00720DCF">
        <w:rPr>
          <w:rFonts w:cs="Arial" w:hint="eastAsia"/>
          <w:kern w:val="0"/>
        </w:rPr>
        <w:t>值得指出的是互联网行业延续以往</w:t>
      </w:r>
      <w:r w:rsidR="00E2102C">
        <w:rPr>
          <w:rFonts w:cs="Arial" w:hint="eastAsia"/>
          <w:kern w:val="0"/>
        </w:rPr>
        <w:t>火热</w:t>
      </w:r>
      <w:r w:rsidR="00720DCF">
        <w:rPr>
          <w:rFonts w:cs="Arial" w:hint="eastAsia"/>
          <w:kern w:val="0"/>
        </w:rPr>
        <w:t>态势，</w:t>
      </w:r>
      <w:r w:rsidR="00E2102C">
        <w:rPr>
          <w:rFonts w:cs="Arial" w:hint="eastAsia"/>
          <w:kern w:val="0"/>
        </w:rPr>
        <w:t>2015</w:t>
      </w:r>
      <w:r w:rsidR="00E2102C">
        <w:rPr>
          <w:rFonts w:cs="Arial" w:hint="eastAsia"/>
          <w:kern w:val="0"/>
        </w:rPr>
        <w:t>年互联网行业将继续掀起并购热潮</w:t>
      </w:r>
      <w:r w:rsidR="003545D9" w:rsidRPr="003545D9">
        <w:rPr>
          <w:rFonts w:cs="Arial" w:hint="eastAsia"/>
          <w:kern w:val="0"/>
        </w:rPr>
        <w:t>。</w:t>
      </w:r>
    </w:p>
    <w:p w:rsidR="00BF57C8" w:rsidRDefault="00BF57C8" w:rsidP="00902DA0">
      <w:pPr>
        <w:spacing w:line="360" w:lineRule="exact"/>
        <w:ind w:firstLineChars="200" w:firstLine="420"/>
        <w:rPr>
          <w:rFonts w:cs="Arial"/>
          <w:kern w:val="0"/>
        </w:rPr>
      </w:pPr>
    </w:p>
    <w:p w:rsidR="004B3CB8" w:rsidRPr="00EF14B1" w:rsidRDefault="004B3CB8" w:rsidP="004B3CB8">
      <w:pPr>
        <w:spacing w:line="360" w:lineRule="exact"/>
        <w:ind w:firstLineChars="200" w:firstLine="480"/>
        <w:rPr>
          <w:rFonts w:ascii="宋体" w:hAnsi="宋体" w:cs="宋体"/>
          <w:color w:val="FF0000"/>
          <w:kern w:val="0"/>
          <w:sz w:val="24"/>
        </w:rPr>
      </w:pPr>
    </w:p>
    <w:p w:rsidR="00902DA0" w:rsidRPr="00902DA0" w:rsidRDefault="00902DA0" w:rsidP="00902DA0">
      <w:pPr>
        <w:spacing w:line="200" w:lineRule="exact"/>
        <w:ind w:firstLineChars="200" w:firstLine="480"/>
        <w:rPr>
          <w:rFonts w:ascii="宋体" w:hAnsi="宋体" w:cs="宋体"/>
          <w:kern w:val="0"/>
          <w:sz w:val="24"/>
        </w:rPr>
      </w:pPr>
    </w:p>
    <w:p w:rsidR="00AC49DC" w:rsidRPr="00E636D2" w:rsidRDefault="00AC49DC" w:rsidP="002C7E42">
      <w:pPr>
        <w:spacing w:line="360" w:lineRule="exact"/>
        <w:jc w:val="center"/>
        <w:rPr>
          <w:rFonts w:eastAsiaTheme="minorEastAsia" w:cs="Arial"/>
          <w:kern w:val="0"/>
          <w:szCs w:val="21"/>
        </w:rPr>
      </w:pPr>
    </w:p>
    <w:p w:rsidR="00AC49DC" w:rsidRPr="00824557" w:rsidRDefault="00AC49DC" w:rsidP="002C7E42">
      <w:pPr>
        <w:spacing w:line="360" w:lineRule="exact"/>
        <w:jc w:val="center"/>
        <w:rPr>
          <w:rFonts w:eastAsiaTheme="minorEastAsia" w:cs="Arial"/>
          <w:kern w:val="0"/>
          <w:szCs w:val="21"/>
        </w:rPr>
      </w:pPr>
    </w:p>
    <w:p w:rsidR="00AC49DC" w:rsidRDefault="00AC49DC" w:rsidP="002C7E42">
      <w:pPr>
        <w:spacing w:line="360" w:lineRule="exact"/>
        <w:jc w:val="center"/>
        <w:rPr>
          <w:rFonts w:eastAsiaTheme="minorEastAsia" w:cs="Arial"/>
          <w:kern w:val="0"/>
          <w:szCs w:val="21"/>
        </w:rPr>
      </w:pPr>
    </w:p>
    <w:p w:rsidR="00AC49DC" w:rsidRDefault="00AC49DC" w:rsidP="002C7E42">
      <w:pPr>
        <w:spacing w:line="360" w:lineRule="exact"/>
        <w:jc w:val="center"/>
        <w:rPr>
          <w:rFonts w:eastAsiaTheme="minorEastAsia" w:cs="Arial"/>
          <w:kern w:val="0"/>
          <w:szCs w:val="21"/>
        </w:rPr>
      </w:pPr>
    </w:p>
    <w:p w:rsidR="00AC49DC" w:rsidRDefault="00AC49DC" w:rsidP="002C7E42">
      <w:pPr>
        <w:spacing w:line="360" w:lineRule="exact"/>
        <w:jc w:val="center"/>
        <w:rPr>
          <w:rFonts w:eastAsiaTheme="minorEastAsia" w:cs="Arial"/>
          <w:kern w:val="0"/>
          <w:szCs w:val="21"/>
        </w:rPr>
      </w:pPr>
    </w:p>
    <w:p w:rsidR="00AC49DC" w:rsidRDefault="00AC49DC" w:rsidP="002C7E42">
      <w:pPr>
        <w:spacing w:line="360" w:lineRule="exact"/>
        <w:jc w:val="center"/>
        <w:rPr>
          <w:rFonts w:eastAsiaTheme="minorEastAsia" w:cs="Arial"/>
          <w:kern w:val="0"/>
          <w:szCs w:val="21"/>
        </w:rPr>
      </w:pPr>
    </w:p>
    <w:p w:rsidR="00AC49DC" w:rsidRDefault="00AC49DC" w:rsidP="002C7E42">
      <w:pPr>
        <w:spacing w:line="360" w:lineRule="exact"/>
        <w:jc w:val="center"/>
        <w:rPr>
          <w:rFonts w:eastAsiaTheme="minorEastAsia" w:cs="Arial"/>
          <w:kern w:val="0"/>
          <w:szCs w:val="21"/>
        </w:rPr>
      </w:pPr>
    </w:p>
    <w:p w:rsidR="00AC49DC" w:rsidRDefault="00AC49DC" w:rsidP="002C7E42">
      <w:pPr>
        <w:spacing w:line="360" w:lineRule="exact"/>
        <w:jc w:val="center"/>
        <w:rPr>
          <w:rFonts w:eastAsiaTheme="minorEastAsia" w:cs="Arial"/>
          <w:kern w:val="0"/>
          <w:szCs w:val="21"/>
        </w:rPr>
      </w:pPr>
    </w:p>
    <w:p w:rsidR="00AC49DC" w:rsidRDefault="00AC49DC" w:rsidP="002C7E42">
      <w:pPr>
        <w:spacing w:line="360" w:lineRule="exact"/>
        <w:jc w:val="center"/>
        <w:rPr>
          <w:rFonts w:eastAsiaTheme="minorEastAsia" w:cs="Arial"/>
          <w:kern w:val="0"/>
          <w:szCs w:val="21"/>
        </w:rPr>
      </w:pPr>
    </w:p>
    <w:p w:rsidR="00AC49DC" w:rsidRDefault="00AC49DC" w:rsidP="002C7E42">
      <w:pPr>
        <w:spacing w:line="360" w:lineRule="exact"/>
        <w:jc w:val="center"/>
        <w:rPr>
          <w:rFonts w:eastAsiaTheme="minorEastAsia" w:cs="Arial"/>
          <w:kern w:val="0"/>
          <w:szCs w:val="21"/>
        </w:rPr>
      </w:pPr>
    </w:p>
    <w:p w:rsidR="00AC49DC" w:rsidRPr="00B20ABB" w:rsidRDefault="00AC49DC" w:rsidP="002C7E42">
      <w:pPr>
        <w:spacing w:line="360" w:lineRule="exact"/>
        <w:jc w:val="center"/>
        <w:rPr>
          <w:rFonts w:eastAsiaTheme="minorEastAsia" w:cs="Arial"/>
          <w:kern w:val="0"/>
          <w:szCs w:val="21"/>
        </w:rPr>
      </w:pPr>
    </w:p>
    <w:p w:rsidR="00AC49DC" w:rsidRDefault="00AC49DC" w:rsidP="002C7E42">
      <w:pPr>
        <w:spacing w:line="360" w:lineRule="exact"/>
        <w:jc w:val="center"/>
        <w:rPr>
          <w:rFonts w:eastAsiaTheme="minorEastAsia" w:cs="Arial"/>
          <w:kern w:val="0"/>
          <w:szCs w:val="21"/>
        </w:rPr>
      </w:pPr>
    </w:p>
    <w:p w:rsidR="00AC49DC" w:rsidRDefault="00AC49DC" w:rsidP="002C7E42">
      <w:pPr>
        <w:spacing w:line="360" w:lineRule="exact"/>
        <w:jc w:val="center"/>
        <w:rPr>
          <w:rFonts w:eastAsiaTheme="minorEastAsia" w:cs="Arial"/>
          <w:kern w:val="0"/>
          <w:szCs w:val="21"/>
        </w:rPr>
      </w:pPr>
    </w:p>
    <w:p w:rsidR="00AC49DC" w:rsidRDefault="00AC49DC" w:rsidP="002C7E42">
      <w:pPr>
        <w:spacing w:line="360" w:lineRule="exact"/>
        <w:jc w:val="center"/>
        <w:rPr>
          <w:rFonts w:eastAsiaTheme="minorEastAsia" w:cs="Arial"/>
          <w:kern w:val="0"/>
          <w:szCs w:val="21"/>
        </w:rPr>
      </w:pPr>
    </w:p>
    <w:p w:rsidR="00AC49DC" w:rsidRDefault="0045274E" w:rsidP="002C7E42">
      <w:pPr>
        <w:spacing w:line="360" w:lineRule="exact"/>
        <w:jc w:val="center"/>
        <w:rPr>
          <w:rFonts w:eastAsiaTheme="minorEastAsia" w:cs="Arial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661035</wp:posOffset>
            </wp:positionH>
            <wp:positionV relativeFrom="paragraph">
              <wp:posOffset>-3566160</wp:posOffset>
            </wp:positionV>
            <wp:extent cx="4791600" cy="3738000"/>
            <wp:effectExtent l="0" t="0" r="0" b="0"/>
            <wp:wrapNone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BF606E" w:rsidRDefault="00BF606E" w:rsidP="002C7E42">
      <w:pPr>
        <w:spacing w:line="360" w:lineRule="exact"/>
        <w:jc w:val="center"/>
        <w:rPr>
          <w:rFonts w:eastAsiaTheme="minorEastAsia" w:cs="Arial" w:hint="eastAsia"/>
          <w:b/>
          <w:kern w:val="0"/>
          <w:sz w:val="20"/>
          <w:szCs w:val="20"/>
        </w:rPr>
      </w:pPr>
      <w:r w:rsidRPr="00E734EB">
        <w:rPr>
          <w:rFonts w:eastAsiaTheme="minorEastAsia" w:cs="Arial"/>
          <w:b/>
          <w:kern w:val="0"/>
          <w:sz w:val="20"/>
          <w:szCs w:val="20"/>
        </w:rPr>
        <w:t>图</w:t>
      </w:r>
      <w:r w:rsidRPr="00E734EB">
        <w:rPr>
          <w:rFonts w:eastAsiaTheme="minorEastAsia" w:cs="Arial"/>
          <w:b/>
          <w:kern w:val="0"/>
          <w:sz w:val="20"/>
          <w:szCs w:val="20"/>
        </w:rPr>
        <w:t>1 201</w:t>
      </w:r>
      <w:r w:rsidR="006918CD">
        <w:rPr>
          <w:rFonts w:eastAsiaTheme="minorEastAsia" w:cs="Arial" w:hint="eastAsia"/>
          <w:b/>
          <w:kern w:val="0"/>
          <w:sz w:val="20"/>
          <w:szCs w:val="20"/>
        </w:rPr>
        <w:t>4</w:t>
      </w:r>
      <w:r w:rsidRPr="00E734EB">
        <w:rPr>
          <w:rFonts w:eastAsiaTheme="minorEastAsia" w:cs="Arial"/>
          <w:b/>
          <w:kern w:val="0"/>
          <w:sz w:val="20"/>
          <w:szCs w:val="20"/>
        </w:rPr>
        <w:t>年</w:t>
      </w:r>
      <w:r w:rsidR="006918CD">
        <w:rPr>
          <w:rFonts w:eastAsiaTheme="minorEastAsia" w:cs="Arial" w:hint="eastAsia"/>
          <w:b/>
          <w:kern w:val="0"/>
          <w:sz w:val="20"/>
          <w:szCs w:val="20"/>
        </w:rPr>
        <w:t>1</w:t>
      </w:r>
      <w:r w:rsidR="006918CD">
        <w:rPr>
          <w:rFonts w:eastAsiaTheme="minorEastAsia" w:cs="Arial" w:hint="eastAsia"/>
          <w:b/>
          <w:kern w:val="0"/>
          <w:sz w:val="20"/>
          <w:szCs w:val="20"/>
        </w:rPr>
        <w:t>月至</w:t>
      </w:r>
      <w:r w:rsidRPr="00E734EB">
        <w:rPr>
          <w:rFonts w:eastAsiaTheme="minorEastAsia" w:cs="Arial"/>
          <w:b/>
          <w:kern w:val="0"/>
          <w:sz w:val="20"/>
          <w:szCs w:val="20"/>
        </w:rPr>
        <w:t>201</w:t>
      </w:r>
      <w:r w:rsidR="006918CD">
        <w:rPr>
          <w:rFonts w:eastAsiaTheme="minorEastAsia" w:cs="Arial" w:hint="eastAsia"/>
          <w:b/>
          <w:kern w:val="0"/>
          <w:sz w:val="20"/>
          <w:szCs w:val="20"/>
        </w:rPr>
        <w:t>5</w:t>
      </w:r>
      <w:r w:rsidRPr="00E734EB">
        <w:rPr>
          <w:rFonts w:eastAsiaTheme="minorEastAsia" w:cs="Arial"/>
          <w:b/>
          <w:kern w:val="0"/>
          <w:sz w:val="20"/>
          <w:szCs w:val="20"/>
        </w:rPr>
        <w:t>年</w:t>
      </w:r>
      <w:r w:rsidR="006918CD">
        <w:rPr>
          <w:rFonts w:eastAsiaTheme="minorEastAsia" w:cs="Arial" w:hint="eastAsia"/>
          <w:b/>
          <w:kern w:val="0"/>
          <w:sz w:val="20"/>
          <w:szCs w:val="20"/>
        </w:rPr>
        <w:t>1</w:t>
      </w:r>
      <w:r w:rsidR="006918CD">
        <w:rPr>
          <w:rFonts w:eastAsiaTheme="minorEastAsia" w:cs="Arial" w:hint="eastAsia"/>
          <w:b/>
          <w:kern w:val="0"/>
          <w:sz w:val="20"/>
          <w:szCs w:val="20"/>
        </w:rPr>
        <w:t>月</w:t>
      </w:r>
      <w:r w:rsidRPr="00E734EB">
        <w:rPr>
          <w:rFonts w:eastAsiaTheme="minorEastAsia" w:cs="Arial"/>
          <w:b/>
          <w:kern w:val="0"/>
          <w:sz w:val="20"/>
          <w:szCs w:val="20"/>
        </w:rPr>
        <w:t>并购市场交易趋势图</w:t>
      </w:r>
    </w:p>
    <w:p w:rsidR="00B2679A" w:rsidRPr="00E734EB" w:rsidRDefault="00B2679A" w:rsidP="002C7E42">
      <w:pPr>
        <w:spacing w:line="360" w:lineRule="exact"/>
        <w:jc w:val="center"/>
        <w:rPr>
          <w:rFonts w:eastAsiaTheme="minorEastAsia" w:cs="Arial"/>
          <w:b/>
          <w:kern w:val="0"/>
          <w:sz w:val="20"/>
          <w:szCs w:val="20"/>
        </w:rPr>
      </w:pPr>
    </w:p>
    <w:p w:rsidR="00922FD4" w:rsidRPr="00720DCF" w:rsidRDefault="00E32C6B" w:rsidP="00720DCF">
      <w:pPr>
        <w:spacing w:line="360" w:lineRule="exact"/>
        <w:ind w:firstLineChars="200" w:firstLine="420"/>
        <w:rPr>
          <w:rFonts w:eastAsiaTheme="minorEastAsia" w:cs="Arial"/>
          <w:kern w:val="0"/>
          <w:szCs w:val="21"/>
        </w:rPr>
      </w:pPr>
      <w:r w:rsidRPr="00E734EB">
        <w:rPr>
          <w:rFonts w:eastAsiaTheme="minorEastAsia" w:cs="Arial"/>
          <w:kern w:val="0"/>
          <w:szCs w:val="21"/>
        </w:rPr>
        <w:t>具体来看，</w:t>
      </w:r>
      <w:r w:rsidRPr="00E734EB">
        <w:rPr>
          <w:rFonts w:eastAsiaTheme="minorEastAsia" w:cs="Arial"/>
          <w:kern w:val="0"/>
          <w:szCs w:val="21"/>
        </w:rPr>
        <w:t>201</w:t>
      </w:r>
      <w:r w:rsidR="006918CD">
        <w:rPr>
          <w:rFonts w:eastAsiaTheme="minorEastAsia" w:cs="Arial" w:hint="eastAsia"/>
          <w:kern w:val="0"/>
          <w:szCs w:val="21"/>
        </w:rPr>
        <w:t>5</w:t>
      </w:r>
      <w:r w:rsidRPr="00E734EB">
        <w:rPr>
          <w:rFonts w:eastAsiaTheme="minorEastAsia" w:cs="Arial"/>
          <w:kern w:val="0"/>
          <w:szCs w:val="21"/>
        </w:rPr>
        <w:t>年</w:t>
      </w:r>
      <w:r w:rsidR="006918CD">
        <w:rPr>
          <w:rFonts w:eastAsiaTheme="minorEastAsia" w:cs="Arial" w:hint="eastAsia"/>
          <w:kern w:val="0"/>
          <w:szCs w:val="21"/>
        </w:rPr>
        <w:t>1</w:t>
      </w:r>
      <w:r w:rsidRPr="00E734EB">
        <w:rPr>
          <w:rFonts w:eastAsiaTheme="minorEastAsia" w:cs="Arial"/>
          <w:kern w:val="0"/>
          <w:szCs w:val="21"/>
        </w:rPr>
        <w:t>月中国并购市场共完成</w:t>
      </w:r>
      <w:r w:rsidR="00107B88">
        <w:rPr>
          <w:rFonts w:eastAsiaTheme="minorEastAsia" w:cs="Arial" w:hint="eastAsia"/>
          <w:kern w:val="0"/>
          <w:szCs w:val="21"/>
        </w:rPr>
        <w:t>116</w:t>
      </w:r>
      <w:r w:rsidRPr="00E734EB">
        <w:rPr>
          <w:rFonts w:eastAsiaTheme="minorEastAsia" w:cs="Arial"/>
          <w:kern w:val="0"/>
          <w:szCs w:val="21"/>
        </w:rPr>
        <w:t>起并购交易，其中国内并购</w:t>
      </w:r>
      <w:r w:rsidR="006918CD">
        <w:rPr>
          <w:rFonts w:eastAsiaTheme="minorEastAsia" w:cs="Arial" w:hint="eastAsia"/>
          <w:kern w:val="0"/>
          <w:szCs w:val="21"/>
        </w:rPr>
        <w:t>102</w:t>
      </w:r>
      <w:r w:rsidRPr="00E734EB">
        <w:rPr>
          <w:rFonts w:eastAsiaTheme="minorEastAsia" w:cs="Arial"/>
          <w:kern w:val="0"/>
          <w:szCs w:val="21"/>
        </w:rPr>
        <w:t>起，占并购案例总数的</w:t>
      </w:r>
      <w:r w:rsidR="006918CD">
        <w:rPr>
          <w:rFonts w:eastAsiaTheme="minorEastAsia" w:cs="Arial" w:hint="eastAsia"/>
          <w:kern w:val="0"/>
          <w:szCs w:val="21"/>
        </w:rPr>
        <w:t>87.</w:t>
      </w:r>
      <w:r w:rsidR="00107B88">
        <w:rPr>
          <w:rFonts w:eastAsiaTheme="minorEastAsia" w:cs="Arial" w:hint="eastAsia"/>
          <w:kern w:val="0"/>
          <w:szCs w:val="21"/>
        </w:rPr>
        <w:t>9</w:t>
      </w:r>
      <w:r w:rsidRPr="00E734EB">
        <w:rPr>
          <w:rFonts w:eastAsiaTheme="minorEastAsia" w:cs="Arial"/>
          <w:kern w:val="0"/>
          <w:szCs w:val="21"/>
        </w:rPr>
        <w:t xml:space="preserve">% </w:t>
      </w:r>
      <w:r w:rsidRPr="00E734EB">
        <w:rPr>
          <w:rFonts w:eastAsiaTheme="minorEastAsia" w:cs="Arial"/>
          <w:kern w:val="0"/>
          <w:szCs w:val="21"/>
        </w:rPr>
        <w:t>，披露金额的案例</w:t>
      </w:r>
      <w:r w:rsidR="006918CD">
        <w:rPr>
          <w:rFonts w:eastAsiaTheme="minorEastAsia" w:cs="Arial" w:hint="eastAsia"/>
          <w:kern w:val="0"/>
          <w:szCs w:val="21"/>
        </w:rPr>
        <w:t>99</w:t>
      </w:r>
      <w:r w:rsidRPr="00E734EB">
        <w:rPr>
          <w:rFonts w:eastAsiaTheme="minorEastAsia" w:cs="Arial"/>
          <w:kern w:val="0"/>
          <w:szCs w:val="21"/>
        </w:rPr>
        <w:t>起，披露金额是</w:t>
      </w:r>
      <w:r w:rsidR="006918CD">
        <w:rPr>
          <w:rFonts w:eastAsiaTheme="minorEastAsia" w:cs="Arial" w:hint="eastAsia"/>
          <w:kern w:val="0"/>
          <w:szCs w:val="21"/>
        </w:rPr>
        <w:t>36.26</w:t>
      </w:r>
      <w:r w:rsidRPr="00E734EB">
        <w:rPr>
          <w:rFonts w:eastAsiaTheme="minorEastAsia" w:cs="Arial"/>
          <w:kern w:val="0"/>
          <w:szCs w:val="21"/>
        </w:rPr>
        <w:t>亿美元，占比</w:t>
      </w:r>
      <w:r w:rsidR="00107B88">
        <w:rPr>
          <w:rFonts w:eastAsiaTheme="minorEastAsia" w:cs="Arial" w:hint="eastAsia"/>
          <w:kern w:val="0"/>
          <w:szCs w:val="21"/>
        </w:rPr>
        <w:t>90.4</w:t>
      </w:r>
      <w:r w:rsidRPr="00E734EB">
        <w:rPr>
          <w:rFonts w:eastAsiaTheme="minorEastAsia" w:cs="Arial"/>
          <w:kern w:val="0"/>
          <w:szCs w:val="21"/>
        </w:rPr>
        <w:t>%</w:t>
      </w:r>
      <w:r w:rsidRPr="00E734EB">
        <w:rPr>
          <w:rFonts w:eastAsiaTheme="minorEastAsia" w:cs="Arial"/>
          <w:kern w:val="0"/>
          <w:szCs w:val="21"/>
        </w:rPr>
        <w:t>；海外并购</w:t>
      </w:r>
      <w:r w:rsidR="00107B88">
        <w:rPr>
          <w:rFonts w:eastAsiaTheme="minorEastAsia" w:cs="Arial" w:hint="eastAsia"/>
          <w:kern w:val="0"/>
          <w:szCs w:val="21"/>
        </w:rPr>
        <w:t>11</w:t>
      </w:r>
      <w:r w:rsidRPr="00E734EB">
        <w:rPr>
          <w:rFonts w:eastAsiaTheme="minorEastAsia" w:cs="Arial"/>
          <w:kern w:val="0"/>
          <w:szCs w:val="21"/>
        </w:rPr>
        <w:t>起，个数占比</w:t>
      </w:r>
      <w:r w:rsidR="00107B88">
        <w:rPr>
          <w:rFonts w:eastAsiaTheme="minorEastAsia" w:cs="Arial" w:hint="eastAsia"/>
          <w:kern w:val="0"/>
          <w:szCs w:val="21"/>
        </w:rPr>
        <w:t>9.5</w:t>
      </w:r>
      <w:r w:rsidRPr="00E734EB">
        <w:rPr>
          <w:rFonts w:eastAsiaTheme="minorEastAsia" w:cs="Arial"/>
          <w:kern w:val="0"/>
          <w:szCs w:val="21"/>
        </w:rPr>
        <w:t>%</w:t>
      </w:r>
      <w:r w:rsidRPr="00E734EB">
        <w:rPr>
          <w:rFonts w:eastAsiaTheme="minorEastAsia" w:cs="Arial"/>
          <w:kern w:val="0"/>
          <w:szCs w:val="21"/>
        </w:rPr>
        <w:t>，披露金额案例</w:t>
      </w:r>
      <w:r w:rsidR="00107B88">
        <w:rPr>
          <w:rFonts w:eastAsiaTheme="minorEastAsia" w:cs="Arial" w:hint="eastAsia"/>
          <w:kern w:val="0"/>
          <w:szCs w:val="21"/>
        </w:rPr>
        <w:t>9</w:t>
      </w:r>
      <w:r w:rsidRPr="00E734EB">
        <w:rPr>
          <w:rFonts w:eastAsiaTheme="minorEastAsia" w:cs="Arial"/>
          <w:kern w:val="0"/>
          <w:szCs w:val="21"/>
        </w:rPr>
        <w:t>起，披露金额是</w:t>
      </w:r>
      <w:r w:rsidR="00107B88">
        <w:rPr>
          <w:rFonts w:eastAsiaTheme="minorEastAsia" w:cs="Arial" w:hint="eastAsia"/>
          <w:kern w:val="0"/>
          <w:szCs w:val="21"/>
        </w:rPr>
        <w:t>3.10</w:t>
      </w:r>
      <w:r w:rsidRPr="00E734EB">
        <w:rPr>
          <w:rFonts w:eastAsiaTheme="minorEastAsia" w:cs="Arial"/>
          <w:kern w:val="0"/>
          <w:szCs w:val="21"/>
        </w:rPr>
        <w:t>亿美元，占比</w:t>
      </w:r>
      <w:r w:rsidR="00107B88">
        <w:rPr>
          <w:rFonts w:eastAsiaTheme="minorEastAsia" w:cs="Arial" w:hint="eastAsia"/>
          <w:kern w:val="0"/>
          <w:szCs w:val="21"/>
        </w:rPr>
        <w:t>7.7</w:t>
      </w:r>
      <w:r w:rsidR="008B6D00">
        <w:rPr>
          <w:rFonts w:eastAsiaTheme="minorEastAsia" w:cs="Arial" w:hint="eastAsia"/>
          <w:kern w:val="0"/>
          <w:szCs w:val="21"/>
        </w:rPr>
        <w:t>%</w:t>
      </w:r>
      <w:r w:rsidR="00EF14B1">
        <w:rPr>
          <w:rFonts w:eastAsiaTheme="minorEastAsia" w:cs="Arial" w:hint="eastAsia"/>
          <w:kern w:val="0"/>
          <w:szCs w:val="21"/>
        </w:rPr>
        <w:t>；外资并购</w:t>
      </w:r>
      <w:r w:rsidR="000C4DB2">
        <w:rPr>
          <w:rFonts w:eastAsiaTheme="minorEastAsia" w:cs="Arial" w:hint="eastAsia"/>
          <w:kern w:val="0"/>
          <w:szCs w:val="21"/>
        </w:rPr>
        <w:t>3</w:t>
      </w:r>
      <w:r w:rsidR="00EF14B1">
        <w:rPr>
          <w:rFonts w:eastAsiaTheme="minorEastAsia" w:cs="Arial" w:hint="eastAsia"/>
          <w:kern w:val="0"/>
          <w:szCs w:val="21"/>
        </w:rPr>
        <w:t>起，个数占比</w:t>
      </w:r>
      <w:r w:rsidR="00C223B5">
        <w:rPr>
          <w:rFonts w:eastAsiaTheme="minorEastAsia" w:cs="Arial" w:hint="eastAsia"/>
          <w:kern w:val="0"/>
          <w:szCs w:val="21"/>
        </w:rPr>
        <w:t>2.6</w:t>
      </w:r>
      <w:r w:rsidR="00EF14B1">
        <w:rPr>
          <w:rFonts w:eastAsiaTheme="minorEastAsia" w:cs="Arial" w:hint="eastAsia"/>
          <w:kern w:val="0"/>
          <w:szCs w:val="21"/>
        </w:rPr>
        <w:t>%</w:t>
      </w:r>
      <w:r w:rsidR="00EF14B1">
        <w:rPr>
          <w:rFonts w:eastAsiaTheme="minorEastAsia" w:cs="Arial" w:hint="eastAsia"/>
          <w:kern w:val="0"/>
          <w:szCs w:val="21"/>
        </w:rPr>
        <w:t>，披露金额是</w:t>
      </w:r>
      <w:r w:rsidR="00C223B5">
        <w:rPr>
          <w:rFonts w:eastAsiaTheme="minorEastAsia" w:cs="Arial" w:hint="eastAsia"/>
          <w:kern w:val="0"/>
          <w:szCs w:val="21"/>
        </w:rPr>
        <w:t>7633</w:t>
      </w:r>
      <w:r w:rsidR="000C4DB2">
        <w:rPr>
          <w:rFonts w:eastAsiaTheme="minorEastAsia" w:cs="Arial" w:hint="eastAsia"/>
          <w:kern w:val="0"/>
          <w:szCs w:val="21"/>
        </w:rPr>
        <w:t>.00</w:t>
      </w:r>
      <w:r w:rsidR="00304EC4">
        <w:rPr>
          <w:rFonts w:eastAsiaTheme="minorEastAsia" w:cs="Arial" w:hint="eastAsia"/>
          <w:kern w:val="0"/>
          <w:szCs w:val="21"/>
        </w:rPr>
        <w:t>万</w:t>
      </w:r>
      <w:r w:rsidR="00EF14B1">
        <w:rPr>
          <w:rFonts w:eastAsiaTheme="minorEastAsia" w:cs="Arial" w:hint="eastAsia"/>
          <w:kern w:val="0"/>
          <w:szCs w:val="21"/>
        </w:rPr>
        <w:t>美元，占比</w:t>
      </w:r>
      <w:r w:rsidR="00C223B5">
        <w:rPr>
          <w:rFonts w:eastAsiaTheme="minorEastAsia" w:cs="Arial" w:hint="eastAsia"/>
          <w:kern w:val="0"/>
          <w:szCs w:val="21"/>
        </w:rPr>
        <w:t>1.</w:t>
      </w:r>
      <w:r w:rsidR="00107B88">
        <w:rPr>
          <w:rFonts w:eastAsiaTheme="minorEastAsia" w:cs="Arial" w:hint="eastAsia"/>
          <w:kern w:val="0"/>
          <w:szCs w:val="21"/>
        </w:rPr>
        <w:t>9</w:t>
      </w:r>
      <w:r w:rsidR="00EF14B1">
        <w:rPr>
          <w:rFonts w:eastAsiaTheme="minorEastAsia" w:cs="Arial" w:hint="eastAsia"/>
          <w:kern w:val="0"/>
          <w:szCs w:val="21"/>
        </w:rPr>
        <w:t>%</w:t>
      </w:r>
      <w:r w:rsidR="00EF14B1">
        <w:rPr>
          <w:rFonts w:eastAsiaTheme="minorEastAsia" w:cs="Arial" w:hint="eastAsia"/>
          <w:kern w:val="0"/>
          <w:szCs w:val="21"/>
        </w:rPr>
        <w:t>。</w:t>
      </w:r>
      <w:r w:rsidR="00680114" w:rsidRPr="00720DCF">
        <w:rPr>
          <w:rFonts w:eastAsiaTheme="minorEastAsia" w:cs="Arial" w:hint="eastAsia"/>
          <w:kern w:val="0"/>
          <w:szCs w:val="21"/>
        </w:rPr>
        <w:t>中文天地出版传媒股份有限公司</w:t>
      </w:r>
      <w:r w:rsidR="002C4787" w:rsidRPr="00720DCF">
        <w:rPr>
          <w:rFonts w:eastAsiaTheme="minorEastAsia" w:cs="Arial"/>
          <w:kern w:val="0"/>
          <w:szCs w:val="21"/>
        </w:rPr>
        <w:t>（下称</w:t>
      </w:r>
      <w:r w:rsidR="002C4787" w:rsidRPr="00720DCF">
        <w:rPr>
          <w:rFonts w:eastAsiaTheme="minorEastAsia" w:cs="Arial"/>
          <w:kern w:val="0"/>
          <w:szCs w:val="21"/>
        </w:rPr>
        <w:t>“</w:t>
      </w:r>
      <w:r w:rsidR="00680114" w:rsidRPr="00720DCF">
        <w:rPr>
          <w:rFonts w:eastAsiaTheme="minorEastAsia" w:cs="Arial" w:hint="eastAsia"/>
          <w:kern w:val="0"/>
          <w:szCs w:val="21"/>
        </w:rPr>
        <w:t>中文传媒</w:t>
      </w:r>
      <w:r w:rsidR="002C4787" w:rsidRPr="00720DCF">
        <w:rPr>
          <w:rFonts w:eastAsiaTheme="minorEastAsia" w:cs="Arial"/>
          <w:kern w:val="0"/>
          <w:szCs w:val="21"/>
        </w:rPr>
        <w:t>”</w:t>
      </w:r>
      <w:r w:rsidR="002C4787" w:rsidRPr="00720DCF">
        <w:rPr>
          <w:rFonts w:eastAsiaTheme="minorEastAsia" w:cs="Arial"/>
          <w:kern w:val="0"/>
          <w:szCs w:val="21"/>
        </w:rPr>
        <w:t>）收购</w:t>
      </w:r>
      <w:r w:rsidR="00680114" w:rsidRPr="00720DCF">
        <w:rPr>
          <w:rFonts w:eastAsiaTheme="minorEastAsia" w:cs="Arial" w:hint="eastAsia"/>
          <w:kern w:val="0"/>
          <w:szCs w:val="21"/>
        </w:rPr>
        <w:t>北京智明星通科技有限公司</w:t>
      </w:r>
      <w:r w:rsidR="002C4787" w:rsidRPr="00720DCF">
        <w:rPr>
          <w:rFonts w:eastAsiaTheme="minorEastAsia" w:cs="Arial"/>
          <w:kern w:val="0"/>
          <w:szCs w:val="21"/>
        </w:rPr>
        <w:t>（下称</w:t>
      </w:r>
      <w:r w:rsidR="002C4787" w:rsidRPr="00720DCF">
        <w:rPr>
          <w:rFonts w:eastAsiaTheme="minorEastAsia" w:cs="Arial"/>
          <w:kern w:val="0"/>
          <w:szCs w:val="21"/>
        </w:rPr>
        <w:t>“</w:t>
      </w:r>
      <w:r w:rsidR="00680114" w:rsidRPr="00720DCF">
        <w:rPr>
          <w:rFonts w:eastAsiaTheme="minorEastAsia" w:cs="Arial" w:hint="eastAsia"/>
          <w:kern w:val="0"/>
          <w:szCs w:val="21"/>
        </w:rPr>
        <w:t>智明星通</w:t>
      </w:r>
      <w:r w:rsidR="002C4787" w:rsidRPr="00720DCF">
        <w:rPr>
          <w:rFonts w:eastAsiaTheme="minorEastAsia" w:cs="Arial"/>
          <w:kern w:val="0"/>
          <w:szCs w:val="21"/>
        </w:rPr>
        <w:t>”</w:t>
      </w:r>
      <w:r w:rsidR="002C4787" w:rsidRPr="00720DCF">
        <w:rPr>
          <w:rFonts w:eastAsiaTheme="minorEastAsia" w:cs="Arial"/>
          <w:kern w:val="0"/>
          <w:szCs w:val="21"/>
        </w:rPr>
        <w:t>）</w:t>
      </w:r>
      <w:r w:rsidR="00680114" w:rsidRPr="00720DCF">
        <w:rPr>
          <w:rFonts w:eastAsiaTheme="minorEastAsia" w:cs="Arial" w:hint="eastAsia"/>
          <w:kern w:val="0"/>
          <w:szCs w:val="21"/>
        </w:rPr>
        <w:t>100</w:t>
      </w:r>
      <w:r w:rsidR="0049272A" w:rsidRPr="00720DCF">
        <w:rPr>
          <w:rFonts w:eastAsiaTheme="minorEastAsia" w:cs="Arial" w:hint="eastAsia"/>
          <w:kern w:val="0"/>
          <w:szCs w:val="21"/>
        </w:rPr>
        <w:t>.0</w:t>
      </w:r>
      <w:r w:rsidR="002C4787" w:rsidRPr="00720DCF">
        <w:rPr>
          <w:rFonts w:eastAsiaTheme="minorEastAsia" w:cs="Arial"/>
          <w:kern w:val="0"/>
          <w:szCs w:val="21"/>
        </w:rPr>
        <w:t>%</w:t>
      </w:r>
      <w:r w:rsidR="002C4787" w:rsidRPr="00720DCF">
        <w:rPr>
          <w:rFonts w:eastAsiaTheme="minorEastAsia" w:cs="Arial"/>
          <w:kern w:val="0"/>
          <w:szCs w:val="21"/>
        </w:rPr>
        <w:t>股权，交易金额是</w:t>
      </w:r>
      <w:r w:rsidR="00680114" w:rsidRPr="00720DCF">
        <w:rPr>
          <w:rFonts w:eastAsiaTheme="minorEastAsia" w:cs="Arial" w:hint="eastAsia"/>
          <w:kern w:val="0"/>
          <w:szCs w:val="21"/>
        </w:rPr>
        <w:t>26.60</w:t>
      </w:r>
      <w:r w:rsidR="00922FD4" w:rsidRPr="00720DCF">
        <w:rPr>
          <w:rFonts w:eastAsiaTheme="minorEastAsia" w:cs="Arial" w:hint="eastAsia"/>
          <w:kern w:val="0"/>
          <w:szCs w:val="21"/>
        </w:rPr>
        <w:t>亿</w:t>
      </w:r>
      <w:r w:rsidR="00680114" w:rsidRPr="00720DCF">
        <w:rPr>
          <w:rFonts w:eastAsiaTheme="minorEastAsia" w:cs="Arial" w:hint="eastAsia"/>
          <w:kern w:val="0"/>
          <w:szCs w:val="21"/>
        </w:rPr>
        <w:t>元人民币（约</w:t>
      </w:r>
      <w:r w:rsidR="00680114" w:rsidRPr="00720DCF">
        <w:rPr>
          <w:rFonts w:eastAsiaTheme="minorEastAsia" w:cs="Arial" w:hint="eastAsia"/>
          <w:kern w:val="0"/>
          <w:szCs w:val="21"/>
        </w:rPr>
        <w:t>4.34</w:t>
      </w:r>
      <w:r w:rsidR="00680114" w:rsidRPr="00720DCF">
        <w:rPr>
          <w:rFonts w:eastAsiaTheme="minorEastAsia" w:cs="Arial" w:hint="eastAsia"/>
          <w:kern w:val="0"/>
          <w:szCs w:val="21"/>
        </w:rPr>
        <w:t>亿美元）</w:t>
      </w:r>
      <w:r w:rsidR="00D056B5" w:rsidRPr="00720DCF">
        <w:rPr>
          <w:rFonts w:eastAsiaTheme="minorEastAsia" w:cs="Arial" w:hint="eastAsia"/>
          <w:kern w:val="0"/>
          <w:szCs w:val="21"/>
        </w:rPr>
        <w:t>，</w:t>
      </w:r>
      <w:r w:rsidR="00042DA5" w:rsidRPr="00720DCF">
        <w:rPr>
          <w:rFonts w:eastAsiaTheme="minorEastAsia" w:cs="Arial"/>
          <w:kern w:val="0"/>
          <w:szCs w:val="21"/>
        </w:rPr>
        <w:t>占</w:t>
      </w:r>
      <w:r w:rsidR="00DC5336" w:rsidRPr="00720DCF">
        <w:rPr>
          <w:rFonts w:eastAsiaTheme="minorEastAsia" w:cs="Arial"/>
          <w:kern w:val="0"/>
          <w:szCs w:val="21"/>
        </w:rPr>
        <w:t>本月</w:t>
      </w:r>
      <w:r w:rsidR="00042DA5" w:rsidRPr="00720DCF">
        <w:rPr>
          <w:rFonts w:eastAsiaTheme="minorEastAsia" w:cs="Arial"/>
          <w:kern w:val="0"/>
          <w:szCs w:val="21"/>
        </w:rPr>
        <w:t>披露总金额的</w:t>
      </w:r>
      <w:r w:rsidR="00680114" w:rsidRPr="00720DCF">
        <w:rPr>
          <w:rFonts w:eastAsiaTheme="minorEastAsia" w:cs="Arial" w:hint="eastAsia"/>
          <w:kern w:val="0"/>
          <w:szCs w:val="21"/>
        </w:rPr>
        <w:t>9.5</w:t>
      </w:r>
      <w:r w:rsidR="00F623DF" w:rsidRPr="00720DCF">
        <w:rPr>
          <w:rFonts w:eastAsiaTheme="minorEastAsia" w:cs="Arial"/>
          <w:kern w:val="0"/>
          <w:szCs w:val="21"/>
        </w:rPr>
        <w:t>%</w:t>
      </w:r>
      <w:r w:rsidR="00042DA5" w:rsidRPr="00720DCF">
        <w:rPr>
          <w:rFonts w:eastAsiaTheme="minorEastAsia" w:cs="Arial"/>
          <w:kern w:val="0"/>
          <w:szCs w:val="21"/>
        </w:rPr>
        <w:t>，</w:t>
      </w:r>
      <w:r w:rsidR="0043072B" w:rsidRPr="00720DCF">
        <w:rPr>
          <w:rFonts w:eastAsiaTheme="minorEastAsia" w:cs="Arial"/>
          <w:kern w:val="0"/>
          <w:szCs w:val="21"/>
        </w:rPr>
        <w:t>毫无悬念地成为本月并购的大案</w:t>
      </w:r>
      <w:r w:rsidR="00042DA5" w:rsidRPr="00720DCF">
        <w:rPr>
          <w:rFonts w:eastAsiaTheme="minorEastAsia" w:cs="Arial"/>
          <w:kern w:val="0"/>
          <w:szCs w:val="21"/>
        </w:rPr>
        <w:t>。</w:t>
      </w:r>
      <w:bookmarkStart w:id="0" w:name="OLE_LINK3"/>
      <w:r w:rsidR="00720DCF" w:rsidRPr="00720DCF">
        <w:rPr>
          <w:rFonts w:eastAsiaTheme="minorEastAsia" w:cs="Arial" w:hint="eastAsia"/>
          <w:kern w:val="0"/>
          <w:szCs w:val="21"/>
        </w:rPr>
        <w:t>中文传媒主要经营出版、印刷、发行、影视制作、贸易、物流、投资以及教育文化地产等业务，在新媒体蓬勃发展的新形势下，公司积极谋划业务转型，布局了新媒体出版、影视演艺和艺术品经营等新业态。智明星通是一家专注于国际化的互联网综合平台企业。智明星通以免费安全软件和导航网站为切入点，通过搭建游戏运营发行平台（</w:t>
      </w:r>
      <w:r w:rsidR="00720DCF" w:rsidRPr="00720DCF">
        <w:rPr>
          <w:rFonts w:eastAsiaTheme="minorEastAsia" w:cs="Arial" w:hint="eastAsia"/>
          <w:kern w:val="0"/>
          <w:szCs w:val="21"/>
        </w:rPr>
        <w:t>337.com</w:t>
      </w:r>
      <w:r w:rsidR="00720DCF" w:rsidRPr="00720DCF">
        <w:rPr>
          <w:rFonts w:eastAsiaTheme="minorEastAsia" w:cs="Arial" w:hint="eastAsia"/>
          <w:kern w:val="0"/>
          <w:szCs w:val="21"/>
        </w:rPr>
        <w:t>）和电</w:t>
      </w:r>
      <w:proofErr w:type="gramStart"/>
      <w:r w:rsidR="00720DCF" w:rsidRPr="00720DCF">
        <w:rPr>
          <w:rFonts w:eastAsiaTheme="minorEastAsia" w:cs="Arial" w:hint="eastAsia"/>
          <w:kern w:val="0"/>
          <w:szCs w:val="21"/>
        </w:rPr>
        <w:t>商服务</w:t>
      </w:r>
      <w:proofErr w:type="gramEnd"/>
      <w:r w:rsidR="00720DCF" w:rsidRPr="00720DCF">
        <w:rPr>
          <w:rFonts w:eastAsiaTheme="minorEastAsia" w:cs="Arial" w:hint="eastAsia"/>
          <w:kern w:val="0"/>
          <w:szCs w:val="21"/>
        </w:rPr>
        <w:t>平台（行云）实现流量变现，将游戏产品作为利润的重要突破点，成功打造了面向海外市场的“流</w:t>
      </w:r>
      <w:r w:rsidR="00BF57C8">
        <w:rPr>
          <w:rFonts w:eastAsiaTheme="minorEastAsia" w:cs="Arial" w:hint="eastAsia"/>
          <w:kern w:val="0"/>
          <w:szCs w:val="21"/>
        </w:rPr>
        <w:lastRenderedPageBreak/>
        <w:t>量入口—发行平台—</w:t>
      </w:r>
      <w:r w:rsidR="00720DCF" w:rsidRPr="00720DCF">
        <w:rPr>
          <w:rFonts w:eastAsiaTheme="minorEastAsia" w:cs="Arial" w:hint="eastAsia"/>
          <w:kern w:val="0"/>
          <w:szCs w:val="21"/>
        </w:rPr>
        <w:t>游戏与应用产品”的闭环互联网产品生态系统。通过本次收购，中文传媒布局互联网业务，发挥传统媒体与互联网的协同优势，推动公司转型升级</w:t>
      </w:r>
      <w:r w:rsidR="00720DCF">
        <w:rPr>
          <w:rFonts w:eastAsiaTheme="minorEastAsia" w:cs="Arial" w:hint="eastAsia"/>
          <w:kern w:val="0"/>
          <w:szCs w:val="21"/>
        </w:rPr>
        <w:t>，</w:t>
      </w:r>
      <w:r w:rsidR="00720DCF" w:rsidRPr="00720DCF">
        <w:rPr>
          <w:rFonts w:eastAsiaTheme="minorEastAsia" w:cs="Arial" w:hint="eastAsia"/>
          <w:kern w:val="0"/>
          <w:szCs w:val="21"/>
        </w:rPr>
        <w:t>为全方位、全媒介、全产业链的文化产品及服务提供商。</w:t>
      </w:r>
    </w:p>
    <w:p w:rsidR="00720DCF" w:rsidRPr="00720DCF" w:rsidRDefault="00720DCF" w:rsidP="00720DCF">
      <w:pPr>
        <w:spacing w:line="360" w:lineRule="exact"/>
        <w:ind w:firstLineChars="200" w:firstLine="420"/>
        <w:rPr>
          <w:rFonts w:eastAsiaTheme="minorEastAsia" w:cs="Arial"/>
          <w:color w:val="FF0000"/>
          <w:kern w:val="0"/>
          <w:szCs w:val="21"/>
        </w:rPr>
      </w:pPr>
    </w:p>
    <w:p w:rsidR="007D7050" w:rsidRPr="00E734EB" w:rsidRDefault="007D7050" w:rsidP="007D7050">
      <w:pPr>
        <w:spacing w:line="440" w:lineRule="exact"/>
        <w:rPr>
          <w:rFonts w:eastAsiaTheme="minorEastAsia" w:cs="Arial"/>
          <w:b/>
          <w:kern w:val="0"/>
          <w:sz w:val="20"/>
          <w:szCs w:val="20"/>
        </w:rPr>
      </w:pPr>
      <w:r w:rsidRPr="00E734EB">
        <w:rPr>
          <w:rFonts w:eastAsiaTheme="minorEastAsia" w:cs="Arial"/>
          <w:b/>
          <w:kern w:val="0"/>
          <w:sz w:val="20"/>
          <w:szCs w:val="20"/>
        </w:rPr>
        <w:t>表</w:t>
      </w:r>
      <w:r w:rsidRPr="00E734EB">
        <w:rPr>
          <w:rFonts w:eastAsiaTheme="minorEastAsia" w:cs="Arial"/>
          <w:b/>
          <w:kern w:val="0"/>
          <w:sz w:val="20"/>
          <w:szCs w:val="20"/>
        </w:rPr>
        <w:t>1 201</w:t>
      </w:r>
      <w:r w:rsidR="00C223B5">
        <w:rPr>
          <w:rFonts w:eastAsiaTheme="minorEastAsia" w:cs="Arial" w:hint="eastAsia"/>
          <w:b/>
          <w:kern w:val="0"/>
          <w:sz w:val="20"/>
          <w:szCs w:val="20"/>
        </w:rPr>
        <w:t>5</w:t>
      </w:r>
      <w:r w:rsidRPr="00E734EB">
        <w:rPr>
          <w:rFonts w:eastAsiaTheme="minorEastAsia" w:cs="Arial"/>
          <w:b/>
          <w:kern w:val="0"/>
          <w:sz w:val="20"/>
          <w:szCs w:val="20"/>
        </w:rPr>
        <w:t>年</w:t>
      </w:r>
      <w:r w:rsidR="00C223B5">
        <w:rPr>
          <w:rFonts w:eastAsiaTheme="minorEastAsia" w:cs="Arial" w:hint="eastAsia"/>
          <w:b/>
          <w:kern w:val="0"/>
          <w:sz w:val="20"/>
          <w:szCs w:val="20"/>
        </w:rPr>
        <w:t>1</w:t>
      </w:r>
      <w:r w:rsidRPr="00E734EB">
        <w:rPr>
          <w:rFonts w:eastAsiaTheme="minorEastAsia" w:cs="Arial"/>
          <w:b/>
          <w:kern w:val="0"/>
          <w:sz w:val="20"/>
          <w:szCs w:val="20"/>
        </w:rPr>
        <w:t>月中国并购市场并购类型统计</w:t>
      </w:r>
      <w:bookmarkEnd w:id="0"/>
      <w:r w:rsidRPr="00E734EB">
        <w:rPr>
          <w:rFonts w:eastAsiaTheme="minorEastAsia" w:cs="Arial"/>
          <w:b/>
          <w:kern w:val="0"/>
          <w:sz w:val="20"/>
          <w:szCs w:val="20"/>
        </w:rPr>
        <w:t>去除关联交易</w:t>
      </w:r>
    </w:p>
    <w:tbl>
      <w:tblPr>
        <w:tblW w:w="10000" w:type="dxa"/>
        <w:tblLook w:val="04A0"/>
      </w:tblPr>
      <w:tblGrid>
        <w:gridCol w:w="1780"/>
        <w:gridCol w:w="1720"/>
        <w:gridCol w:w="1580"/>
        <w:gridCol w:w="1780"/>
        <w:gridCol w:w="1440"/>
        <w:gridCol w:w="1700"/>
      </w:tblGrid>
      <w:tr w:rsidR="00E90A82" w:rsidRPr="00E734EB" w:rsidTr="00446B3B">
        <w:trPr>
          <w:trHeight w:val="525"/>
        </w:trPr>
        <w:tc>
          <w:tcPr>
            <w:tcW w:w="1780" w:type="dxa"/>
            <w:tcBorders>
              <w:top w:val="single" w:sz="12" w:space="0" w:color="003366"/>
              <w:left w:val="single" w:sz="4" w:space="0" w:color="FFFFFF"/>
              <w:bottom w:val="single" w:sz="12" w:space="0" w:color="003366"/>
              <w:right w:val="single" w:sz="4" w:space="0" w:color="FFFFFF"/>
            </w:tcBorders>
            <w:shd w:val="clear" w:color="auto" w:fill="auto"/>
            <w:vAlign w:val="center"/>
          </w:tcPr>
          <w:p w:rsidR="00E90A82" w:rsidRPr="00E734EB" w:rsidRDefault="00E90A82" w:rsidP="00640BFE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并购类型</w:t>
            </w:r>
          </w:p>
        </w:tc>
        <w:tc>
          <w:tcPr>
            <w:tcW w:w="1720" w:type="dxa"/>
            <w:tcBorders>
              <w:top w:val="single" w:sz="12" w:space="0" w:color="003366"/>
              <w:left w:val="nil"/>
              <w:bottom w:val="single" w:sz="12" w:space="0" w:color="003366"/>
              <w:right w:val="single" w:sz="4" w:space="0" w:color="FFFFFF"/>
            </w:tcBorders>
            <w:shd w:val="clear" w:color="auto" w:fill="auto"/>
            <w:vAlign w:val="center"/>
          </w:tcPr>
          <w:p w:rsidR="00E90A82" w:rsidRPr="00E734EB" w:rsidRDefault="00E90A82" w:rsidP="00640BFE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案例总数</w:t>
            </w:r>
          </w:p>
        </w:tc>
        <w:tc>
          <w:tcPr>
            <w:tcW w:w="1580" w:type="dxa"/>
            <w:tcBorders>
              <w:top w:val="single" w:sz="12" w:space="0" w:color="003366"/>
              <w:left w:val="nil"/>
              <w:bottom w:val="single" w:sz="12" w:space="0" w:color="003366"/>
              <w:right w:val="single" w:sz="4" w:space="0" w:color="FFFFFF"/>
            </w:tcBorders>
            <w:shd w:val="clear" w:color="auto" w:fill="auto"/>
            <w:vAlign w:val="center"/>
          </w:tcPr>
          <w:p w:rsidR="00E90A82" w:rsidRPr="00E734EB" w:rsidRDefault="00E90A82" w:rsidP="00640BFE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比例</w:t>
            </w:r>
          </w:p>
        </w:tc>
        <w:tc>
          <w:tcPr>
            <w:tcW w:w="1780" w:type="dxa"/>
            <w:tcBorders>
              <w:top w:val="single" w:sz="12" w:space="0" w:color="003366"/>
              <w:left w:val="nil"/>
              <w:bottom w:val="single" w:sz="12" w:space="0" w:color="003366"/>
              <w:right w:val="single" w:sz="4" w:space="0" w:color="FFFFFF"/>
            </w:tcBorders>
            <w:shd w:val="clear" w:color="auto" w:fill="auto"/>
            <w:vAlign w:val="center"/>
          </w:tcPr>
          <w:p w:rsidR="00E90A82" w:rsidRPr="00E734EB" w:rsidRDefault="00E90A82" w:rsidP="00640BFE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披露金额的案例数</w:t>
            </w:r>
          </w:p>
        </w:tc>
        <w:tc>
          <w:tcPr>
            <w:tcW w:w="1440" w:type="dxa"/>
            <w:tcBorders>
              <w:top w:val="single" w:sz="12" w:space="0" w:color="003366"/>
              <w:left w:val="nil"/>
              <w:bottom w:val="single" w:sz="12" w:space="0" w:color="003366"/>
              <w:right w:val="single" w:sz="4" w:space="0" w:color="FFFFFF"/>
            </w:tcBorders>
            <w:shd w:val="clear" w:color="auto" w:fill="auto"/>
            <w:vAlign w:val="center"/>
          </w:tcPr>
          <w:p w:rsidR="00E90A82" w:rsidRPr="00E734EB" w:rsidRDefault="00E90A82" w:rsidP="00640BFE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披露的金额（</w:t>
            </w: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US$M</w:t>
            </w: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700" w:type="dxa"/>
            <w:tcBorders>
              <w:top w:val="single" w:sz="12" w:space="0" w:color="003366"/>
              <w:left w:val="nil"/>
              <w:bottom w:val="single" w:sz="12" w:space="0" w:color="003366"/>
              <w:right w:val="single" w:sz="4" w:space="0" w:color="FFFFFF"/>
            </w:tcBorders>
            <w:shd w:val="clear" w:color="auto" w:fill="auto"/>
            <w:vAlign w:val="center"/>
          </w:tcPr>
          <w:p w:rsidR="00E90A82" w:rsidRPr="00E734EB" w:rsidRDefault="00E90A82" w:rsidP="00640BFE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比例</w:t>
            </w:r>
          </w:p>
        </w:tc>
      </w:tr>
      <w:tr w:rsidR="00107B88" w:rsidRPr="00E734EB" w:rsidTr="00C223B5">
        <w:trPr>
          <w:trHeight w:val="285"/>
        </w:trPr>
        <w:tc>
          <w:tcPr>
            <w:tcW w:w="1780" w:type="dxa"/>
            <w:tcBorders>
              <w:top w:val="single" w:sz="12" w:space="0" w:color="003366"/>
              <w:left w:val="single" w:sz="8" w:space="0" w:color="FFFFFF"/>
            </w:tcBorders>
            <w:shd w:val="clear" w:color="auto" w:fill="auto"/>
          </w:tcPr>
          <w:p w:rsidR="00107B88" w:rsidRPr="005837F0" w:rsidRDefault="00107B88" w:rsidP="005837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37F0">
              <w:rPr>
                <w:rFonts w:cs="Arial" w:hint="eastAsia"/>
                <w:color w:val="000000"/>
                <w:sz w:val="20"/>
                <w:szCs w:val="20"/>
              </w:rPr>
              <w:t>国内并购</w:t>
            </w:r>
          </w:p>
        </w:tc>
        <w:tc>
          <w:tcPr>
            <w:tcW w:w="1720" w:type="dxa"/>
            <w:tcBorders>
              <w:top w:val="single" w:sz="12" w:space="0" w:color="003366"/>
            </w:tcBorders>
            <w:shd w:val="clear" w:color="auto" w:fill="auto"/>
            <w:vAlign w:val="center"/>
          </w:tcPr>
          <w:p w:rsidR="00107B88" w:rsidRDefault="00107B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0" w:type="dxa"/>
            <w:tcBorders>
              <w:top w:val="single" w:sz="12" w:space="0" w:color="003366"/>
            </w:tcBorders>
            <w:shd w:val="clear" w:color="auto" w:fill="auto"/>
            <w:vAlign w:val="center"/>
          </w:tcPr>
          <w:p w:rsidR="00107B88" w:rsidRDefault="00107B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87.9%</w:t>
            </w:r>
          </w:p>
        </w:tc>
        <w:tc>
          <w:tcPr>
            <w:tcW w:w="1780" w:type="dxa"/>
            <w:tcBorders>
              <w:top w:val="single" w:sz="12" w:space="0" w:color="003366"/>
            </w:tcBorders>
            <w:shd w:val="clear" w:color="auto" w:fill="auto"/>
            <w:vAlign w:val="center"/>
          </w:tcPr>
          <w:p w:rsidR="00107B88" w:rsidRDefault="00107B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40" w:type="dxa"/>
            <w:tcBorders>
              <w:top w:val="single" w:sz="12" w:space="0" w:color="003366"/>
            </w:tcBorders>
            <w:shd w:val="clear" w:color="auto" w:fill="auto"/>
            <w:vAlign w:val="center"/>
          </w:tcPr>
          <w:p w:rsidR="00107B88" w:rsidRDefault="00107B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3,626.39 </w:t>
            </w:r>
          </w:p>
        </w:tc>
        <w:tc>
          <w:tcPr>
            <w:tcW w:w="1700" w:type="dxa"/>
            <w:tcBorders>
              <w:top w:val="single" w:sz="12" w:space="0" w:color="003366"/>
              <w:right w:val="single" w:sz="8" w:space="0" w:color="FFFFFF"/>
            </w:tcBorders>
            <w:shd w:val="clear" w:color="auto" w:fill="auto"/>
            <w:vAlign w:val="center"/>
          </w:tcPr>
          <w:p w:rsidR="00107B88" w:rsidRDefault="00107B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90.4%</w:t>
            </w:r>
          </w:p>
        </w:tc>
      </w:tr>
      <w:tr w:rsidR="00107B88" w:rsidRPr="00E734EB" w:rsidTr="00C223B5">
        <w:trPr>
          <w:trHeight w:val="285"/>
        </w:trPr>
        <w:tc>
          <w:tcPr>
            <w:tcW w:w="1780" w:type="dxa"/>
            <w:tcBorders>
              <w:left w:val="single" w:sz="8" w:space="0" w:color="FFFFFF"/>
            </w:tcBorders>
            <w:shd w:val="clear" w:color="auto" w:fill="auto"/>
          </w:tcPr>
          <w:p w:rsidR="00107B88" w:rsidRPr="005837F0" w:rsidRDefault="00107B88" w:rsidP="005837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37F0">
              <w:rPr>
                <w:rFonts w:cs="Arial" w:hint="eastAsia"/>
                <w:color w:val="000000"/>
                <w:sz w:val="20"/>
                <w:szCs w:val="20"/>
              </w:rPr>
              <w:t>海外并购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107B88" w:rsidRDefault="00107B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107B88" w:rsidRDefault="00107B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9.5%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107B88" w:rsidRDefault="00107B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07B88" w:rsidRDefault="00107B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310.22 </w:t>
            </w:r>
          </w:p>
        </w:tc>
        <w:tc>
          <w:tcPr>
            <w:tcW w:w="1700" w:type="dxa"/>
            <w:tcBorders>
              <w:right w:val="single" w:sz="8" w:space="0" w:color="FFFFFF"/>
            </w:tcBorders>
            <w:shd w:val="clear" w:color="auto" w:fill="auto"/>
            <w:vAlign w:val="center"/>
          </w:tcPr>
          <w:p w:rsidR="00107B88" w:rsidRDefault="00107B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7.7%</w:t>
            </w:r>
          </w:p>
        </w:tc>
      </w:tr>
      <w:tr w:rsidR="00107B88" w:rsidRPr="00E734EB" w:rsidTr="00C223B5">
        <w:trPr>
          <w:trHeight w:val="315"/>
        </w:trPr>
        <w:tc>
          <w:tcPr>
            <w:tcW w:w="1780" w:type="dxa"/>
            <w:tcBorders>
              <w:left w:val="single" w:sz="8" w:space="0" w:color="FFFFFF"/>
              <w:bottom w:val="single" w:sz="12" w:space="0" w:color="003366"/>
              <w:right w:val="single" w:sz="4" w:space="0" w:color="FFFFFF"/>
            </w:tcBorders>
            <w:shd w:val="clear" w:color="auto" w:fill="auto"/>
          </w:tcPr>
          <w:p w:rsidR="00107B88" w:rsidRPr="005837F0" w:rsidRDefault="00107B88" w:rsidP="005837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837F0">
              <w:rPr>
                <w:rFonts w:cs="Arial" w:hint="eastAsia"/>
                <w:color w:val="000000"/>
                <w:sz w:val="20"/>
                <w:szCs w:val="20"/>
              </w:rPr>
              <w:t>外资并购</w:t>
            </w:r>
          </w:p>
        </w:tc>
        <w:tc>
          <w:tcPr>
            <w:tcW w:w="1720" w:type="dxa"/>
            <w:tcBorders>
              <w:left w:val="nil"/>
              <w:bottom w:val="single" w:sz="12" w:space="0" w:color="003366"/>
              <w:right w:val="single" w:sz="4" w:space="0" w:color="FFFFFF"/>
            </w:tcBorders>
            <w:shd w:val="clear" w:color="auto" w:fill="auto"/>
            <w:vAlign w:val="center"/>
          </w:tcPr>
          <w:p w:rsidR="00107B88" w:rsidRDefault="00107B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left w:val="nil"/>
              <w:bottom w:val="single" w:sz="12" w:space="0" w:color="003366"/>
              <w:right w:val="single" w:sz="4" w:space="0" w:color="FFFFFF"/>
            </w:tcBorders>
            <w:shd w:val="clear" w:color="auto" w:fill="auto"/>
            <w:vAlign w:val="center"/>
          </w:tcPr>
          <w:p w:rsidR="00107B88" w:rsidRDefault="00107B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1780" w:type="dxa"/>
            <w:tcBorders>
              <w:left w:val="nil"/>
              <w:bottom w:val="single" w:sz="12" w:space="0" w:color="003366"/>
              <w:right w:val="single" w:sz="4" w:space="0" w:color="FFFFFF"/>
            </w:tcBorders>
            <w:shd w:val="clear" w:color="auto" w:fill="auto"/>
            <w:vAlign w:val="center"/>
          </w:tcPr>
          <w:p w:rsidR="00107B88" w:rsidRDefault="00107B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left w:val="nil"/>
              <w:bottom w:val="single" w:sz="12" w:space="0" w:color="003366"/>
              <w:right w:val="single" w:sz="4" w:space="0" w:color="FFFFFF"/>
            </w:tcBorders>
            <w:shd w:val="clear" w:color="auto" w:fill="auto"/>
            <w:vAlign w:val="center"/>
          </w:tcPr>
          <w:p w:rsidR="00107B88" w:rsidRDefault="00107B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76.33 </w:t>
            </w:r>
          </w:p>
        </w:tc>
        <w:tc>
          <w:tcPr>
            <w:tcW w:w="1700" w:type="dxa"/>
            <w:tcBorders>
              <w:left w:val="nil"/>
              <w:bottom w:val="single" w:sz="12" w:space="0" w:color="003366"/>
              <w:right w:val="single" w:sz="8" w:space="0" w:color="FFFFFF"/>
            </w:tcBorders>
            <w:shd w:val="clear" w:color="auto" w:fill="auto"/>
            <w:vAlign w:val="center"/>
          </w:tcPr>
          <w:p w:rsidR="00107B88" w:rsidRDefault="00107B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1.9%</w:t>
            </w:r>
          </w:p>
        </w:tc>
      </w:tr>
      <w:tr w:rsidR="00107B88" w:rsidRPr="00E734EB" w:rsidTr="00C223B5">
        <w:trPr>
          <w:trHeight w:val="300"/>
        </w:trPr>
        <w:tc>
          <w:tcPr>
            <w:tcW w:w="1780" w:type="dxa"/>
            <w:tcBorders>
              <w:top w:val="single" w:sz="12" w:space="0" w:color="003366"/>
              <w:left w:val="single" w:sz="4" w:space="0" w:color="FFFFFF"/>
              <w:bottom w:val="single" w:sz="12" w:space="0" w:color="003366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107B88" w:rsidRPr="00E734EB" w:rsidRDefault="00107B88" w:rsidP="00640BFE">
            <w:pPr>
              <w:widowControl/>
              <w:jc w:val="center"/>
              <w:rPr>
                <w:rFonts w:eastAsiaTheme="minorEastAsia" w:cs="Arial"/>
                <w:b/>
                <w:bCs/>
                <w:color w:val="000000"/>
                <w:kern w:val="0"/>
                <w:szCs w:val="21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20" w:type="dxa"/>
            <w:tcBorders>
              <w:top w:val="single" w:sz="12" w:space="0" w:color="003366"/>
              <w:left w:val="nil"/>
              <w:bottom w:val="single" w:sz="12" w:space="0" w:color="003366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107B88" w:rsidRDefault="00107B8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80" w:type="dxa"/>
            <w:tcBorders>
              <w:top w:val="single" w:sz="12" w:space="0" w:color="003366"/>
              <w:left w:val="nil"/>
              <w:bottom w:val="single" w:sz="12" w:space="0" w:color="003366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107B88" w:rsidRDefault="00107B8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780" w:type="dxa"/>
            <w:tcBorders>
              <w:top w:val="single" w:sz="12" w:space="0" w:color="003366"/>
              <w:left w:val="nil"/>
              <w:bottom w:val="single" w:sz="12" w:space="0" w:color="003366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107B88" w:rsidRDefault="00107B8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40" w:type="dxa"/>
            <w:tcBorders>
              <w:top w:val="single" w:sz="12" w:space="0" w:color="003366"/>
              <w:left w:val="nil"/>
              <w:bottom w:val="single" w:sz="12" w:space="0" w:color="003366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107B88" w:rsidRDefault="00107B8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4,012.94 </w:t>
            </w:r>
          </w:p>
        </w:tc>
        <w:tc>
          <w:tcPr>
            <w:tcW w:w="1700" w:type="dxa"/>
            <w:tcBorders>
              <w:top w:val="single" w:sz="12" w:space="0" w:color="003366"/>
              <w:left w:val="nil"/>
              <w:bottom w:val="single" w:sz="12" w:space="0" w:color="003366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107B88" w:rsidRDefault="00107B88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100.0%</w:t>
            </w:r>
          </w:p>
        </w:tc>
      </w:tr>
    </w:tbl>
    <w:p w:rsidR="000A545B" w:rsidRPr="00E734EB" w:rsidRDefault="007D7050" w:rsidP="00B2679A">
      <w:pPr>
        <w:widowControl/>
        <w:rPr>
          <w:rFonts w:eastAsiaTheme="minorEastAsia" w:cs="Arial"/>
          <w:sz w:val="20"/>
        </w:rPr>
      </w:pPr>
      <w:r w:rsidRPr="00E734EB">
        <w:rPr>
          <w:rFonts w:eastAsiaTheme="minorEastAsia" w:cs="Arial"/>
          <w:sz w:val="20"/>
        </w:rPr>
        <w:t>来源：私募通</w:t>
      </w:r>
      <w:r w:rsidRPr="00E734EB">
        <w:rPr>
          <w:rFonts w:eastAsiaTheme="minorEastAsia" w:cs="Arial"/>
          <w:sz w:val="20"/>
        </w:rPr>
        <w:t xml:space="preserve"> 201</w:t>
      </w:r>
      <w:r w:rsidR="00E636D2">
        <w:rPr>
          <w:rFonts w:eastAsiaTheme="minorEastAsia" w:cs="Arial" w:hint="eastAsia"/>
          <w:sz w:val="20"/>
        </w:rPr>
        <w:t>5</w:t>
      </w:r>
      <w:r w:rsidRPr="00E734EB">
        <w:rPr>
          <w:rFonts w:eastAsiaTheme="minorEastAsia" w:cs="Arial"/>
          <w:sz w:val="20"/>
        </w:rPr>
        <w:t>.</w:t>
      </w:r>
      <w:r w:rsidR="00E636D2">
        <w:rPr>
          <w:rFonts w:eastAsiaTheme="minorEastAsia" w:cs="Arial" w:hint="eastAsia"/>
          <w:sz w:val="20"/>
        </w:rPr>
        <w:t>0</w:t>
      </w:r>
      <w:r w:rsidR="00C223B5">
        <w:rPr>
          <w:rFonts w:eastAsiaTheme="minorEastAsia" w:cs="Arial" w:hint="eastAsia"/>
          <w:sz w:val="20"/>
        </w:rPr>
        <w:t>2</w:t>
      </w:r>
      <w:r w:rsidRPr="00E734EB">
        <w:rPr>
          <w:rFonts w:eastAsiaTheme="minorEastAsia" w:cs="Arial"/>
          <w:sz w:val="20"/>
        </w:rPr>
        <w:t xml:space="preserve">                </w:t>
      </w:r>
      <w:r w:rsidR="00B2679A">
        <w:rPr>
          <w:rFonts w:eastAsiaTheme="minorEastAsia" w:cs="Arial" w:hint="eastAsia"/>
          <w:sz w:val="20"/>
        </w:rPr>
        <w:t xml:space="preserve">                                             </w:t>
      </w:r>
      <w:r w:rsidRPr="00E734EB">
        <w:rPr>
          <w:rFonts w:eastAsiaTheme="minorEastAsia" w:cs="Arial"/>
          <w:sz w:val="20"/>
        </w:rPr>
        <w:t xml:space="preserve">  www.pedata.cn</w:t>
      </w:r>
    </w:p>
    <w:p w:rsidR="00D41464" w:rsidRPr="00E734EB" w:rsidRDefault="00D41464" w:rsidP="000570F0">
      <w:pPr>
        <w:spacing w:line="200" w:lineRule="exact"/>
        <w:jc w:val="left"/>
        <w:rPr>
          <w:rFonts w:eastAsiaTheme="minorEastAsia" w:cs="Arial"/>
          <w:b/>
          <w:kern w:val="0"/>
          <w:sz w:val="20"/>
          <w:szCs w:val="20"/>
        </w:rPr>
      </w:pPr>
    </w:p>
    <w:p w:rsidR="007D7050" w:rsidRPr="001F2F70" w:rsidRDefault="00BF57C8" w:rsidP="007D7050">
      <w:pPr>
        <w:jc w:val="left"/>
        <w:rPr>
          <w:rStyle w:val="af5"/>
          <w:rFonts w:eastAsiaTheme="minorEastAsia" w:cs="Arial"/>
          <w:szCs w:val="21"/>
        </w:rPr>
      </w:pPr>
      <w:r>
        <w:rPr>
          <w:rStyle w:val="af5"/>
          <w:rFonts w:eastAsiaTheme="minorEastAsia" w:cs="Arial" w:hint="eastAsia"/>
          <w:szCs w:val="21"/>
        </w:rPr>
        <w:t>1</w:t>
      </w:r>
      <w:r w:rsidR="007D7050" w:rsidRPr="00E734EB">
        <w:rPr>
          <w:rStyle w:val="af5"/>
          <w:rFonts w:eastAsiaTheme="minorEastAsia" w:cs="Arial"/>
          <w:szCs w:val="21"/>
        </w:rPr>
        <w:t>月</w:t>
      </w:r>
      <w:r w:rsidR="00CE6CEA">
        <w:rPr>
          <w:rStyle w:val="af5"/>
          <w:rFonts w:eastAsiaTheme="minorEastAsia" w:cs="Arial" w:hint="eastAsia"/>
          <w:szCs w:val="21"/>
        </w:rPr>
        <w:t>国内并购</w:t>
      </w:r>
      <w:r>
        <w:rPr>
          <w:rStyle w:val="af5"/>
          <w:rFonts w:eastAsiaTheme="minorEastAsia" w:cs="Arial" w:hint="eastAsia"/>
          <w:szCs w:val="21"/>
        </w:rPr>
        <w:t>清洁技术、互联网、生物技术</w:t>
      </w:r>
      <w:r>
        <w:rPr>
          <w:rStyle w:val="af5"/>
          <w:rFonts w:eastAsiaTheme="minorEastAsia" w:cs="Arial" w:hint="eastAsia"/>
          <w:szCs w:val="21"/>
        </w:rPr>
        <w:t>/</w:t>
      </w:r>
      <w:r>
        <w:rPr>
          <w:rStyle w:val="af5"/>
          <w:rFonts w:eastAsiaTheme="minorEastAsia" w:cs="Arial" w:hint="eastAsia"/>
          <w:szCs w:val="21"/>
        </w:rPr>
        <w:t>医疗健康齐头并进</w:t>
      </w:r>
    </w:p>
    <w:p w:rsidR="00505B0E" w:rsidRPr="00E734EB" w:rsidRDefault="00505B0E" w:rsidP="000570F0">
      <w:pPr>
        <w:spacing w:line="200" w:lineRule="exact"/>
        <w:jc w:val="left"/>
        <w:rPr>
          <w:rStyle w:val="af5"/>
          <w:rFonts w:eastAsiaTheme="minorEastAsia" w:cs="Arial"/>
          <w:szCs w:val="21"/>
        </w:rPr>
      </w:pPr>
    </w:p>
    <w:p w:rsidR="007D7050" w:rsidRPr="00F130CF" w:rsidRDefault="00505B0E" w:rsidP="00902DA0">
      <w:pPr>
        <w:spacing w:line="360" w:lineRule="exact"/>
        <w:jc w:val="left"/>
        <w:rPr>
          <w:rFonts w:eastAsiaTheme="minorEastAsia" w:cs="Arial"/>
          <w:szCs w:val="21"/>
        </w:rPr>
      </w:pPr>
      <w:r w:rsidRPr="00E734EB">
        <w:rPr>
          <w:rFonts w:eastAsiaTheme="minorEastAsia" w:cs="Arial"/>
          <w:szCs w:val="21"/>
        </w:rPr>
        <w:tab/>
      </w:r>
      <w:r w:rsidR="00E2102C" w:rsidRPr="00F130CF">
        <w:rPr>
          <w:rFonts w:eastAsiaTheme="minorEastAsia" w:cs="Arial" w:hint="eastAsia"/>
          <w:szCs w:val="21"/>
        </w:rPr>
        <w:t>纵观</w:t>
      </w:r>
      <w:r w:rsidR="00E2102C" w:rsidRPr="00F130CF">
        <w:rPr>
          <w:rFonts w:eastAsiaTheme="minorEastAsia" w:cs="Arial" w:hint="eastAsia"/>
          <w:szCs w:val="21"/>
        </w:rPr>
        <w:t>2014</w:t>
      </w:r>
      <w:r w:rsidR="00E2102C" w:rsidRPr="00F130CF">
        <w:rPr>
          <w:rFonts w:eastAsiaTheme="minorEastAsia" w:cs="Arial" w:hint="eastAsia"/>
          <w:szCs w:val="21"/>
        </w:rPr>
        <w:t>年并购市场，清洁技术行业表现活跃，生物技术</w:t>
      </w:r>
      <w:r w:rsidR="00E2102C" w:rsidRPr="00F130CF">
        <w:rPr>
          <w:rFonts w:eastAsiaTheme="minorEastAsia" w:cs="Arial" w:hint="eastAsia"/>
          <w:szCs w:val="21"/>
        </w:rPr>
        <w:t>/</w:t>
      </w:r>
      <w:r w:rsidR="00E2102C" w:rsidRPr="00F130CF">
        <w:rPr>
          <w:rFonts w:eastAsiaTheme="minorEastAsia" w:cs="Arial" w:hint="eastAsia"/>
          <w:szCs w:val="21"/>
        </w:rPr>
        <w:t>医疗健康表现不凡，</w:t>
      </w:r>
      <w:r w:rsidR="00E2102C" w:rsidRPr="00F130CF">
        <w:rPr>
          <w:rFonts w:eastAsiaTheme="minorEastAsia" w:cs="Arial" w:hint="eastAsia"/>
          <w:szCs w:val="21"/>
        </w:rPr>
        <w:t>2015</w:t>
      </w:r>
      <w:r w:rsidR="00E2102C" w:rsidRPr="00F130CF">
        <w:rPr>
          <w:rFonts w:eastAsiaTheme="minorEastAsia" w:cs="Arial" w:hint="eastAsia"/>
          <w:szCs w:val="21"/>
        </w:rPr>
        <w:t>年，清洁技术和生物技术</w:t>
      </w:r>
      <w:r w:rsidR="00E2102C" w:rsidRPr="00F130CF">
        <w:rPr>
          <w:rFonts w:eastAsiaTheme="minorEastAsia" w:cs="Arial" w:hint="eastAsia"/>
          <w:szCs w:val="21"/>
        </w:rPr>
        <w:t>/</w:t>
      </w:r>
      <w:r w:rsidR="00E2102C" w:rsidRPr="00F130CF">
        <w:rPr>
          <w:rFonts w:eastAsiaTheme="minorEastAsia" w:cs="Arial" w:hint="eastAsia"/>
          <w:szCs w:val="21"/>
        </w:rPr>
        <w:t>医疗健康行业将成为并购市场的炙手可热的行业。在过去的两年时间里，互联网行业</w:t>
      </w:r>
      <w:r w:rsidR="00E2102C" w:rsidRPr="00F130CF">
        <w:rPr>
          <w:rFonts w:ascii="Tahoma" w:hAnsi="Tahoma" w:cs="Tahoma"/>
          <w:szCs w:val="21"/>
          <w:shd w:val="clear" w:color="auto" w:fill="FFFFFF"/>
        </w:rPr>
        <w:t>形成横向延伸、纵向深入、跨界融合发展的态势</w:t>
      </w:r>
      <w:r w:rsidR="00F130CF" w:rsidRPr="00F130CF">
        <w:rPr>
          <w:rFonts w:ascii="Tahoma" w:hAnsi="Tahoma" w:cs="Tahoma" w:hint="eastAsia"/>
          <w:szCs w:val="21"/>
          <w:shd w:val="clear" w:color="auto" w:fill="FFFFFF"/>
        </w:rPr>
        <w:t>，</w:t>
      </w:r>
      <w:r w:rsidR="00F130CF" w:rsidRPr="00F130CF">
        <w:rPr>
          <w:rFonts w:ascii="Tahoma" w:hAnsi="Tahoma" w:cs="Tahoma"/>
          <w:szCs w:val="21"/>
          <w:shd w:val="clear" w:color="auto" w:fill="FFFFFF"/>
        </w:rPr>
        <w:t>同时移动互联网和电子商务迅速改造传统行业</w:t>
      </w:r>
      <w:r w:rsidR="00F130CF" w:rsidRPr="00F130CF">
        <w:rPr>
          <w:rFonts w:ascii="Tahoma" w:hAnsi="Tahoma" w:cs="Tahoma" w:hint="eastAsia"/>
          <w:szCs w:val="21"/>
          <w:shd w:val="clear" w:color="auto" w:fill="FFFFFF"/>
        </w:rPr>
        <w:t>，互联网行业在新年伊始的表现可圈可点。</w:t>
      </w:r>
      <w:r w:rsidR="0051076D" w:rsidRPr="00F130CF">
        <w:rPr>
          <w:rFonts w:hint="eastAsia"/>
          <w:szCs w:val="21"/>
          <w:shd w:val="clear" w:color="auto" w:fill="FFFFFF"/>
        </w:rPr>
        <w:t>如图</w:t>
      </w:r>
      <w:r w:rsidR="0051076D" w:rsidRPr="00F130CF">
        <w:rPr>
          <w:rFonts w:hint="eastAsia"/>
          <w:szCs w:val="21"/>
          <w:shd w:val="clear" w:color="auto" w:fill="FFFFFF"/>
        </w:rPr>
        <w:t>2</w:t>
      </w:r>
      <w:r w:rsidR="005805A1" w:rsidRPr="00A3437C">
        <w:rPr>
          <w:rFonts w:ascii="Tahoma" w:hAnsi="Tahoma" w:cs="Tahoma" w:hint="eastAsia"/>
          <w:szCs w:val="21"/>
          <w:shd w:val="clear" w:color="auto" w:fill="FFFFFF"/>
        </w:rPr>
        <w:t>、</w:t>
      </w:r>
      <w:r w:rsidR="005805A1" w:rsidRPr="00A3437C">
        <w:rPr>
          <w:rFonts w:ascii="Tahoma" w:hAnsi="Tahoma" w:cs="Tahoma" w:hint="eastAsia"/>
          <w:szCs w:val="21"/>
          <w:shd w:val="clear" w:color="auto" w:fill="FFFFFF"/>
        </w:rPr>
        <w:t>3</w:t>
      </w:r>
      <w:r w:rsidR="0051076D" w:rsidRPr="00A3437C">
        <w:rPr>
          <w:rFonts w:ascii="Tahoma" w:hAnsi="Tahoma" w:cs="Tahoma" w:hint="eastAsia"/>
          <w:szCs w:val="21"/>
          <w:shd w:val="clear" w:color="auto" w:fill="FFFFFF"/>
        </w:rPr>
        <w:t>所示</w:t>
      </w:r>
      <w:r w:rsidR="00A3437C" w:rsidRPr="00A3437C">
        <w:rPr>
          <w:rFonts w:ascii="Tahoma" w:hAnsi="Tahoma" w:cs="Tahoma" w:hint="eastAsia"/>
          <w:szCs w:val="21"/>
          <w:shd w:val="clear" w:color="auto" w:fill="FFFFFF"/>
        </w:rPr>
        <w:t>:</w:t>
      </w:r>
      <w:bookmarkStart w:id="1" w:name="_GoBack"/>
      <w:bookmarkEnd w:id="1"/>
    </w:p>
    <w:p w:rsidR="00E636D2" w:rsidRPr="00E734EB" w:rsidRDefault="00107B88" w:rsidP="008E4F11">
      <w:pPr>
        <w:jc w:val="center"/>
        <w:rPr>
          <w:rFonts w:eastAsiaTheme="minorEastAsia" w:cs="Arial"/>
          <w:szCs w:val="21"/>
        </w:rPr>
      </w:pPr>
      <w:r>
        <w:rPr>
          <w:noProof/>
        </w:rPr>
        <w:drawing>
          <wp:inline distT="0" distB="0" distL="0" distR="0">
            <wp:extent cx="4791600" cy="3890400"/>
            <wp:effectExtent l="0" t="0" r="0" b="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5B0E" w:rsidRDefault="00BF606E" w:rsidP="00505B0E">
      <w:pPr>
        <w:jc w:val="center"/>
        <w:rPr>
          <w:rFonts w:eastAsiaTheme="minorEastAsia" w:cs="Arial" w:hint="eastAsia"/>
          <w:b/>
          <w:kern w:val="0"/>
          <w:sz w:val="20"/>
          <w:szCs w:val="20"/>
        </w:rPr>
      </w:pPr>
      <w:r w:rsidRPr="00E734EB">
        <w:rPr>
          <w:rFonts w:eastAsiaTheme="minorEastAsia" w:cs="Arial"/>
          <w:b/>
          <w:kern w:val="0"/>
          <w:sz w:val="20"/>
          <w:szCs w:val="20"/>
        </w:rPr>
        <w:t>图</w:t>
      </w:r>
      <w:r w:rsidRPr="00E734EB">
        <w:rPr>
          <w:rFonts w:eastAsiaTheme="minorEastAsia" w:cs="Arial"/>
          <w:b/>
          <w:kern w:val="0"/>
          <w:sz w:val="20"/>
          <w:szCs w:val="20"/>
        </w:rPr>
        <w:t xml:space="preserve">2 </w:t>
      </w:r>
      <w:r w:rsidRPr="00E734EB">
        <w:rPr>
          <w:rFonts w:eastAsiaTheme="minorEastAsia" w:cs="Arial"/>
          <w:b/>
          <w:kern w:val="0"/>
          <w:sz w:val="20"/>
          <w:szCs w:val="20"/>
        </w:rPr>
        <w:t>分行业并购案例数量与金额对比图</w:t>
      </w:r>
    </w:p>
    <w:p w:rsidR="00B2679A" w:rsidRDefault="00B2679A" w:rsidP="00505B0E">
      <w:pPr>
        <w:jc w:val="center"/>
        <w:rPr>
          <w:rFonts w:eastAsiaTheme="minorEastAsia" w:cs="Arial"/>
          <w:b/>
          <w:kern w:val="0"/>
          <w:sz w:val="20"/>
          <w:szCs w:val="20"/>
        </w:rPr>
      </w:pPr>
    </w:p>
    <w:p w:rsidR="008E4F11" w:rsidRPr="00E734EB" w:rsidRDefault="008E4F11" w:rsidP="008E4F11">
      <w:pPr>
        <w:spacing w:line="360" w:lineRule="exact"/>
        <w:ind w:firstLineChars="200" w:firstLine="420"/>
        <w:rPr>
          <w:rFonts w:eastAsiaTheme="minorEastAsia" w:cs="Arial"/>
          <w:kern w:val="0"/>
          <w:szCs w:val="21"/>
        </w:rPr>
      </w:pPr>
      <w:r w:rsidRPr="00E734EB">
        <w:rPr>
          <w:rFonts w:eastAsiaTheme="minorEastAsia" w:cs="Arial"/>
          <w:kern w:val="0"/>
          <w:szCs w:val="21"/>
        </w:rPr>
        <w:t>从披露的行业数量上来看，</w:t>
      </w:r>
      <w:r w:rsidRPr="00E734EB">
        <w:rPr>
          <w:rFonts w:eastAsiaTheme="minorEastAsia" w:cs="Arial"/>
          <w:kern w:val="0"/>
          <w:szCs w:val="21"/>
        </w:rPr>
        <w:t>201</w:t>
      </w:r>
      <w:r w:rsidR="00C223B5">
        <w:rPr>
          <w:rFonts w:eastAsiaTheme="minorEastAsia" w:cs="Arial" w:hint="eastAsia"/>
          <w:kern w:val="0"/>
          <w:szCs w:val="21"/>
        </w:rPr>
        <w:t>5</w:t>
      </w:r>
      <w:r w:rsidRPr="00E734EB">
        <w:rPr>
          <w:rFonts w:eastAsiaTheme="minorEastAsia" w:cs="Arial"/>
          <w:kern w:val="0"/>
          <w:szCs w:val="21"/>
        </w:rPr>
        <w:t>年</w:t>
      </w:r>
      <w:r w:rsidR="00C223B5">
        <w:rPr>
          <w:rFonts w:eastAsiaTheme="minorEastAsia" w:cs="Arial" w:hint="eastAsia"/>
          <w:kern w:val="0"/>
          <w:szCs w:val="21"/>
        </w:rPr>
        <w:t>1</w:t>
      </w:r>
      <w:r w:rsidRPr="00E734EB">
        <w:rPr>
          <w:rFonts w:eastAsiaTheme="minorEastAsia" w:cs="Arial"/>
          <w:kern w:val="0"/>
          <w:szCs w:val="21"/>
        </w:rPr>
        <w:t>月完成的并购案例主要分布在</w:t>
      </w:r>
      <w:r w:rsidR="00C223B5">
        <w:rPr>
          <w:rFonts w:eastAsiaTheme="minorEastAsia" w:cs="Arial" w:hint="eastAsia"/>
          <w:kern w:val="0"/>
          <w:szCs w:val="21"/>
        </w:rPr>
        <w:t>清洁技术、</w:t>
      </w:r>
      <w:r w:rsidR="00C223B5" w:rsidRPr="00C223B5">
        <w:rPr>
          <w:rFonts w:eastAsiaTheme="minorEastAsia" w:cs="Arial" w:hint="eastAsia"/>
          <w:kern w:val="0"/>
          <w:szCs w:val="21"/>
        </w:rPr>
        <w:t>生物技术</w:t>
      </w:r>
      <w:r w:rsidR="00C223B5" w:rsidRPr="00C223B5">
        <w:rPr>
          <w:rFonts w:eastAsiaTheme="minorEastAsia" w:cs="Arial" w:hint="eastAsia"/>
          <w:kern w:val="0"/>
          <w:szCs w:val="21"/>
        </w:rPr>
        <w:t>/</w:t>
      </w:r>
      <w:r w:rsidR="00C223B5" w:rsidRPr="00C223B5">
        <w:rPr>
          <w:rFonts w:eastAsiaTheme="minorEastAsia" w:cs="Arial" w:hint="eastAsia"/>
          <w:kern w:val="0"/>
          <w:szCs w:val="21"/>
        </w:rPr>
        <w:t>医疗健康</w:t>
      </w:r>
      <w:r w:rsidR="00C223B5">
        <w:rPr>
          <w:rFonts w:eastAsiaTheme="minorEastAsia" w:cs="Arial" w:hint="eastAsia"/>
          <w:kern w:val="0"/>
          <w:szCs w:val="21"/>
        </w:rPr>
        <w:t>、</w:t>
      </w:r>
      <w:r w:rsidR="00C223B5" w:rsidRPr="00C223B5">
        <w:rPr>
          <w:rFonts w:eastAsiaTheme="minorEastAsia" w:cs="Arial" w:hint="eastAsia"/>
          <w:kern w:val="0"/>
          <w:szCs w:val="21"/>
        </w:rPr>
        <w:t>互联网</w:t>
      </w:r>
      <w:r w:rsidR="00C223B5">
        <w:rPr>
          <w:rFonts w:eastAsiaTheme="minorEastAsia" w:cs="Arial" w:hint="eastAsia"/>
          <w:kern w:val="0"/>
          <w:szCs w:val="21"/>
        </w:rPr>
        <w:t>、</w:t>
      </w:r>
      <w:r w:rsidR="00C223B5" w:rsidRPr="00C223B5">
        <w:rPr>
          <w:rFonts w:eastAsiaTheme="minorEastAsia" w:cs="Arial"/>
          <w:kern w:val="0"/>
          <w:szCs w:val="21"/>
        </w:rPr>
        <w:t>IT</w:t>
      </w:r>
      <w:r w:rsidR="00C223B5">
        <w:rPr>
          <w:rFonts w:eastAsiaTheme="minorEastAsia" w:cs="Arial" w:hint="eastAsia"/>
          <w:kern w:val="0"/>
          <w:szCs w:val="21"/>
        </w:rPr>
        <w:t>、</w:t>
      </w:r>
      <w:r w:rsidR="00C223B5" w:rsidRPr="00C223B5">
        <w:rPr>
          <w:rFonts w:eastAsiaTheme="minorEastAsia" w:cs="Arial" w:hint="eastAsia"/>
          <w:kern w:val="0"/>
          <w:szCs w:val="21"/>
        </w:rPr>
        <w:t>机械制造</w:t>
      </w:r>
      <w:r w:rsidR="00C223B5">
        <w:rPr>
          <w:rFonts w:eastAsiaTheme="minorEastAsia" w:cs="Arial" w:hint="eastAsia"/>
          <w:kern w:val="0"/>
          <w:szCs w:val="21"/>
        </w:rPr>
        <w:t>、</w:t>
      </w:r>
      <w:r w:rsidR="00C223B5" w:rsidRPr="00C223B5">
        <w:rPr>
          <w:rFonts w:eastAsiaTheme="minorEastAsia" w:cs="Arial" w:hint="eastAsia"/>
          <w:kern w:val="0"/>
          <w:szCs w:val="21"/>
        </w:rPr>
        <w:t>化工原料及加工</w:t>
      </w:r>
      <w:r w:rsidR="00C223B5">
        <w:rPr>
          <w:rFonts w:eastAsiaTheme="minorEastAsia" w:cs="Arial" w:hint="eastAsia"/>
          <w:kern w:val="0"/>
          <w:szCs w:val="21"/>
        </w:rPr>
        <w:t>、</w:t>
      </w:r>
      <w:r w:rsidR="00C223B5" w:rsidRPr="00C223B5">
        <w:rPr>
          <w:rFonts w:eastAsiaTheme="minorEastAsia" w:cs="Arial" w:hint="eastAsia"/>
          <w:kern w:val="0"/>
          <w:szCs w:val="21"/>
        </w:rPr>
        <w:t>能源及矿产</w:t>
      </w:r>
      <w:r w:rsidRPr="00E734EB">
        <w:rPr>
          <w:rFonts w:eastAsiaTheme="minorEastAsia" w:cs="Arial"/>
          <w:kern w:val="0"/>
          <w:szCs w:val="21"/>
        </w:rPr>
        <w:t>等</w:t>
      </w:r>
      <w:r w:rsidRPr="00E734EB">
        <w:rPr>
          <w:rFonts w:eastAsiaTheme="minorEastAsia" w:cs="Arial"/>
          <w:kern w:val="0"/>
          <w:szCs w:val="21"/>
        </w:rPr>
        <w:t>21</w:t>
      </w:r>
      <w:r w:rsidRPr="00E734EB">
        <w:rPr>
          <w:rFonts w:eastAsiaTheme="minorEastAsia" w:cs="Arial"/>
          <w:kern w:val="0"/>
          <w:szCs w:val="21"/>
        </w:rPr>
        <w:t>个一级行业。从并购案例数量上看，</w:t>
      </w:r>
      <w:r w:rsidR="00C223B5">
        <w:rPr>
          <w:rFonts w:eastAsiaTheme="minorEastAsia" w:cs="Arial" w:hint="eastAsia"/>
          <w:kern w:val="0"/>
          <w:szCs w:val="21"/>
        </w:rPr>
        <w:t>清洁技</w:t>
      </w:r>
      <w:r w:rsidR="00C223B5">
        <w:rPr>
          <w:rFonts w:eastAsiaTheme="minorEastAsia" w:cs="Arial" w:hint="eastAsia"/>
          <w:kern w:val="0"/>
          <w:szCs w:val="21"/>
        </w:rPr>
        <w:lastRenderedPageBreak/>
        <w:t>术</w:t>
      </w:r>
      <w:r>
        <w:rPr>
          <w:rFonts w:eastAsiaTheme="minorEastAsia" w:cs="Arial" w:hint="eastAsia"/>
          <w:szCs w:val="21"/>
        </w:rPr>
        <w:t>行业</w:t>
      </w:r>
      <w:r w:rsidRPr="00E734EB">
        <w:rPr>
          <w:rFonts w:eastAsiaTheme="minorEastAsia" w:cs="Arial"/>
          <w:kern w:val="0"/>
          <w:szCs w:val="21"/>
        </w:rPr>
        <w:t>排在第一，完成</w:t>
      </w:r>
      <w:r w:rsidR="00C223B5">
        <w:rPr>
          <w:rFonts w:eastAsiaTheme="minorEastAsia" w:cs="Arial" w:hint="eastAsia"/>
          <w:kern w:val="0"/>
          <w:szCs w:val="21"/>
        </w:rPr>
        <w:t>17</w:t>
      </w:r>
      <w:r w:rsidRPr="00E734EB">
        <w:rPr>
          <w:rFonts w:eastAsiaTheme="minorEastAsia" w:cs="Arial"/>
          <w:kern w:val="0"/>
          <w:szCs w:val="21"/>
        </w:rPr>
        <w:t>起案例，占案例总数的</w:t>
      </w:r>
      <w:r w:rsidR="00C223B5">
        <w:rPr>
          <w:rFonts w:eastAsiaTheme="minorEastAsia" w:cs="Arial" w:hint="eastAsia"/>
          <w:kern w:val="0"/>
          <w:szCs w:val="21"/>
        </w:rPr>
        <w:t>14.</w:t>
      </w:r>
      <w:r w:rsidR="00107B88">
        <w:rPr>
          <w:rFonts w:eastAsiaTheme="minorEastAsia" w:cs="Arial" w:hint="eastAsia"/>
          <w:kern w:val="0"/>
          <w:szCs w:val="21"/>
        </w:rPr>
        <w:t>7</w:t>
      </w:r>
      <w:r w:rsidRPr="00E734EB">
        <w:rPr>
          <w:rFonts w:eastAsiaTheme="minorEastAsia" w:cs="Arial"/>
          <w:kern w:val="0"/>
          <w:szCs w:val="21"/>
        </w:rPr>
        <w:t>%</w:t>
      </w:r>
      <w:r w:rsidR="00060040">
        <w:rPr>
          <w:rFonts w:eastAsiaTheme="minorEastAsia" w:cs="Arial" w:hint="eastAsia"/>
          <w:kern w:val="0"/>
          <w:szCs w:val="21"/>
        </w:rPr>
        <w:t>，</w:t>
      </w:r>
      <w:r w:rsidR="00F130CF">
        <w:rPr>
          <w:rFonts w:ascii="Tahoma" w:hAnsi="Tahoma" w:cs="Tahoma"/>
          <w:szCs w:val="21"/>
        </w:rPr>
        <w:t>近年来，党中央、国务院把发展循环经济作为一项重大战略</w:t>
      </w:r>
      <w:r w:rsidR="00F130CF">
        <w:rPr>
          <w:rFonts w:ascii="Tahoma" w:hAnsi="Tahoma" w:cs="Tahoma" w:hint="eastAsia"/>
          <w:szCs w:val="21"/>
        </w:rPr>
        <w:t>，并出台了一系列政策，</w:t>
      </w:r>
      <w:r w:rsidR="00F130CF">
        <w:rPr>
          <w:rFonts w:ascii="Tahoma" w:hAnsi="Tahoma" w:cs="Tahoma"/>
          <w:szCs w:val="21"/>
        </w:rPr>
        <w:t>鼓励发展可再生能源、低碳经济、循环经济</w:t>
      </w:r>
      <w:r w:rsidR="00F130CF">
        <w:rPr>
          <w:rFonts w:ascii="Tahoma" w:hAnsi="Tahoma" w:cs="Tahoma" w:hint="eastAsia"/>
          <w:szCs w:val="21"/>
        </w:rPr>
        <w:t>，目前，清洁技术行业得到国家大力支持，发展前景乐观</w:t>
      </w:r>
      <w:r w:rsidRPr="00E734EB">
        <w:rPr>
          <w:rFonts w:eastAsiaTheme="minorEastAsia" w:cs="Arial"/>
          <w:kern w:val="0"/>
          <w:szCs w:val="21"/>
        </w:rPr>
        <w:t>；</w:t>
      </w:r>
      <w:r w:rsidR="00C223B5" w:rsidRPr="00C223B5">
        <w:rPr>
          <w:rFonts w:eastAsiaTheme="minorEastAsia" w:cs="Arial" w:hint="eastAsia"/>
          <w:kern w:val="0"/>
          <w:szCs w:val="21"/>
        </w:rPr>
        <w:t>生物技术</w:t>
      </w:r>
      <w:r w:rsidR="00C223B5" w:rsidRPr="00C223B5">
        <w:rPr>
          <w:rFonts w:eastAsiaTheme="minorEastAsia" w:cs="Arial" w:hint="eastAsia"/>
          <w:kern w:val="0"/>
          <w:szCs w:val="21"/>
        </w:rPr>
        <w:t>/</w:t>
      </w:r>
      <w:r w:rsidR="00C223B5" w:rsidRPr="00C223B5">
        <w:rPr>
          <w:rFonts w:eastAsiaTheme="minorEastAsia" w:cs="Arial" w:hint="eastAsia"/>
          <w:kern w:val="0"/>
          <w:szCs w:val="21"/>
        </w:rPr>
        <w:t>医疗健康</w:t>
      </w:r>
      <w:r w:rsidR="00520DE6">
        <w:rPr>
          <w:rFonts w:eastAsiaTheme="minorEastAsia" w:cs="Arial" w:hint="eastAsia"/>
          <w:kern w:val="0"/>
          <w:szCs w:val="21"/>
        </w:rPr>
        <w:t>行业位居</w:t>
      </w:r>
      <w:r w:rsidRPr="00E734EB">
        <w:rPr>
          <w:rFonts w:eastAsiaTheme="minorEastAsia" w:cs="Arial"/>
          <w:kern w:val="0"/>
          <w:szCs w:val="21"/>
        </w:rPr>
        <w:t>第</w:t>
      </w:r>
      <w:r w:rsidR="00520DE6">
        <w:rPr>
          <w:rFonts w:eastAsiaTheme="minorEastAsia" w:cs="Arial" w:hint="eastAsia"/>
          <w:kern w:val="0"/>
          <w:szCs w:val="21"/>
        </w:rPr>
        <w:t>二</w:t>
      </w:r>
      <w:r w:rsidRPr="00E734EB">
        <w:rPr>
          <w:rFonts w:eastAsiaTheme="minorEastAsia" w:cs="Arial"/>
          <w:kern w:val="0"/>
          <w:szCs w:val="21"/>
        </w:rPr>
        <w:t>，完成</w:t>
      </w:r>
      <w:r w:rsidR="00C223B5">
        <w:rPr>
          <w:rFonts w:eastAsiaTheme="minorEastAsia" w:cs="Arial" w:hint="eastAsia"/>
          <w:kern w:val="0"/>
          <w:szCs w:val="21"/>
        </w:rPr>
        <w:t>12</w:t>
      </w:r>
      <w:r w:rsidRPr="00E734EB">
        <w:rPr>
          <w:rFonts w:eastAsiaTheme="minorEastAsia" w:cs="Arial"/>
          <w:kern w:val="0"/>
          <w:szCs w:val="21"/>
        </w:rPr>
        <w:t>起案例，占案例总数的</w:t>
      </w:r>
      <w:r w:rsidR="00520DE6">
        <w:rPr>
          <w:rFonts w:eastAsiaTheme="minorEastAsia" w:cs="Arial" w:hint="eastAsia"/>
          <w:kern w:val="0"/>
          <w:szCs w:val="21"/>
        </w:rPr>
        <w:t>10.</w:t>
      </w:r>
      <w:r w:rsidR="00C223B5">
        <w:rPr>
          <w:rFonts w:eastAsiaTheme="minorEastAsia" w:cs="Arial" w:hint="eastAsia"/>
          <w:kern w:val="0"/>
          <w:szCs w:val="21"/>
        </w:rPr>
        <w:t>3</w:t>
      </w:r>
      <w:r w:rsidRPr="00E734EB">
        <w:rPr>
          <w:rFonts w:eastAsiaTheme="minorEastAsia" w:cs="Arial"/>
          <w:kern w:val="0"/>
          <w:szCs w:val="21"/>
        </w:rPr>
        <w:t>%</w:t>
      </w:r>
      <w:r w:rsidR="00520DE6">
        <w:rPr>
          <w:rFonts w:eastAsiaTheme="minorEastAsia" w:cs="Arial" w:hint="eastAsia"/>
          <w:kern w:val="0"/>
          <w:szCs w:val="21"/>
        </w:rPr>
        <w:t>，</w:t>
      </w:r>
      <w:r w:rsidR="00C223B5" w:rsidRPr="00C223B5">
        <w:rPr>
          <w:rFonts w:eastAsiaTheme="minorEastAsia" w:cs="Arial" w:hint="eastAsia"/>
          <w:kern w:val="0"/>
          <w:szCs w:val="21"/>
        </w:rPr>
        <w:t>互联网</w:t>
      </w:r>
      <w:r w:rsidR="00520DE6">
        <w:rPr>
          <w:rFonts w:eastAsiaTheme="minorEastAsia" w:cs="Arial" w:hint="eastAsia"/>
          <w:kern w:val="0"/>
          <w:szCs w:val="21"/>
        </w:rPr>
        <w:t>行业排在第三，完成</w:t>
      </w:r>
      <w:r w:rsidR="00C223B5">
        <w:rPr>
          <w:rFonts w:eastAsiaTheme="minorEastAsia" w:cs="Arial" w:hint="eastAsia"/>
          <w:kern w:val="0"/>
          <w:szCs w:val="21"/>
        </w:rPr>
        <w:t>10</w:t>
      </w:r>
      <w:r w:rsidR="00520DE6">
        <w:rPr>
          <w:rFonts w:eastAsiaTheme="minorEastAsia" w:cs="Arial" w:hint="eastAsia"/>
          <w:kern w:val="0"/>
          <w:szCs w:val="21"/>
        </w:rPr>
        <w:t>起案例，占案例总数</w:t>
      </w:r>
      <w:r w:rsidR="00520DE6">
        <w:rPr>
          <w:rFonts w:eastAsiaTheme="minorEastAsia" w:cs="Arial" w:hint="eastAsia"/>
          <w:kern w:val="0"/>
          <w:szCs w:val="21"/>
        </w:rPr>
        <w:t>8.</w:t>
      </w:r>
      <w:r w:rsidR="00107B88">
        <w:rPr>
          <w:rFonts w:eastAsiaTheme="minorEastAsia" w:cs="Arial" w:hint="eastAsia"/>
          <w:kern w:val="0"/>
          <w:szCs w:val="21"/>
        </w:rPr>
        <w:t>6</w:t>
      </w:r>
      <w:r w:rsidR="00520DE6">
        <w:rPr>
          <w:rFonts w:eastAsiaTheme="minorEastAsia" w:cs="Arial" w:hint="eastAsia"/>
          <w:kern w:val="0"/>
          <w:szCs w:val="21"/>
        </w:rPr>
        <w:t>%</w:t>
      </w:r>
      <w:r w:rsidR="00520DE6">
        <w:rPr>
          <w:rFonts w:eastAsiaTheme="minorEastAsia" w:cs="Arial" w:hint="eastAsia"/>
          <w:kern w:val="0"/>
          <w:szCs w:val="21"/>
        </w:rPr>
        <w:t>。</w:t>
      </w:r>
      <w:r w:rsidRPr="00E734EB">
        <w:rPr>
          <w:rFonts w:eastAsiaTheme="minorEastAsia" w:cs="Arial"/>
          <w:kern w:val="0"/>
          <w:szCs w:val="21"/>
        </w:rPr>
        <w:t>。</w:t>
      </w:r>
    </w:p>
    <w:p w:rsidR="004B3CB8" w:rsidRDefault="00107B88" w:rsidP="00505B0E">
      <w:pPr>
        <w:jc w:val="center"/>
        <w:rPr>
          <w:rFonts w:eastAsiaTheme="minorEastAsia" w:cs="Arial"/>
          <w:szCs w:val="21"/>
        </w:rPr>
      </w:pPr>
      <w:r>
        <w:rPr>
          <w:noProof/>
        </w:rPr>
        <w:drawing>
          <wp:inline distT="0" distB="0" distL="0" distR="0">
            <wp:extent cx="4791600" cy="3566550"/>
            <wp:effectExtent l="0" t="0" r="0" b="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D7050" w:rsidRDefault="004B3CB8" w:rsidP="008E4F11">
      <w:pPr>
        <w:jc w:val="center"/>
        <w:rPr>
          <w:rFonts w:eastAsiaTheme="minorEastAsia" w:cs="Arial" w:hint="eastAsia"/>
          <w:b/>
          <w:kern w:val="0"/>
          <w:sz w:val="20"/>
          <w:szCs w:val="20"/>
        </w:rPr>
      </w:pPr>
      <w:r w:rsidRPr="004B3CB8">
        <w:rPr>
          <w:rFonts w:eastAsiaTheme="minorEastAsia" w:cs="Arial" w:hint="eastAsia"/>
          <w:b/>
          <w:kern w:val="0"/>
          <w:sz w:val="20"/>
          <w:szCs w:val="20"/>
        </w:rPr>
        <w:t>图</w:t>
      </w:r>
      <w:r w:rsidRPr="004B3CB8">
        <w:rPr>
          <w:rFonts w:eastAsiaTheme="minorEastAsia" w:cs="Arial" w:hint="eastAsia"/>
          <w:b/>
          <w:kern w:val="0"/>
          <w:sz w:val="20"/>
          <w:szCs w:val="20"/>
        </w:rPr>
        <w:t xml:space="preserve">3 </w:t>
      </w:r>
      <w:r w:rsidRPr="004B3CB8">
        <w:rPr>
          <w:rFonts w:eastAsiaTheme="minorEastAsia" w:cs="Arial" w:hint="eastAsia"/>
          <w:b/>
          <w:kern w:val="0"/>
          <w:sz w:val="20"/>
          <w:szCs w:val="20"/>
        </w:rPr>
        <w:t>国内并购主要城市数量与金额对比图</w:t>
      </w:r>
    </w:p>
    <w:p w:rsidR="00B2679A" w:rsidRPr="008E4F11" w:rsidRDefault="00B2679A" w:rsidP="008E4F11">
      <w:pPr>
        <w:jc w:val="center"/>
        <w:rPr>
          <w:rFonts w:eastAsiaTheme="minorEastAsia" w:cs="Arial"/>
          <w:b/>
          <w:kern w:val="0"/>
          <w:sz w:val="20"/>
          <w:szCs w:val="20"/>
        </w:rPr>
      </w:pPr>
    </w:p>
    <w:p w:rsidR="008C59FC" w:rsidRPr="00CB2F5D" w:rsidRDefault="00DB3776" w:rsidP="00FB46CE">
      <w:pPr>
        <w:spacing w:line="360" w:lineRule="exact"/>
        <w:ind w:firstLineChars="200" w:firstLine="420"/>
        <w:rPr>
          <w:rFonts w:eastAsiaTheme="minorEastAsia" w:cs="Arial"/>
          <w:color w:val="FF0000"/>
          <w:kern w:val="0"/>
          <w:szCs w:val="21"/>
        </w:rPr>
      </w:pPr>
      <w:r w:rsidRPr="00E734EB">
        <w:rPr>
          <w:rFonts w:eastAsiaTheme="minorEastAsia" w:cs="Arial"/>
          <w:kern w:val="0"/>
          <w:szCs w:val="21"/>
        </w:rPr>
        <w:t>从披露的并购案例总金额来看，</w:t>
      </w:r>
      <w:r w:rsidR="00C223B5" w:rsidRPr="00C223B5">
        <w:rPr>
          <w:rFonts w:eastAsiaTheme="minorEastAsia" w:cs="Arial" w:hint="eastAsia"/>
          <w:kern w:val="0"/>
          <w:szCs w:val="21"/>
        </w:rPr>
        <w:t>互联网</w:t>
      </w:r>
      <w:r w:rsidR="00DC5336" w:rsidRPr="00E734EB">
        <w:rPr>
          <w:rFonts w:eastAsiaTheme="minorEastAsia" w:cs="Arial"/>
          <w:kern w:val="0"/>
          <w:szCs w:val="21"/>
        </w:rPr>
        <w:t>行业披露总金额位</w:t>
      </w:r>
      <w:r w:rsidR="004300B6" w:rsidRPr="00E734EB">
        <w:rPr>
          <w:rFonts w:eastAsiaTheme="minorEastAsia" w:cs="Arial"/>
          <w:kern w:val="0"/>
          <w:szCs w:val="21"/>
        </w:rPr>
        <w:t>居第一，披露金额的案例</w:t>
      </w:r>
      <w:r w:rsidR="00DC5336" w:rsidRPr="00E734EB">
        <w:rPr>
          <w:rFonts w:eastAsiaTheme="minorEastAsia" w:cs="Arial"/>
          <w:kern w:val="0"/>
          <w:szCs w:val="21"/>
        </w:rPr>
        <w:t>有</w:t>
      </w:r>
      <w:r w:rsidR="00107B88">
        <w:rPr>
          <w:rFonts w:eastAsiaTheme="minorEastAsia" w:cs="Arial" w:hint="eastAsia"/>
          <w:kern w:val="0"/>
          <w:szCs w:val="21"/>
        </w:rPr>
        <w:t>7</w:t>
      </w:r>
      <w:r w:rsidR="004300B6" w:rsidRPr="00E734EB">
        <w:rPr>
          <w:rFonts w:eastAsiaTheme="minorEastAsia" w:cs="Arial"/>
          <w:kern w:val="0"/>
          <w:szCs w:val="21"/>
        </w:rPr>
        <w:t>起，</w:t>
      </w:r>
      <w:r w:rsidR="000A1D2C" w:rsidRPr="00E734EB">
        <w:rPr>
          <w:rFonts w:eastAsiaTheme="minorEastAsia" w:cs="Arial"/>
          <w:kern w:val="0"/>
          <w:szCs w:val="21"/>
        </w:rPr>
        <w:t>交易</w:t>
      </w:r>
      <w:r w:rsidR="00DC5336" w:rsidRPr="00E734EB">
        <w:rPr>
          <w:rFonts w:eastAsiaTheme="minorEastAsia" w:cs="Arial"/>
          <w:kern w:val="0"/>
          <w:szCs w:val="21"/>
        </w:rPr>
        <w:t>总</w:t>
      </w:r>
      <w:r w:rsidR="004300B6" w:rsidRPr="00E734EB">
        <w:rPr>
          <w:rFonts w:eastAsiaTheme="minorEastAsia" w:cs="Arial"/>
          <w:kern w:val="0"/>
          <w:szCs w:val="21"/>
        </w:rPr>
        <w:t>金额为</w:t>
      </w:r>
      <w:r w:rsidR="00107B88">
        <w:rPr>
          <w:rFonts w:eastAsiaTheme="minorEastAsia" w:cs="Arial" w:hint="eastAsia"/>
          <w:kern w:val="0"/>
          <w:szCs w:val="21"/>
        </w:rPr>
        <w:t>5.40</w:t>
      </w:r>
      <w:r w:rsidR="004300B6" w:rsidRPr="00E734EB">
        <w:rPr>
          <w:rFonts w:eastAsiaTheme="minorEastAsia" w:cs="Arial"/>
          <w:kern w:val="0"/>
          <w:szCs w:val="21"/>
        </w:rPr>
        <w:t>亿美元，占披露案例总金额的</w:t>
      </w:r>
      <w:r w:rsidR="00107B88">
        <w:rPr>
          <w:rFonts w:eastAsiaTheme="minorEastAsia" w:cs="Arial" w:hint="eastAsia"/>
          <w:kern w:val="0"/>
          <w:szCs w:val="21"/>
        </w:rPr>
        <w:t>13.4</w:t>
      </w:r>
      <w:r w:rsidR="004300B6" w:rsidRPr="00E734EB">
        <w:rPr>
          <w:rFonts w:eastAsiaTheme="minorEastAsia" w:cs="Arial"/>
          <w:kern w:val="0"/>
          <w:szCs w:val="21"/>
        </w:rPr>
        <w:t>%</w:t>
      </w:r>
      <w:r w:rsidR="00E42C90">
        <w:rPr>
          <w:rFonts w:eastAsiaTheme="minorEastAsia" w:cs="Arial" w:hint="eastAsia"/>
          <w:kern w:val="0"/>
          <w:szCs w:val="21"/>
        </w:rPr>
        <w:t>。</w:t>
      </w:r>
      <w:r w:rsidR="007E25E3" w:rsidRPr="00FB46CE">
        <w:rPr>
          <w:rFonts w:eastAsiaTheme="minorEastAsia" w:cs="Arial" w:hint="eastAsia"/>
          <w:kern w:val="0"/>
          <w:szCs w:val="21"/>
        </w:rPr>
        <w:t>值得一提的是</w:t>
      </w:r>
      <w:r w:rsidR="00107B88" w:rsidRPr="00FB46CE">
        <w:rPr>
          <w:rFonts w:eastAsiaTheme="minorEastAsia" w:cs="Arial" w:hint="eastAsia"/>
          <w:kern w:val="0"/>
          <w:szCs w:val="21"/>
        </w:rPr>
        <w:t>中国支付通集团控股有限公司</w:t>
      </w:r>
      <w:r w:rsidR="007E25E3" w:rsidRPr="00FB46CE">
        <w:rPr>
          <w:rFonts w:eastAsiaTheme="minorEastAsia" w:cs="Arial" w:hint="eastAsia"/>
          <w:kern w:val="0"/>
          <w:szCs w:val="21"/>
        </w:rPr>
        <w:t>（下称</w:t>
      </w:r>
      <w:r w:rsidR="007E25E3" w:rsidRPr="00FB46CE">
        <w:rPr>
          <w:rFonts w:eastAsiaTheme="minorEastAsia" w:cs="Arial"/>
          <w:kern w:val="0"/>
          <w:szCs w:val="21"/>
        </w:rPr>
        <w:t>“</w:t>
      </w:r>
      <w:r w:rsidR="00107B88" w:rsidRPr="00FB46CE">
        <w:rPr>
          <w:rFonts w:eastAsiaTheme="minorEastAsia" w:cs="Arial" w:hint="eastAsia"/>
          <w:kern w:val="0"/>
          <w:szCs w:val="21"/>
        </w:rPr>
        <w:t>中国支付通</w:t>
      </w:r>
      <w:r w:rsidR="007E25E3" w:rsidRPr="00FB46CE">
        <w:rPr>
          <w:rFonts w:eastAsiaTheme="minorEastAsia" w:cs="Arial"/>
          <w:kern w:val="0"/>
          <w:szCs w:val="21"/>
        </w:rPr>
        <w:t>”</w:t>
      </w:r>
      <w:r w:rsidR="007E25E3" w:rsidRPr="00FB46CE">
        <w:rPr>
          <w:rFonts w:eastAsiaTheme="minorEastAsia" w:cs="Arial" w:hint="eastAsia"/>
          <w:kern w:val="0"/>
          <w:szCs w:val="21"/>
        </w:rPr>
        <w:t>）</w:t>
      </w:r>
      <w:r w:rsidR="006A0514" w:rsidRPr="00FB46CE">
        <w:rPr>
          <w:rFonts w:eastAsiaTheme="minorEastAsia" w:cs="Arial" w:hint="eastAsia"/>
          <w:kern w:val="0"/>
          <w:szCs w:val="21"/>
        </w:rPr>
        <w:t>受</w:t>
      </w:r>
      <w:proofErr w:type="gramStart"/>
      <w:r w:rsidR="006A0514" w:rsidRPr="00FB46CE">
        <w:rPr>
          <w:rFonts w:eastAsiaTheme="minorEastAsia" w:cs="Arial" w:hint="eastAsia"/>
          <w:kern w:val="0"/>
          <w:szCs w:val="21"/>
        </w:rPr>
        <w:t>让</w:t>
      </w:r>
      <w:r w:rsidR="00107B88" w:rsidRPr="00FB46CE">
        <w:rPr>
          <w:rFonts w:eastAsiaTheme="minorEastAsia" w:cs="Arial" w:hint="eastAsia"/>
          <w:kern w:val="0"/>
          <w:szCs w:val="21"/>
        </w:rPr>
        <w:t>微科睿思</w:t>
      </w:r>
      <w:proofErr w:type="gramEnd"/>
      <w:r w:rsidR="00107B88" w:rsidRPr="00FB46CE">
        <w:rPr>
          <w:rFonts w:eastAsiaTheme="minorEastAsia" w:cs="Arial" w:hint="eastAsia"/>
          <w:kern w:val="0"/>
          <w:szCs w:val="21"/>
        </w:rPr>
        <w:t>在线（北京）科技有限公司</w:t>
      </w:r>
      <w:r w:rsidR="007E25E3" w:rsidRPr="00FB46CE">
        <w:rPr>
          <w:rFonts w:eastAsiaTheme="minorEastAsia" w:cs="Arial" w:hint="eastAsia"/>
          <w:kern w:val="0"/>
          <w:szCs w:val="21"/>
        </w:rPr>
        <w:t>（下称</w:t>
      </w:r>
      <w:r w:rsidR="007E25E3" w:rsidRPr="00FB46CE">
        <w:rPr>
          <w:rFonts w:eastAsiaTheme="minorEastAsia" w:cs="Arial"/>
          <w:kern w:val="0"/>
          <w:szCs w:val="21"/>
        </w:rPr>
        <w:t>“</w:t>
      </w:r>
      <w:r w:rsidR="00107B88" w:rsidRPr="00FB46CE">
        <w:rPr>
          <w:rFonts w:eastAsiaTheme="minorEastAsia" w:cs="Arial" w:hint="eastAsia"/>
          <w:kern w:val="0"/>
          <w:szCs w:val="21"/>
        </w:rPr>
        <w:t>微科睿思在线</w:t>
      </w:r>
      <w:r w:rsidR="007E25E3" w:rsidRPr="00FB46CE">
        <w:rPr>
          <w:rFonts w:eastAsiaTheme="minorEastAsia" w:cs="Arial"/>
          <w:kern w:val="0"/>
          <w:szCs w:val="21"/>
        </w:rPr>
        <w:t>”</w:t>
      </w:r>
      <w:r w:rsidR="007E25E3" w:rsidRPr="00FB46CE">
        <w:rPr>
          <w:rFonts w:eastAsiaTheme="minorEastAsia" w:cs="Arial" w:hint="eastAsia"/>
          <w:kern w:val="0"/>
          <w:szCs w:val="21"/>
        </w:rPr>
        <w:t>）</w:t>
      </w:r>
      <w:r w:rsidR="00107B88" w:rsidRPr="00FB46CE">
        <w:rPr>
          <w:rFonts w:eastAsiaTheme="minorEastAsia" w:cs="Arial" w:hint="eastAsia"/>
          <w:kern w:val="0"/>
          <w:szCs w:val="21"/>
        </w:rPr>
        <w:t>67.0</w:t>
      </w:r>
      <w:r w:rsidR="007E25E3" w:rsidRPr="00FB46CE">
        <w:rPr>
          <w:rFonts w:eastAsiaTheme="minorEastAsia" w:cs="Arial" w:hint="eastAsia"/>
          <w:kern w:val="0"/>
          <w:szCs w:val="21"/>
        </w:rPr>
        <w:t>%</w:t>
      </w:r>
      <w:r w:rsidR="007E25E3" w:rsidRPr="00FB46CE">
        <w:rPr>
          <w:rFonts w:eastAsiaTheme="minorEastAsia" w:cs="Arial" w:hint="eastAsia"/>
          <w:kern w:val="0"/>
          <w:szCs w:val="21"/>
        </w:rPr>
        <w:t>股权，交易金额是</w:t>
      </w:r>
      <w:r w:rsidR="00107B88" w:rsidRPr="00FB46CE">
        <w:rPr>
          <w:rFonts w:eastAsiaTheme="minorEastAsia" w:cs="Arial" w:hint="eastAsia"/>
          <w:kern w:val="0"/>
          <w:szCs w:val="21"/>
        </w:rPr>
        <w:t>3.12</w:t>
      </w:r>
      <w:r w:rsidR="007E25E3" w:rsidRPr="00FB46CE">
        <w:rPr>
          <w:rFonts w:eastAsiaTheme="minorEastAsia" w:cs="Arial" w:hint="eastAsia"/>
          <w:kern w:val="0"/>
          <w:szCs w:val="21"/>
        </w:rPr>
        <w:t>亿</w:t>
      </w:r>
      <w:r w:rsidR="00107B88" w:rsidRPr="00FB46CE">
        <w:rPr>
          <w:rFonts w:eastAsiaTheme="minorEastAsia" w:cs="Arial" w:hint="eastAsia"/>
          <w:kern w:val="0"/>
          <w:szCs w:val="21"/>
        </w:rPr>
        <w:t>元人民币</w:t>
      </w:r>
      <w:r w:rsidR="007E25E3" w:rsidRPr="00FB46CE">
        <w:rPr>
          <w:rFonts w:eastAsiaTheme="minorEastAsia" w:cs="Arial" w:hint="eastAsia"/>
          <w:kern w:val="0"/>
          <w:szCs w:val="21"/>
        </w:rPr>
        <w:t>（约</w:t>
      </w:r>
      <w:r w:rsidR="00107B88" w:rsidRPr="00FB46CE">
        <w:rPr>
          <w:rFonts w:eastAsiaTheme="minorEastAsia" w:cs="Arial" w:hint="eastAsia"/>
          <w:kern w:val="0"/>
          <w:szCs w:val="21"/>
        </w:rPr>
        <w:t>5083.00</w:t>
      </w:r>
      <w:r w:rsidR="00107B88" w:rsidRPr="00FB46CE">
        <w:rPr>
          <w:rFonts w:eastAsiaTheme="minorEastAsia" w:cs="Arial" w:hint="eastAsia"/>
          <w:kern w:val="0"/>
          <w:szCs w:val="21"/>
        </w:rPr>
        <w:t>万</w:t>
      </w:r>
      <w:r w:rsidR="007E25E3" w:rsidRPr="00FB46CE">
        <w:rPr>
          <w:rFonts w:eastAsiaTheme="minorEastAsia" w:cs="Arial" w:hint="eastAsia"/>
          <w:kern w:val="0"/>
          <w:szCs w:val="21"/>
        </w:rPr>
        <w:t>美元）。</w:t>
      </w:r>
      <w:r w:rsidR="00107B88" w:rsidRPr="00FB46CE">
        <w:rPr>
          <w:rFonts w:eastAsiaTheme="minorEastAsia" w:cs="Arial" w:hint="eastAsia"/>
          <w:kern w:val="0"/>
          <w:szCs w:val="21"/>
        </w:rPr>
        <w:t>中国支付通主营业务为于中国大陆、香港及泰国提供电子支付、交易及结算服务，并拥有开联通网络技术服务有限公司。开联通系北京第三大预付卡发卡机构，同时拥有全国性</w:t>
      </w:r>
      <w:proofErr w:type="gramStart"/>
      <w:r w:rsidR="00107B88" w:rsidRPr="00FB46CE">
        <w:rPr>
          <w:rFonts w:eastAsiaTheme="minorEastAsia" w:cs="Arial" w:hint="eastAsia"/>
          <w:kern w:val="0"/>
          <w:szCs w:val="21"/>
        </w:rPr>
        <w:t>预付费卡和</w:t>
      </w:r>
      <w:proofErr w:type="gramEnd"/>
      <w:r w:rsidR="00107B88" w:rsidRPr="00FB46CE">
        <w:rPr>
          <w:rFonts w:eastAsiaTheme="minorEastAsia" w:cs="Arial" w:hint="eastAsia"/>
          <w:kern w:val="0"/>
          <w:szCs w:val="21"/>
        </w:rPr>
        <w:t>互联网支付许可证。</w:t>
      </w:r>
      <w:proofErr w:type="gramStart"/>
      <w:r w:rsidR="00107B88" w:rsidRPr="00FB46CE">
        <w:rPr>
          <w:rFonts w:eastAsiaTheme="minorEastAsia" w:cs="Arial" w:hint="eastAsia"/>
          <w:kern w:val="0"/>
          <w:szCs w:val="21"/>
        </w:rPr>
        <w:t>微科睿思</w:t>
      </w:r>
      <w:proofErr w:type="gramEnd"/>
      <w:r w:rsidR="00107B88" w:rsidRPr="00FB46CE">
        <w:rPr>
          <w:rFonts w:eastAsiaTheme="minorEastAsia" w:cs="Arial" w:hint="eastAsia"/>
          <w:kern w:val="0"/>
          <w:szCs w:val="21"/>
        </w:rPr>
        <w:t>在线是一家集研发、运营、服务为一体的综合性互联网技术公司，公司正在建设一个广大商户和消费者共享的</w:t>
      </w:r>
      <w:r w:rsidR="00107B88" w:rsidRPr="00FB46CE">
        <w:rPr>
          <w:rFonts w:eastAsiaTheme="minorEastAsia" w:cs="Arial" w:hint="eastAsia"/>
          <w:kern w:val="0"/>
          <w:szCs w:val="21"/>
        </w:rPr>
        <w:t>O2O</w:t>
      </w:r>
      <w:r w:rsidR="00107B88" w:rsidRPr="00FB46CE">
        <w:rPr>
          <w:rFonts w:eastAsiaTheme="minorEastAsia" w:cs="Arial" w:hint="eastAsia"/>
          <w:kern w:val="0"/>
          <w:szCs w:val="21"/>
        </w:rPr>
        <w:t>业务平台，探索将互联网的高度便捷性融入线下本地生活服务。同时，公司积极准备开展以预付卡为基础的创新支付业务。</w:t>
      </w:r>
      <w:r w:rsidR="00435967" w:rsidRPr="00FB46CE">
        <w:rPr>
          <w:rFonts w:eastAsiaTheme="minorEastAsia" w:cs="Arial" w:hint="eastAsia"/>
          <w:kern w:val="0"/>
          <w:szCs w:val="21"/>
        </w:rPr>
        <w:t>通过此次并购，</w:t>
      </w:r>
      <w:r w:rsidR="00FB46CE" w:rsidRPr="00FB46CE">
        <w:rPr>
          <w:rFonts w:eastAsiaTheme="minorEastAsia" w:cs="Arial" w:hint="eastAsia"/>
          <w:kern w:val="0"/>
          <w:szCs w:val="21"/>
        </w:rPr>
        <w:t>中国支付通将拓宽其收入来源及提升盈利能力，从而提升公司的价值</w:t>
      </w:r>
      <w:r w:rsidR="00A33AB8" w:rsidRPr="00FB46CE">
        <w:rPr>
          <w:rFonts w:eastAsiaTheme="minorEastAsia" w:cs="Arial" w:hint="eastAsia"/>
          <w:kern w:val="0"/>
          <w:szCs w:val="21"/>
        </w:rPr>
        <w:t>。</w:t>
      </w:r>
      <w:r w:rsidR="00F70C57" w:rsidRPr="00126847">
        <w:rPr>
          <w:rFonts w:eastAsiaTheme="minorEastAsia" w:cs="Arial"/>
          <w:kern w:val="0"/>
          <w:szCs w:val="21"/>
        </w:rPr>
        <w:t>位居第二的是</w:t>
      </w:r>
      <w:r w:rsidR="00C223B5" w:rsidRPr="00C223B5">
        <w:rPr>
          <w:rFonts w:eastAsiaTheme="minorEastAsia" w:cs="Arial" w:hint="eastAsia"/>
          <w:kern w:val="0"/>
          <w:szCs w:val="21"/>
        </w:rPr>
        <w:t>生物技术</w:t>
      </w:r>
      <w:r w:rsidR="00C223B5" w:rsidRPr="00C223B5">
        <w:rPr>
          <w:rFonts w:eastAsiaTheme="minorEastAsia" w:cs="Arial" w:hint="eastAsia"/>
          <w:kern w:val="0"/>
          <w:szCs w:val="21"/>
        </w:rPr>
        <w:t>/</w:t>
      </w:r>
      <w:r w:rsidR="00C223B5" w:rsidRPr="00C223B5">
        <w:rPr>
          <w:rFonts w:eastAsiaTheme="minorEastAsia" w:cs="Arial" w:hint="eastAsia"/>
          <w:kern w:val="0"/>
          <w:szCs w:val="21"/>
        </w:rPr>
        <w:t>医疗健康</w:t>
      </w:r>
      <w:r w:rsidR="00EC1A6D" w:rsidRPr="00126847">
        <w:rPr>
          <w:rFonts w:eastAsiaTheme="minorEastAsia" w:cs="Arial" w:hint="eastAsia"/>
          <w:kern w:val="0"/>
          <w:szCs w:val="21"/>
        </w:rPr>
        <w:t>行业</w:t>
      </w:r>
      <w:r w:rsidR="00F70C57" w:rsidRPr="00126847">
        <w:rPr>
          <w:rFonts w:eastAsiaTheme="minorEastAsia" w:cs="Arial"/>
          <w:kern w:val="0"/>
          <w:szCs w:val="21"/>
        </w:rPr>
        <w:t>，披露金额案例有</w:t>
      </w:r>
      <w:r w:rsidR="00C223B5">
        <w:rPr>
          <w:rFonts w:eastAsiaTheme="minorEastAsia" w:cs="Arial" w:hint="eastAsia"/>
          <w:kern w:val="0"/>
          <w:szCs w:val="21"/>
        </w:rPr>
        <w:t>12</w:t>
      </w:r>
      <w:r w:rsidR="00C0308E" w:rsidRPr="00126847">
        <w:rPr>
          <w:rFonts w:eastAsiaTheme="minorEastAsia" w:cs="Arial"/>
          <w:kern w:val="0"/>
          <w:szCs w:val="21"/>
        </w:rPr>
        <w:t>起，披露金额是</w:t>
      </w:r>
      <w:r w:rsidR="00C223B5">
        <w:rPr>
          <w:rFonts w:eastAsiaTheme="minorEastAsia" w:cs="Arial" w:hint="eastAsia"/>
          <w:kern w:val="0"/>
          <w:szCs w:val="21"/>
        </w:rPr>
        <w:t>5.62</w:t>
      </w:r>
      <w:r w:rsidR="00C0308E" w:rsidRPr="00126847">
        <w:rPr>
          <w:rFonts w:eastAsiaTheme="minorEastAsia" w:cs="Arial"/>
          <w:kern w:val="0"/>
          <w:szCs w:val="21"/>
        </w:rPr>
        <w:t>亿美元，占披露案例总金额的</w:t>
      </w:r>
      <w:r w:rsidR="00FB46CE">
        <w:rPr>
          <w:rFonts w:eastAsiaTheme="minorEastAsia" w:cs="Arial" w:hint="eastAsia"/>
          <w:kern w:val="0"/>
          <w:szCs w:val="21"/>
        </w:rPr>
        <w:t>14.0</w:t>
      </w:r>
      <w:r w:rsidR="00C0308E" w:rsidRPr="00126847">
        <w:rPr>
          <w:rFonts w:eastAsiaTheme="minorEastAsia" w:cs="Arial"/>
          <w:kern w:val="0"/>
          <w:szCs w:val="21"/>
        </w:rPr>
        <w:t>%</w:t>
      </w:r>
      <w:r w:rsidR="00536E2C" w:rsidRPr="00126847">
        <w:rPr>
          <w:rFonts w:eastAsiaTheme="minorEastAsia" w:cs="Arial" w:hint="eastAsia"/>
          <w:kern w:val="0"/>
          <w:szCs w:val="21"/>
        </w:rPr>
        <w:t>。</w:t>
      </w:r>
      <w:r w:rsidR="00FB46CE" w:rsidRPr="00FB46CE">
        <w:rPr>
          <w:rFonts w:eastAsiaTheme="minorEastAsia" w:cs="Arial" w:hint="eastAsia"/>
          <w:kern w:val="0"/>
          <w:szCs w:val="21"/>
        </w:rPr>
        <w:t>华邦颖泰股份有限公司</w:t>
      </w:r>
      <w:r w:rsidR="00323201" w:rsidRPr="00FB46CE">
        <w:rPr>
          <w:rFonts w:eastAsiaTheme="minorEastAsia" w:cs="Arial" w:hint="eastAsia"/>
          <w:kern w:val="0"/>
          <w:szCs w:val="21"/>
        </w:rPr>
        <w:t>（下称“</w:t>
      </w:r>
      <w:r w:rsidR="00FB46CE" w:rsidRPr="00FB46CE">
        <w:rPr>
          <w:rFonts w:eastAsiaTheme="minorEastAsia" w:cs="Arial" w:hint="eastAsia"/>
          <w:kern w:val="0"/>
          <w:szCs w:val="21"/>
        </w:rPr>
        <w:t>华邦颖泰</w:t>
      </w:r>
      <w:r w:rsidR="00323201" w:rsidRPr="00FB46CE">
        <w:rPr>
          <w:rFonts w:eastAsiaTheme="minorEastAsia" w:cs="Arial" w:hint="eastAsia"/>
          <w:kern w:val="0"/>
          <w:szCs w:val="21"/>
        </w:rPr>
        <w:t>”）</w:t>
      </w:r>
      <w:r w:rsidR="00F0171F" w:rsidRPr="00FB46CE">
        <w:rPr>
          <w:rFonts w:eastAsiaTheme="minorEastAsia" w:cs="Arial" w:hint="eastAsia"/>
          <w:kern w:val="0"/>
          <w:szCs w:val="21"/>
        </w:rPr>
        <w:t>以</w:t>
      </w:r>
      <w:r w:rsidR="00FB46CE" w:rsidRPr="00FB46CE">
        <w:rPr>
          <w:rFonts w:eastAsiaTheme="minorEastAsia" w:cs="Arial" w:hint="eastAsia"/>
          <w:kern w:val="0"/>
          <w:szCs w:val="21"/>
        </w:rPr>
        <w:t>14.49</w:t>
      </w:r>
      <w:r w:rsidR="00902DA0" w:rsidRPr="00FB46CE">
        <w:rPr>
          <w:rFonts w:eastAsiaTheme="minorEastAsia" w:cs="Arial" w:hint="eastAsia"/>
          <w:kern w:val="0"/>
          <w:szCs w:val="21"/>
        </w:rPr>
        <w:t>亿</w:t>
      </w:r>
      <w:r w:rsidR="00A33AB8" w:rsidRPr="00FB46CE">
        <w:rPr>
          <w:rFonts w:eastAsiaTheme="minorEastAsia" w:cs="Arial" w:hint="eastAsia"/>
          <w:kern w:val="0"/>
          <w:szCs w:val="21"/>
        </w:rPr>
        <w:t>元人民币（约</w:t>
      </w:r>
      <w:r w:rsidR="00FB46CE" w:rsidRPr="00FB46CE">
        <w:rPr>
          <w:rFonts w:eastAsiaTheme="minorEastAsia" w:cs="Arial" w:hint="eastAsia"/>
          <w:kern w:val="0"/>
          <w:szCs w:val="21"/>
        </w:rPr>
        <w:t>2.36</w:t>
      </w:r>
      <w:r w:rsidR="00FB46CE" w:rsidRPr="00FB46CE">
        <w:rPr>
          <w:rFonts w:eastAsiaTheme="minorEastAsia" w:cs="Arial" w:hint="eastAsia"/>
          <w:kern w:val="0"/>
          <w:szCs w:val="21"/>
        </w:rPr>
        <w:t>亿</w:t>
      </w:r>
      <w:r w:rsidR="00A33AB8" w:rsidRPr="00FB46CE">
        <w:rPr>
          <w:rFonts w:eastAsiaTheme="minorEastAsia" w:cs="Arial" w:hint="eastAsia"/>
          <w:kern w:val="0"/>
          <w:szCs w:val="21"/>
        </w:rPr>
        <w:t>美元）</w:t>
      </w:r>
      <w:r w:rsidR="00F0171F" w:rsidRPr="00FB46CE">
        <w:rPr>
          <w:rFonts w:eastAsiaTheme="minorEastAsia" w:cs="Arial" w:hint="eastAsia"/>
          <w:kern w:val="0"/>
          <w:szCs w:val="21"/>
        </w:rPr>
        <w:t>收购</w:t>
      </w:r>
      <w:r w:rsidR="00FB46CE" w:rsidRPr="00FB46CE">
        <w:rPr>
          <w:rFonts w:eastAsiaTheme="minorEastAsia" w:cs="Arial" w:hint="eastAsia"/>
          <w:kern w:val="0"/>
          <w:szCs w:val="21"/>
        </w:rPr>
        <w:t>西藏林芝百盛药业有限公司</w:t>
      </w:r>
      <w:r w:rsidR="00323201" w:rsidRPr="00FB46CE">
        <w:rPr>
          <w:rFonts w:eastAsiaTheme="minorEastAsia" w:cs="Arial" w:hint="eastAsia"/>
          <w:kern w:val="0"/>
          <w:szCs w:val="21"/>
        </w:rPr>
        <w:t>（下称“</w:t>
      </w:r>
      <w:r w:rsidR="00FB46CE" w:rsidRPr="00FB46CE">
        <w:rPr>
          <w:rFonts w:eastAsiaTheme="minorEastAsia" w:cs="Arial" w:hint="eastAsia"/>
          <w:kern w:val="0"/>
          <w:szCs w:val="21"/>
        </w:rPr>
        <w:t>百盛药业</w:t>
      </w:r>
      <w:r w:rsidR="00323201" w:rsidRPr="00FB46CE">
        <w:rPr>
          <w:rFonts w:eastAsiaTheme="minorEastAsia" w:cs="Arial" w:hint="eastAsia"/>
          <w:kern w:val="0"/>
          <w:szCs w:val="21"/>
        </w:rPr>
        <w:t>”）</w:t>
      </w:r>
      <w:r w:rsidR="00FB46CE" w:rsidRPr="00FB46CE">
        <w:rPr>
          <w:rFonts w:eastAsiaTheme="minorEastAsia" w:cs="Arial" w:hint="eastAsia"/>
          <w:kern w:val="0"/>
          <w:szCs w:val="21"/>
        </w:rPr>
        <w:t>71.5</w:t>
      </w:r>
      <w:r w:rsidR="00BA0B18" w:rsidRPr="00FB46CE">
        <w:rPr>
          <w:rFonts w:eastAsiaTheme="minorEastAsia" w:cs="Arial" w:hint="eastAsia"/>
          <w:kern w:val="0"/>
          <w:szCs w:val="21"/>
        </w:rPr>
        <w:t>%</w:t>
      </w:r>
      <w:r w:rsidR="00BA0B18" w:rsidRPr="00FB46CE">
        <w:rPr>
          <w:rFonts w:eastAsiaTheme="minorEastAsia" w:cs="Arial" w:hint="eastAsia"/>
          <w:kern w:val="0"/>
          <w:szCs w:val="21"/>
        </w:rPr>
        <w:t>股权</w:t>
      </w:r>
      <w:r w:rsidR="00F871CA" w:rsidRPr="00FB46CE">
        <w:rPr>
          <w:rFonts w:eastAsiaTheme="minorEastAsia" w:cs="Arial" w:hint="eastAsia"/>
          <w:kern w:val="0"/>
          <w:szCs w:val="21"/>
        </w:rPr>
        <w:t>。</w:t>
      </w:r>
      <w:r w:rsidR="00FB46CE" w:rsidRPr="00FB46CE">
        <w:rPr>
          <w:rFonts w:eastAsiaTheme="minorEastAsia" w:cs="Arial" w:hint="eastAsia"/>
          <w:kern w:val="0"/>
          <w:szCs w:val="21"/>
        </w:rPr>
        <w:t>华邦颖</w:t>
      </w:r>
      <w:proofErr w:type="gramStart"/>
      <w:r w:rsidR="00FB46CE" w:rsidRPr="00FB46CE">
        <w:rPr>
          <w:rFonts w:eastAsiaTheme="minorEastAsia" w:cs="Arial" w:hint="eastAsia"/>
          <w:kern w:val="0"/>
          <w:szCs w:val="21"/>
        </w:rPr>
        <w:t>泰一直</w:t>
      </w:r>
      <w:proofErr w:type="gramEnd"/>
      <w:r w:rsidR="00FB46CE" w:rsidRPr="00FB46CE">
        <w:rPr>
          <w:rFonts w:eastAsiaTheme="minorEastAsia" w:cs="Arial" w:hint="eastAsia"/>
          <w:kern w:val="0"/>
          <w:szCs w:val="21"/>
        </w:rPr>
        <w:t>致力于皮肤病、结核病和肿瘤用药的研发、生产和销售，在皮肤科类药品方面，多项属于</w:t>
      </w:r>
      <w:proofErr w:type="gramStart"/>
      <w:r w:rsidR="00FB46CE" w:rsidRPr="00FB46CE">
        <w:rPr>
          <w:rFonts w:eastAsiaTheme="minorEastAsia" w:cs="Arial" w:hint="eastAsia"/>
          <w:kern w:val="0"/>
          <w:szCs w:val="21"/>
        </w:rPr>
        <w:t>国内首仿</w:t>
      </w:r>
      <w:proofErr w:type="gramEnd"/>
      <w:r w:rsidR="00FB46CE" w:rsidRPr="00FB46CE">
        <w:rPr>
          <w:rFonts w:eastAsiaTheme="minorEastAsia" w:cs="Arial" w:hint="eastAsia"/>
          <w:kern w:val="0"/>
          <w:szCs w:val="21"/>
        </w:rPr>
        <w:t>或国内独家品种，具有较强的竞争优势。百盛药业主营业务为医药研发、生产和销售</w:t>
      </w:r>
      <w:r w:rsidR="00A33AB8" w:rsidRPr="00FB46CE">
        <w:rPr>
          <w:rFonts w:eastAsiaTheme="minorEastAsia" w:cs="Arial" w:hint="eastAsia"/>
          <w:kern w:val="0"/>
          <w:szCs w:val="21"/>
        </w:rPr>
        <w:t>。</w:t>
      </w:r>
      <w:r w:rsidR="000916E7" w:rsidRPr="00FB46CE">
        <w:rPr>
          <w:rFonts w:eastAsiaTheme="minorEastAsia" w:cs="Arial" w:hint="eastAsia"/>
          <w:kern w:val="0"/>
          <w:szCs w:val="21"/>
        </w:rPr>
        <w:t>通过此次并购</w:t>
      </w:r>
      <w:r w:rsidR="00CB2F5D" w:rsidRPr="00FB46CE">
        <w:rPr>
          <w:rFonts w:eastAsiaTheme="minorEastAsia" w:cs="Arial" w:hint="eastAsia"/>
          <w:kern w:val="0"/>
          <w:szCs w:val="21"/>
        </w:rPr>
        <w:t>，</w:t>
      </w:r>
      <w:r w:rsidR="00FB46CE" w:rsidRPr="00FB46CE">
        <w:rPr>
          <w:rFonts w:eastAsiaTheme="minorEastAsia" w:cs="Arial" w:hint="eastAsia"/>
          <w:kern w:val="0"/>
          <w:szCs w:val="21"/>
        </w:rPr>
        <w:t>华邦颖</w:t>
      </w:r>
      <w:proofErr w:type="gramStart"/>
      <w:r w:rsidR="00FB46CE" w:rsidRPr="00FB46CE">
        <w:rPr>
          <w:rFonts w:eastAsiaTheme="minorEastAsia" w:cs="Arial" w:hint="eastAsia"/>
          <w:kern w:val="0"/>
          <w:szCs w:val="21"/>
        </w:rPr>
        <w:t>泰完善</w:t>
      </w:r>
      <w:proofErr w:type="gramEnd"/>
      <w:r w:rsidR="00FB46CE" w:rsidRPr="00FB46CE">
        <w:rPr>
          <w:rFonts w:eastAsiaTheme="minorEastAsia" w:cs="Arial" w:hint="eastAsia"/>
          <w:kern w:val="0"/>
          <w:szCs w:val="21"/>
        </w:rPr>
        <w:t>公司产品线，增强核心竞争力，将通过开展技术、营销和供应链等方面资源整合，实现协同效应，壮大上市公司主营业务，实现公司快速发展。</w:t>
      </w:r>
      <w:r w:rsidR="00101FCA">
        <w:rPr>
          <w:rFonts w:eastAsiaTheme="minorEastAsia" w:cs="Arial" w:hint="eastAsia"/>
          <w:kern w:val="0"/>
          <w:szCs w:val="21"/>
        </w:rPr>
        <w:t>位居第三</w:t>
      </w:r>
      <w:r w:rsidR="00F70C57" w:rsidRPr="00E734EB">
        <w:rPr>
          <w:rFonts w:eastAsiaTheme="minorEastAsia" w:cs="Arial"/>
          <w:kern w:val="0"/>
          <w:szCs w:val="21"/>
        </w:rPr>
        <w:t>的是</w:t>
      </w:r>
      <w:r w:rsidR="00C223B5" w:rsidRPr="00C223B5">
        <w:rPr>
          <w:rFonts w:eastAsiaTheme="minorEastAsia" w:cs="Arial"/>
          <w:kern w:val="0"/>
          <w:szCs w:val="21"/>
        </w:rPr>
        <w:t>IT</w:t>
      </w:r>
      <w:r w:rsidR="00E528A1">
        <w:rPr>
          <w:rFonts w:eastAsiaTheme="minorEastAsia" w:cs="Arial" w:hint="eastAsia"/>
          <w:kern w:val="0"/>
          <w:szCs w:val="21"/>
        </w:rPr>
        <w:t>行业</w:t>
      </w:r>
      <w:r w:rsidR="001403A1" w:rsidRPr="00E734EB">
        <w:rPr>
          <w:rFonts w:eastAsiaTheme="minorEastAsia" w:cs="Arial"/>
          <w:kern w:val="0"/>
          <w:szCs w:val="21"/>
        </w:rPr>
        <w:t>，披露金额案例有</w:t>
      </w:r>
      <w:r w:rsidR="00C223B5">
        <w:rPr>
          <w:rFonts w:eastAsiaTheme="minorEastAsia" w:cs="Arial" w:hint="eastAsia"/>
          <w:kern w:val="0"/>
          <w:szCs w:val="21"/>
        </w:rPr>
        <w:t>9</w:t>
      </w:r>
      <w:r w:rsidR="001403A1" w:rsidRPr="00E734EB">
        <w:rPr>
          <w:rFonts w:eastAsiaTheme="minorEastAsia" w:cs="Arial"/>
          <w:kern w:val="0"/>
          <w:szCs w:val="21"/>
        </w:rPr>
        <w:t>起，披露金额是</w:t>
      </w:r>
      <w:r w:rsidR="00C223B5">
        <w:rPr>
          <w:rFonts w:eastAsiaTheme="minorEastAsia" w:cs="Arial" w:hint="eastAsia"/>
          <w:kern w:val="0"/>
          <w:szCs w:val="21"/>
        </w:rPr>
        <w:t>4.67</w:t>
      </w:r>
      <w:r w:rsidR="001403A1" w:rsidRPr="00E734EB">
        <w:rPr>
          <w:rFonts w:eastAsiaTheme="minorEastAsia" w:cs="Arial"/>
          <w:kern w:val="0"/>
          <w:szCs w:val="21"/>
        </w:rPr>
        <w:t>亿美元，占披露案例总金额的</w:t>
      </w:r>
      <w:r w:rsidR="00C223B5">
        <w:rPr>
          <w:rFonts w:eastAsiaTheme="minorEastAsia" w:cs="Arial" w:hint="eastAsia"/>
          <w:kern w:val="0"/>
          <w:szCs w:val="21"/>
        </w:rPr>
        <w:t>10.2</w:t>
      </w:r>
      <w:r w:rsidR="001403A1" w:rsidRPr="00E734EB">
        <w:rPr>
          <w:rFonts w:eastAsiaTheme="minorEastAsia" w:cs="Arial"/>
          <w:kern w:val="0"/>
          <w:szCs w:val="21"/>
        </w:rPr>
        <w:t>%</w:t>
      </w:r>
      <w:r w:rsidR="000A4F73">
        <w:rPr>
          <w:rFonts w:eastAsiaTheme="minorEastAsia" w:cs="Arial" w:hint="eastAsia"/>
          <w:kern w:val="0"/>
          <w:szCs w:val="21"/>
        </w:rPr>
        <w:t>。</w:t>
      </w:r>
      <w:r w:rsidR="00FB46CE" w:rsidRPr="00DE6E68">
        <w:rPr>
          <w:rFonts w:eastAsiaTheme="minorEastAsia" w:cs="Arial" w:hint="eastAsia"/>
          <w:kern w:val="0"/>
          <w:szCs w:val="21"/>
        </w:rPr>
        <w:t>广东宝利来投资股份有限公司</w:t>
      </w:r>
      <w:r w:rsidR="00F871CA" w:rsidRPr="00DE6E68">
        <w:rPr>
          <w:rFonts w:eastAsiaTheme="minorEastAsia" w:cs="Arial" w:hint="eastAsia"/>
          <w:kern w:val="0"/>
          <w:szCs w:val="21"/>
        </w:rPr>
        <w:t>（下称“</w:t>
      </w:r>
      <w:r w:rsidR="00FB46CE" w:rsidRPr="00DE6E68">
        <w:rPr>
          <w:rFonts w:eastAsiaTheme="minorEastAsia" w:cs="Arial" w:hint="eastAsia"/>
          <w:kern w:val="0"/>
          <w:szCs w:val="21"/>
        </w:rPr>
        <w:t>宝</w:t>
      </w:r>
      <w:r w:rsidR="00FB46CE" w:rsidRPr="00DE6E68">
        <w:rPr>
          <w:rFonts w:eastAsiaTheme="minorEastAsia" w:cs="Arial" w:hint="eastAsia"/>
          <w:kern w:val="0"/>
          <w:szCs w:val="21"/>
        </w:rPr>
        <w:lastRenderedPageBreak/>
        <w:t>利来</w:t>
      </w:r>
      <w:r w:rsidR="00F871CA" w:rsidRPr="00DE6E68">
        <w:rPr>
          <w:rFonts w:eastAsiaTheme="minorEastAsia" w:cs="Arial" w:hint="eastAsia"/>
          <w:kern w:val="0"/>
          <w:szCs w:val="21"/>
        </w:rPr>
        <w:t>”）收购</w:t>
      </w:r>
      <w:r w:rsidR="00120D9D" w:rsidRPr="00DE6E68">
        <w:rPr>
          <w:rFonts w:eastAsiaTheme="minorEastAsia" w:cs="Arial" w:hint="eastAsia"/>
          <w:kern w:val="0"/>
          <w:szCs w:val="21"/>
        </w:rPr>
        <w:t>北京新联铁科技股份有限公司</w:t>
      </w:r>
      <w:r w:rsidR="00F871CA" w:rsidRPr="00DE6E68">
        <w:rPr>
          <w:rFonts w:eastAsiaTheme="minorEastAsia" w:cs="Arial" w:hint="eastAsia"/>
          <w:kern w:val="0"/>
          <w:szCs w:val="21"/>
        </w:rPr>
        <w:t>（下称“</w:t>
      </w:r>
      <w:r w:rsidR="00120D9D" w:rsidRPr="00DE6E68">
        <w:rPr>
          <w:rFonts w:eastAsiaTheme="minorEastAsia" w:cs="Arial" w:hint="eastAsia"/>
          <w:kern w:val="0"/>
          <w:szCs w:val="21"/>
        </w:rPr>
        <w:t>新联铁科技</w:t>
      </w:r>
      <w:r w:rsidR="00F871CA" w:rsidRPr="00DE6E68">
        <w:rPr>
          <w:rFonts w:eastAsiaTheme="minorEastAsia" w:cs="Arial" w:hint="eastAsia"/>
          <w:kern w:val="0"/>
          <w:szCs w:val="21"/>
        </w:rPr>
        <w:t>”）</w:t>
      </w:r>
      <w:r w:rsidR="00120D9D" w:rsidRPr="00DE6E68">
        <w:rPr>
          <w:rFonts w:eastAsiaTheme="minorEastAsia" w:cs="Arial" w:hint="eastAsia"/>
          <w:kern w:val="0"/>
          <w:szCs w:val="21"/>
        </w:rPr>
        <w:t>100</w:t>
      </w:r>
      <w:r w:rsidR="00CB2F5D" w:rsidRPr="00DE6E68">
        <w:rPr>
          <w:rFonts w:eastAsiaTheme="minorEastAsia" w:cs="Arial" w:hint="eastAsia"/>
          <w:kern w:val="0"/>
          <w:szCs w:val="21"/>
        </w:rPr>
        <w:t>.0</w:t>
      </w:r>
      <w:r w:rsidR="00F871CA" w:rsidRPr="00DE6E68">
        <w:rPr>
          <w:rFonts w:eastAsiaTheme="minorEastAsia" w:cs="Arial" w:hint="eastAsia"/>
          <w:kern w:val="0"/>
          <w:szCs w:val="21"/>
        </w:rPr>
        <w:t>%</w:t>
      </w:r>
      <w:r w:rsidR="00F871CA" w:rsidRPr="00DE6E68">
        <w:rPr>
          <w:rFonts w:eastAsiaTheme="minorEastAsia" w:cs="Arial" w:hint="eastAsia"/>
          <w:kern w:val="0"/>
          <w:szCs w:val="21"/>
        </w:rPr>
        <w:t>股权，交易金额是</w:t>
      </w:r>
      <w:r w:rsidR="00120D9D" w:rsidRPr="00DE6E68">
        <w:rPr>
          <w:rFonts w:eastAsiaTheme="minorEastAsia" w:cs="Arial" w:hint="eastAsia"/>
          <w:kern w:val="0"/>
          <w:szCs w:val="21"/>
        </w:rPr>
        <w:t>18</w:t>
      </w:r>
      <w:r w:rsidR="00CB2F5D" w:rsidRPr="00DE6E68">
        <w:rPr>
          <w:rFonts w:eastAsiaTheme="minorEastAsia" w:cs="Arial" w:hint="eastAsia"/>
          <w:kern w:val="0"/>
          <w:szCs w:val="21"/>
        </w:rPr>
        <w:t>.00</w:t>
      </w:r>
      <w:r w:rsidR="00F871CA" w:rsidRPr="00DE6E68">
        <w:rPr>
          <w:rFonts w:eastAsiaTheme="minorEastAsia" w:cs="Arial" w:hint="eastAsia"/>
          <w:kern w:val="0"/>
          <w:szCs w:val="21"/>
        </w:rPr>
        <w:t>亿</w:t>
      </w:r>
      <w:r w:rsidR="000916E7" w:rsidRPr="00DE6E68">
        <w:rPr>
          <w:rFonts w:eastAsiaTheme="minorEastAsia" w:cs="Arial" w:hint="eastAsia"/>
          <w:kern w:val="0"/>
          <w:szCs w:val="21"/>
        </w:rPr>
        <w:t>元人民币</w:t>
      </w:r>
      <w:r w:rsidR="00F871CA" w:rsidRPr="00DE6E68">
        <w:rPr>
          <w:rFonts w:eastAsiaTheme="minorEastAsia" w:cs="Arial" w:hint="eastAsia"/>
          <w:kern w:val="0"/>
          <w:szCs w:val="21"/>
        </w:rPr>
        <w:t>（约</w:t>
      </w:r>
      <w:r w:rsidR="00CB2F5D" w:rsidRPr="00DE6E68">
        <w:rPr>
          <w:rFonts w:eastAsiaTheme="minorEastAsia" w:cs="Arial" w:hint="eastAsia"/>
          <w:kern w:val="0"/>
          <w:szCs w:val="21"/>
        </w:rPr>
        <w:t>2.</w:t>
      </w:r>
      <w:r w:rsidR="00120D9D" w:rsidRPr="00DE6E68">
        <w:rPr>
          <w:rFonts w:eastAsiaTheme="minorEastAsia" w:cs="Arial" w:hint="eastAsia"/>
          <w:kern w:val="0"/>
          <w:szCs w:val="21"/>
        </w:rPr>
        <w:t>93</w:t>
      </w:r>
      <w:r w:rsidR="00F871CA" w:rsidRPr="00DE6E68">
        <w:rPr>
          <w:rFonts w:eastAsiaTheme="minorEastAsia" w:cs="Arial" w:hint="eastAsia"/>
          <w:kern w:val="0"/>
          <w:szCs w:val="21"/>
        </w:rPr>
        <w:t>亿美元）</w:t>
      </w:r>
      <w:r w:rsidR="00902DA0" w:rsidRPr="00DE6E68">
        <w:rPr>
          <w:rFonts w:eastAsiaTheme="minorEastAsia" w:cs="Arial" w:hint="eastAsia"/>
          <w:kern w:val="0"/>
          <w:szCs w:val="21"/>
        </w:rPr>
        <w:t>，是本月</w:t>
      </w:r>
      <w:r w:rsidR="00120D9D" w:rsidRPr="00DE6E68">
        <w:rPr>
          <w:rFonts w:eastAsiaTheme="minorEastAsia" w:cs="Arial" w:hint="eastAsia"/>
          <w:kern w:val="0"/>
          <w:szCs w:val="21"/>
        </w:rPr>
        <w:t>IT</w:t>
      </w:r>
      <w:r w:rsidR="00902DA0" w:rsidRPr="00DE6E68">
        <w:rPr>
          <w:rFonts w:eastAsiaTheme="minorEastAsia" w:cs="Arial" w:hint="eastAsia"/>
          <w:kern w:val="0"/>
          <w:szCs w:val="21"/>
        </w:rPr>
        <w:t>行业交易金额最大的案例</w:t>
      </w:r>
      <w:r w:rsidR="00F10B92" w:rsidRPr="00DE6E68">
        <w:rPr>
          <w:rFonts w:eastAsiaTheme="minorEastAsia" w:cs="Arial" w:hint="eastAsia"/>
          <w:kern w:val="0"/>
          <w:szCs w:val="21"/>
        </w:rPr>
        <w:t>；</w:t>
      </w:r>
      <w:r w:rsidR="00120D9D" w:rsidRPr="00DE6E68">
        <w:rPr>
          <w:rFonts w:eastAsiaTheme="minorEastAsia" w:cs="Arial" w:hint="eastAsia"/>
          <w:kern w:val="0"/>
          <w:szCs w:val="21"/>
        </w:rPr>
        <w:t>宝利来由原本的主营贸易批发零售转向房地产开发租赁，公司投资的深圳市宝利来购物广场是深圳当地较为著名的商业广场，公司商场管理和商业经营业务得到发展。新</w:t>
      </w:r>
      <w:proofErr w:type="gramStart"/>
      <w:r w:rsidR="00120D9D" w:rsidRPr="00DE6E68">
        <w:rPr>
          <w:rFonts w:eastAsiaTheme="minorEastAsia" w:cs="Arial" w:hint="eastAsia"/>
          <w:kern w:val="0"/>
          <w:szCs w:val="21"/>
        </w:rPr>
        <w:t>联铁科技业专</w:t>
      </w:r>
      <w:proofErr w:type="gramEnd"/>
      <w:r w:rsidR="00120D9D" w:rsidRPr="00DE6E68">
        <w:rPr>
          <w:rFonts w:eastAsiaTheme="minorEastAsia" w:cs="Arial" w:hint="eastAsia"/>
          <w:kern w:val="0"/>
          <w:szCs w:val="21"/>
        </w:rPr>
        <w:t>致力于轨道交通安全监测、维护、检修、系统集成、信息化等技术的研发及体系建设，公司在轨道交通机车车辆、工</w:t>
      </w:r>
      <w:proofErr w:type="gramStart"/>
      <w:r w:rsidR="00120D9D" w:rsidRPr="00DE6E68">
        <w:rPr>
          <w:rFonts w:eastAsiaTheme="minorEastAsia" w:cs="Arial" w:hint="eastAsia"/>
          <w:kern w:val="0"/>
          <w:szCs w:val="21"/>
        </w:rPr>
        <w:t>务</w:t>
      </w:r>
      <w:proofErr w:type="gramEnd"/>
      <w:r w:rsidR="00120D9D" w:rsidRPr="00DE6E68">
        <w:rPr>
          <w:rFonts w:eastAsiaTheme="minorEastAsia" w:cs="Arial" w:hint="eastAsia"/>
          <w:kern w:val="0"/>
          <w:szCs w:val="21"/>
        </w:rPr>
        <w:t>、供电、站场调度运营维护领域，建立了从安全监测、维护检修、系统集成到数据分析的完整产业链，提供轨道交通安全运营维护系统化的解决方案；通过此次并购宝利来能够有效改善上市公司资产质量，提升盈利能力</w:t>
      </w:r>
      <w:r w:rsidR="00DE6E68" w:rsidRPr="00DE6E68">
        <w:rPr>
          <w:rFonts w:eastAsiaTheme="minorEastAsia" w:cs="Arial" w:hint="eastAsia"/>
          <w:kern w:val="0"/>
          <w:szCs w:val="21"/>
        </w:rPr>
        <w:t>。</w:t>
      </w:r>
    </w:p>
    <w:p w:rsidR="00AA139E" w:rsidRPr="00E734EB" w:rsidRDefault="00AA139E" w:rsidP="000570F0">
      <w:pPr>
        <w:spacing w:line="200" w:lineRule="exact"/>
        <w:ind w:firstLineChars="200" w:firstLine="420"/>
        <w:rPr>
          <w:rFonts w:eastAsiaTheme="minorEastAsia" w:cs="Arial"/>
          <w:kern w:val="0"/>
          <w:szCs w:val="21"/>
        </w:rPr>
      </w:pPr>
    </w:p>
    <w:p w:rsidR="00335996" w:rsidRPr="00E734EB" w:rsidRDefault="00DB3776" w:rsidP="00335996">
      <w:pPr>
        <w:widowControl/>
        <w:spacing w:line="360" w:lineRule="exact"/>
        <w:ind w:firstLineChars="200" w:firstLine="420"/>
        <w:rPr>
          <w:rFonts w:eastAsiaTheme="minorEastAsia" w:cs="Arial"/>
          <w:kern w:val="0"/>
          <w:szCs w:val="21"/>
        </w:rPr>
      </w:pPr>
      <w:r w:rsidRPr="00E734EB">
        <w:rPr>
          <w:rFonts w:eastAsiaTheme="minorEastAsia" w:cs="Arial"/>
          <w:kern w:val="0"/>
          <w:szCs w:val="21"/>
        </w:rPr>
        <w:t>从并购案例平均金额来看</w:t>
      </w:r>
      <w:r w:rsidR="00F82962" w:rsidRPr="00E734EB">
        <w:rPr>
          <w:rFonts w:eastAsiaTheme="minorEastAsia" w:cs="Arial"/>
          <w:kern w:val="0"/>
          <w:szCs w:val="21"/>
        </w:rPr>
        <w:t>，</w:t>
      </w:r>
      <w:r w:rsidR="00C223B5">
        <w:rPr>
          <w:rFonts w:eastAsiaTheme="minorEastAsia" w:cs="Arial" w:hint="eastAsia"/>
          <w:kern w:val="0"/>
          <w:szCs w:val="21"/>
        </w:rPr>
        <w:t>互联网</w:t>
      </w:r>
      <w:r w:rsidR="009A529F" w:rsidRPr="00E734EB">
        <w:rPr>
          <w:rFonts w:eastAsiaTheme="minorEastAsia" w:cs="Arial"/>
          <w:kern w:val="0"/>
          <w:szCs w:val="21"/>
        </w:rPr>
        <w:t>行业</w:t>
      </w:r>
      <w:r w:rsidR="00F82962" w:rsidRPr="00E734EB">
        <w:rPr>
          <w:rFonts w:eastAsiaTheme="minorEastAsia" w:cs="Arial"/>
          <w:kern w:val="0"/>
          <w:szCs w:val="21"/>
        </w:rPr>
        <w:t>最高，平均每起金额</w:t>
      </w:r>
      <w:r w:rsidR="00C223B5">
        <w:rPr>
          <w:rFonts w:eastAsiaTheme="minorEastAsia" w:cs="Arial" w:hint="eastAsia"/>
          <w:kern w:val="0"/>
          <w:szCs w:val="21"/>
        </w:rPr>
        <w:t>1.39</w:t>
      </w:r>
      <w:r w:rsidR="00C223B5">
        <w:rPr>
          <w:rFonts w:eastAsiaTheme="minorEastAsia" w:cs="Arial" w:hint="eastAsia"/>
          <w:kern w:val="0"/>
          <w:szCs w:val="21"/>
        </w:rPr>
        <w:t>亿</w:t>
      </w:r>
      <w:r w:rsidR="00F82962" w:rsidRPr="00E734EB">
        <w:rPr>
          <w:rFonts w:eastAsiaTheme="minorEastAsia" w:cs="Arial"/>
          <w:kern w:val="0"/>
          <w:szCs w:val="21"/>
        </w:rPr>
        <w:t>美元</w:t>
      </w:r>
      <w:r w:rsidR="00F10B92">
        <w:rPr>
          <w:rFonts w:eastAsiaTheme="minorEastAsia" w:cs="Arial" w:hint="eastAsia"/>
          <w:kern w:val="0"/>
          <w:szCs w:val="21"/>
        </w:rPr>
        <w:t>。</w:t>
      </w:r>
      <w:r w:rsidR="00C223B5" w:rsidRPr="00C223B5">
        <w:rPr>
          <w:rFonts w:eastAsiaTheme="minorEastAsia" w:cs="Arial" w:hint="eastAsia"/>
          <w:kern w:val="0"/>
          <w:szCs w:val="21"/>
        </w:rPr>
        <w:t>娱乐传媒</w:t>
      </w:r>
      <w:r w:rsidR="00117540" w:rsidRPr="00E734EB">
        <w:rPr>
          <w:rFonts w:eastAsiaTheme="minorEastAsia" w:cs="Arial"/>
          <w:kern w:val="0"/>
          <w:szCs w:val="21"/>
        </w:rPr>
        <w:t>行业位居第二，</w:t>
      </w:r>
      <w:r w:rsidR="00E528A1">
        <w:rPr>
          <w:rFonts w:eastAsiaTheme="minorEastAsia" w:cs="Arial" w:hint="eastAsia"/>
          <w:kern w:val="0"/>
          <w:szCs w:val="21"/>
        </w:rPr>
        <w:t>平均每起</w:t>
      </w:r>
      <w:r w:rsidR="00117540" w:rsidRPr="00E734EB">
        <w:rPr>
          <w:rFonts w:eastAsiaTheme="minorEastAsia" w:cs="Arial"/>
          <w:kern w:val="0"/>
          <w:szCs w:val="21"/>
        </w:rPr>
        <w:t>金额是</w:t>
      </w:r>
      <w:r w:rsidR="00C223B5">
        <w:rPr>
          <w:rFonts w:eastAsiaTheme="minorEastAsia" w:cs="Arial" w:hint="eastAsia"/>
          <w:kern w:val="0"/>
          <w:szCs w:val="21"/>
        </w:rPr>
        <w:t>8115.00</w:t>
      </w:r>
      <w:r w:rsidR="00D47DAA">
        <w:rPr>
          <w:rFonts w:eastAsiaTheme="minorEastAsia" w:cs="Arial" w:hint="eastAsia"/>
          <w:kern w:val="0"/>
          <w:szCs w:val="21"/>
        </w:rPr>
        <w:t>万</w:t>
      </w:r>
      <w:r w:rsidR="00117540" w:rsidRPr="00E734EB">
        <w:rPr>
          <w:rFonts w:eastAsiaTheme="minorEastAsia" w:cs="Arial"/>
          <w:kern w:val="0"/>
          <w:szCs w:val="21"/>
        </w:rPr>
        <w:t>美元</w:t>
      </w:r>
      <w:r w:rsidR="00005762" w:rsidRPr="00E734EB">
        <w:rPr>
          <w:rFonts w:eastAsiaTheme="minorEastAsia" w:cs="Arial"/>
          <w:kern w:val="0"/>
          <w:szCs w:val="21"/>
        </w:rPr>
        <w:t>。</w:t>
      </w:r>
      <w:r w:rsidR="00C223B5" w:rsidRPr="00C223B5">
        <w:rPr>
          <w:rFonts w:eastAsiaTheme="minorEastAsia" w:cs="Arial" w:hint="eastAsia"/>
          <w:kern w:val="0"/>
          <w:szCs w:val="21"/>
        </w:rPr>
        <w:t>能源及矿产</w:t>
      </w:r>
      <w:r w:rsidR="00117540" w:rsidRPr="00E734EB">
        <w:rPr>
          <w:rFonts w:eastAsiaTheme="minorEastAsia" w:cs="Arial"/>
          <w:kern w:val="0"/>
          <w:szCs w:val="21"/>
        </w:rPr>
        <w:t>行业则排在第三，平均每起金额是</w:t>
      </w:r>
      <w:r w:rsidR="00C223B5">
        <w:rPr>
          <w:rFonts w:eastAsiaTheme="minorEastAsia" w:cs="Arial" w:hint="eastAsia"/>
          <w:kern w:val="0"/>
          <w:szCs w:val="21"/>
        </w:rPr>
        <w:t>5261</w:t>
      </w:r>
      <w:r w:rsidR="00D47DAA">
        <w:rPr>
          <w:rFonts w:eastAsiaTheme="minorEastAsia" w:cs="Arial" w:hint="eastAsia"/>
          <w:kern w:val="0"/>
          <w:szCs w:val="21"/>
        </w:rPr>
        <w:t>.00</w:t>
      </w:r>
      <w:r w:rsidR="00D47DAA">
        <w:rPr>
          <w:rFonts w:eastAsiaTheme="minorEastAsia" w:cs="Arial" w:hint="eastAsia"/>
          <w:kern w:val="0"/>
          <w:szCs w:val="21"/>
        </w:rPr>
        <w:t>万</w:t>
      </w:r>
      <w:r w:rsidR="00117540" w:rsidRPr="00E734EB">
        <w:rPr>
          <w:rFonts w:eastAsiaTheme="minorEastAsia" w:cs="Arial"/>
          <w:kern w:val="0"/>
          <w:szCs w:val="21"/>
        </w:rPr>
        <w:t>美元。</w:t>
      </w:r>
    </w:p>
    <w:p w:rsidR="005F0C3C" w:rsidRPr="005355A5" w:rsidRDefault="005F0C3C" w:rsidP="000570F0">
      <w:pPr>
        <w:widowControl/>
        <w:spacing w:line="200" w:lineRule="exact"/>
        <w:ind w:firstLineChars="200" w:firstLine="420"/>
        <w:rPr>
          <w:rFonts w:eastAsiaTheme="minorEastAsia" w:cs="Arial"/>
          <w:kern w:val="0"/>
          <w:szCs w:val="21"/>
        </w:rPr>
      </w:pPr>
    </w:p>
    <w:p w:rsidR="007D7050" w:rsidRPr="00E734EB" w:rsidRDefault="007D7050" w:rsidP="007D7050">
      <w:pPr>
        <w:spacing w:line="440" w:lineRule="exact"/>
        <w:rPr>
          <w:rFonts w:eastAsiaTheme="minorEastAsia" w:cs="Arial"/>
          <w:b/>
          <w:kern w:val="0"/>
          <w:sz w:val="20"/>
          <w:szCs w:val="20"/>
        </w:rPr>
      </w:pPr>
      <w:r w:rsidRPr="00E734EB">
        <w:rPr>
          <w:rFonts w:eastAsiaTheme="minorEastAsia" w:cs="Arial"/>
          <w:b/>
          <w:kern w:val="0"/>
          <w:sz w:val="20"/>
          <w:szCs w:val="20"/>
        </w:rPr>
        <w:t>表</w:t>
      </w:r>
      <w:r w:rsidRPr="00E734EB">
        <w:rPr>
          <w:rFonts w:eastAsiaTheme="minorEastAsia" w:cs="Arial"/>
          <w:b/>
          <w:kern w:val="0"/>
          <w:sz w:val="20"/>
          <w:szCs w:val="20"/>
        </w:rPr>
        <w:t>2  201</w:t>
      </w:r>
      <w:r w:rsidR="00872E6D">
        <w:rPr>
          <w:rFonts w:eastAsiaTheme="minorEastAsia" w:cs="Arial" w:hint="eastAsia"/>
          <w:b/>
          <w:kern w:val="0"/>
          <w:sz w:val="20"/>
          <w:szCs w:val="20"/>
        </w:rPr>
        <w:t>5</w:t>
      </w:r>
      <w:r w:rsidRPr="00E734EB">
        <w:rPr>
          <w:rFonts w:eastAsiaTheme="minorEastAsia" w:cs="Arial"/>
          <w:b/>
          <w:kern w:val="0"/>
          <w:sz w:val="20"/>
          <w:szCs w:val="20"/>
        </w:rPr>
        <w:t>年</w:t>
      </w:r>
      <w:r w:rsidR="00872E6D">
        <w:rPr>
          <w:rFonts w:eastAsiaTheme="minorEastAsia" w:cs="Arial" w:hint="eastAsia"/>
          <w:b/>
          <w:kern w:val="0"/>
          <w:sz w:val="20"/>
          <w:szCs w:val="20"/>
        </w:rPr>
        <w:t>1</w:t>
      </w:r>
      <w:r w:rsidRPr="00E734EB">
        <w:rPr>
          <w:rFonts w:eastAsiaTheme="minorEastAsia" w:cs="Arial"/>
          <w:b/>
          <w:kern w:val="0"/>
          <w:sz w:val="20"/>
          <w:szCs w:val="20"/>
        </w:rPr>
        <w:t>月并购案例行业分布（按被并购方）去除关联交易</w:t>
      </w:r>
    </w:p>
    <w:tbl>
      <w:tblPr>
        <w:tblW w:w="9677" w:type="dxa"/>
        <w:jc w:val="center"/>
        <w:tblInd w:w="93" w:type="dxa"/>
        <w:tblLook w:val="04A0"/>
      </w:tblPr>
      <w:tblGrid>
        <w:gridCol w:w="2142"/>
        <w:gridCol w:w="1134"/>
        <w:gridCol w:w="929"/>
        <w:gridCol w:w="1231"/>
        <w:gridCol w:w="1417"/>
        <w:gridCol w:w="990"/>
        <w:gridCol w:w="1834"/>
      </w:tblGrid>
      <w:tr w:rsidR="007D7050" w:rsidRPr="00E734EB" w:rsidTr="000C70B9">
        <w:trPr>
          <w:trHeight w:val="1058"/>
          <w:jc w:val="center"/>
        </w:trPr>
        <w:tc>
          <w:tcPr>
            <w:tcW w:w="2142" w:type="dxa"/>
            <w:tcBorders>
              <w:top w:val="single" w:sz="12" w:space="0" w:color="003366"/>
              <w:left w:val="nil"/>
              <w:bottom w:val="single" w:sz="8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0C70B9">
            <w:pPr>
              <w:widowControl/>
              <w:jc w:val="center"/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  <w:t>行业</w:t>
            </w:r>
          </w:p>
        </w:tc>
        <w:tc>
          <w:tcPr>
            <w:tcW w:w="1134" w:type="dxa"/>
            <w:tcBorders>
              <w:top w:val="single" w:sz="12" w:space="0" w:color="003366"/>
              <w:left w:val="nil"/>
              <w:bottom w:val="single" w:sz="8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0C70B9">
            <w:pPr>
              <w:widowControl/>
              <w:jc w:val="center"/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  <w:t>案例总数</w:t>
            </w:r>
          </w:p>
        </w:tc>
        <w:tc>
          <w:tcPr>
            <w:tcW w:w="929" w:type="dxa"/>
            <w:tcBorders>
              <w:top w:val="single" w:sz="12" w:space="0" w:color="003366"/>
              <w:left w:val="nil"/>
              <w:bottom w:val="single" w:sz="8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0C70B9">
            <w:pPr>
              <w:widowControl/>
              <w:jc w:val="center"/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  <w:t>比例</w:t>
            </w:r>
          </w:p>
        </w:tc>
        <w:tc>
          <w:tcPr>
            <w:tcW w:w="1231" w:type="dxa"/>
            <w:tcBorders>
              <w:top w:val="single" w:sz="12" w:space="0" w:color="003366"/>
              <w:left w:val="nil"/>
              <w:bottom w:val="single" w:sz="8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0C70B9">
            <w:pPr>
              <w:widowControl/>
              <w:jc w:val="center"/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  <w:t>披露金额的案例总数</w:t>
            </w:r>
          </w:p>
        </w:tc>
        <w:tc>
          <w:tcPr>
            <w:tcW w:w="1417" w:type="dxa"/>
            <w:tcBorders>
              <w:top w:val="single" w:sz="12" w:space="0" w:color="003366"/>
              <w:left w:val="nil"/>
              <w:bottom w:val="single" w:sz="8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0C70B9">
            <w:pPr>
              <w:widowControl/>
              <w:jc w:val="center"/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  <w:t>披露的总额（</w:t>
            </w:r>
            <w:r w:rsidRPr="00E734EB"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  <w:t>US$M</w:t>
            </w:r>
            <w:r w:rsidRPr="00E734EB"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90" w:type="dxa"/>
            <w:tcBorders>
              <w:top w:val="single" w:sz="12" w:space="0" w:color="003366"/>
              <w:left w:val="nil"/>
              <w:bottom w:val="single" w:sz="8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0C70B9">
            <w:pPr>
              <w:widowControl/>
              <w:jc w:val="center"/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  <w:t>比例</w:t>
            </w:r>
          </w:p>
        </w:tc>
        <w:tc>
          <w:tcPr>
            <w:tcW w:w="1834" w:type="dxa"/>
            <w:tcBorders>
              <w:top w:val="single" w:sz="12" w:space="0" w:color="003366"/>
              <w:left w:val="nil"/>
              <w:bottom w:val="single" w:sz="8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0C70B9">
            <w:pPr>
              <w:widowControl/>
              <w:jc w:val="center"/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  <w:t>披露金额案例的平均规模（</w:t>
            </w:r>
            <w:r w:rsidRPr="00E734EB"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  <w:t>US$M</w:t>
            </w:r>
            <w:r w:rsidRPr="00E734EB">
              <w:rPr>
                <w:rFonts w:eastAsiaTheme="minorEastAsia" w:cs="Arial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清洁技术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14.7%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379.28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9.5%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22.31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生物技术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医疗健康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10.3%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561.99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14.0%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46.83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IT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8.6%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467.19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11.6%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51.91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互联网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7.8%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539.51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13.4%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77.07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机械制造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7.8%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250.35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6.2%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27.82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化工原料及加工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5.2%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135.41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22.57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能源及矿产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263.06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6.6%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52.61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房地产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214.65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5.3%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42.93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食品</w:t>
            </w:r>
            <w:r>
              <w:rPr>
                <w:rFonts w:hint="eastAsia"/>
                <w:color w:val="000000"/>
                <w:sz w:val="20"/>
                <w:szCs w:val="20"/>
              </w:rPr>
              <w:t>&amp;</w:t>
            </w:r>
            <w:r>
              <w:rPr>
                <w:rFonts w:hint="eastAsia"/>
                <w:color w:val="000000"/>
                <w:sz w:val="20"/>
                <w:szCs w:val="20"/>
              </w:rPr>
              <w:t>饮料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240.38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6.0%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48.08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52.11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10.42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电信及增值业务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198.00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4.9%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49.50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电子及光电设备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95.69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2.4%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23.92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娱乐传媒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324.61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8.1%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81.15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建筑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工程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31.39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7.85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18.84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9.42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纺织及服装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1.7%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32.81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16.41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汽车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1.7%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28.96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14.48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广播电视及数字电视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1.7%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3.77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3.77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农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林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牧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28.73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28.73 </w:t>
            </w:r>
          </w:p>
        </w:tc>
      </w:tr>
      <w:tr w:rsidR="00872E6D" w:rsidRPr="00E734EB" w:rsidTr="000C4DB2">
        <w:trPr>
          <w:trHeight w:val="287"/>
          <w:jc w:val="center"/>
        </w:trPr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连锁及零售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3.68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3.68 </w:t>
            </w:r>
          </w:p>
        </w:tc>
      </w:tr>
      <w:tr w:rsidR="00872E6D" w:rsidRPr="00E734EB" w:rsidTr="000C4DB2">
        <w:trPr>
          <w:trHeight w:val="302"/>
          <w:jc w:val="center"/>
        </w:trPr>
        <w:tc>
          <w:tcPr>
            <w:tcW w:w="2142" w:type="dxa"/>
            <w:tcBorders>
              <w:top w:val="nil"/>
              <w:left w:val="nil"/>
              <w:bottom w:val="single" w:sz="8" w:space="0" w:color="003366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5.2%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142.53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3.6%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23.76 </w:t>
            </w:r>
          </w:p>
        </w:tc>
      </w:tr>
      <w:tr w:rsidR="00872E6D" w:rsidRPr="00E734EB" w:rsidTr="000C70B9">
        <w:trPr>
          <w:trHeight w:val="302"/>
          <w:jc w:val="center"/>
        </w:trPr>
        <w:tc>
          <w:tcPr>
            <w:tcW w:w="2142" w:type="dxa"/>
            <w:tcBorders>
              <w:top w:val="nil"/>
              <w:left w:val="nil"/>
              <w:bottom w:val="single" w:sz="12" w:space="0" w:color="003366"/>
              <w:right w:val="nil"/>
            </w:tcBorders>
            <w:shd w:val="clear" w:color="auto" w:fill="auto"/>
            <w:noWrap/>
            <w:vAlign w:val="center"/>
          </w:tcPr>
          <w:p w:rsidR="00872E6D" w:rsidRDefault="00872E6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134" w:type="dxa"/>
            <w:tcBorders>
              <w:top w:val="single" w:sz="8" w:space="0" w:color="003366"/>
              <w:left w:val="nil"/>
              <w:bottom w:val="single" w:sz="12" w:space="0" w:color="003366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29" w:type="dxa"/>
            <w:tcBorders>
              <w:top w:val="single" w:sz="8" w:space="0" w:color="003366"/>
              <w:left w:val="nil"/>
              <w:bottom w:val="single" w:sz="12" w:space="0" w:color="003366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231" w:type="dxa"/>
            <w:tcBorders>
              <w:top w:val="single" w:sz="8" w:space="0" w:color="003366"/>
              <w:left w:val="nil"/>
              <w:bottom w:val="single" w:sz="12" w:space="0" w:color="003366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17" w:type="dxa"/>
            <w:tcBorders>
              <w:top w:val="single" w:sz="8" w:space="0" w:color="003366"/>
              <w:left w:val="nil"/>
              <w:bottom w:val="single" w:sz="12" w:space="0" w:color="003366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4,012.94 </w:t>
            </w:r>
          </w:p>
        </w:tc>
        <w:tc>
          <w:tcPr>
            <w:tcW w:w="990" w:type="dxa"/>
            <w:tcBorders>
              <w:top w:val="single" w:sz="8" w:space="0" w:color="003366"/>
              <w:left w:val="nil"/>
              <w:bottom w:val="single" w:sz="12" w:space="0" w:color="003366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834" w:type="dxa"/>
            <w:tcBorders>
              <w:top w:val="single" w:sz="8" w:space="0" w:color="003366"/>
              <w:left w:val="nil"/>
              <w:bottom w:val="single" w:sz="12" w:space="0" w:color="003366"/>
              <w:right w:val="nil"/>
            </w:tcBorders>
            <w:shd w:val="clear" w:color="auto" w:fill="auto"/>
            <w:vAlign w:val="center"/>
          </w:tcPr>
          <w:p w:rsidR="00872E6D" w:rsidRDefault="00872E6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36.15 </w:t>
            </w:r>
          </w:p>
        </w:tc>
      </w:tr>
    </w:tbl>
    <w:p w:rsidR="00473EF4" w:rsidRDefault="007D7050" w:rsidP="00B2679A">
      <w:pPr>
        <w:widowControl/>
        <w:rPr>
          <w:rFonts w:eastAsiaTheme="minorEastAsia" w:cs="Arial"/>
          <w:szCs w:val="21"/>
        </w:rPr>
      </w:pPr>
      <w:r w:rsidRPr="00E734EB">
        <w:rPr>
          <w:rFonts w:eastAsiaTheme="minorEastAsia" w:cs="Arial"/>
          <w:sz w:val="20"/>
        </w:rPr>
        <w:t>来源：私募通</w:t>
      </w:r>
      <w:r w:rsidRPr="00E734EB">
        <w:rPr>
          <w:rFonts w:eastAsiaTheme="minorEastAsia" w:cs="Arial"/>
          <w:sz w:val="20"/>
        </w:rPr>
        <w:t xml:space="preserve"> 201</w:t>
      </w:r>
      <w:r w:rsidR="006D342F">
        <w:rPr>
          <w:rFonts w:eastAsiaTheme="minorEastAsia" w:cs="Arial" w:hint="eastAsia"/>
          <w:sz w:val="20"/>
        </w:rPr>
        <w:t>5</w:t>
      </w:r>
      <w:r w:rsidRPr="00E734EB">
        <w:rPr>
          <w:rFonts w:eastAsiaTheme="minorEastAsia" w:cs="Arial"/>
          <w:sz w:val="20"/>
        </w:rPr>
        <w:t>.</w:t>
      </w:r>
      <w:r w:rsidR="006D342F">
        <w:rPr>
          <w:rFonts w:eastAsiaTheme="minorEastAsia" w:cs="Arial" w:hint="eastAsia"/>
          <w:sz w:val="20"/>
        </w:rPr>
        <w:t>0</w:t>
      </w:r>
      <w:r w:rsidR="00DB61F8">
        <w:rPr>
          <w:rFonts w:eastAsiaTheme="minorEastAsia" w:cs="Arial" w:hint="eastAsia"/>
          <w:sz w:val="20"/>
        </w:rPr>
        <w:t>2</w:t>
      </w:r>
      <w:r w:rsidR="00B2679A">
        <w:rPr>
          <w:rFonts w:eastAsiaTheme="minorEastAsia" w:cs="Arial" w:hint="eastAsia"/>
          <w:sz w:val="20"/>
        </w:rPr>
        <w:t xml:space="preserve">                                                             </w:t>
      </w:r>
      <w:r w:rsidR="00473EF4" w:rsidRPr="006A0514">
        <w:rPr>
          <w:rFonts w:eastAsiaTheme="minorEastAsia" w:cs="Arial"/>
          <w:sz w:val="20"/>
        </w:rPr>
        <w:t>www.pedata.cn</w:t>
      </w:r>
    </w:p>
    <w:p w:rsidR="00473EF4" w:rsidRPr="00473EF4" w:rsidRDefault="00473EF4" w:rsidP="00473EF4">
      <w:pPr>
        <w:widowControl/>
        <w:jc w:val="center"/>
        <w:rPr>
          <w:rStyle w:val="af5"/>
          <w:rFonts w:eastAsiaTheme="minorEastAsia" w:cs="Arial"/>
          <w:b w:val="0"/>
          <w:bCs w:val="0"/>
          <w:szCs w:val="21"/>
        </w:rPr>
      </w:pPr>
    </w:p>
    <w:p w:rsidR="007D7050" w:rsidRPr="00E734EB" w:rsidRDefault="007D7050" w:rsidP="007D7050">
      <w:pPr>
        <w:rPr>
          <w:rStyle w:val="af5"/>
          <w:rFonts w:eastAsiaTheme="minorEastAsia" w:cs="Arial"/>
          <w:szCs w:val="21"/>
        </w:rPr>
      </w:pPr>
      <w:r w:rsidRPr="00E734EB">
        <w:rPr>
          <w:rStyle w:val="af5"/>
          <w:rFonts w:eastAsiaTheme="minorEastAsia" w:cs="Arial"/>
          <w:szCs w:val="21"/>
        </w:rPr>
        <w:t>跨国并购</w:t>
      </w:r>
      <w:r w:rsidR="00BF57C8">
        <w:rPr>
          <w:rStyle w:val="af5"/>
          <w:rFonts w:eastAsiaTheme="minorEastAsia" w:cs="Arial" w:hint="eastAsia"/>
          <w:szCs w:val="21"/>
        </w:rPr>
        <w:t>14</w:t>
      </w:r>
      <w:r w:rsidRPr="00E734EB">
        <w:rPr>
          <w:rStyle w:val="af5"/>
          <w:rFonts w:eastAsiaTheme="minorEastAsia" w:cs="Arial"/>
          <w:szCs w:val="21"/>
        </w:rPr>
        <w:t>起案例</w:t>
      </w:r>
      <w:r w:rsidR="00BF57C8">
        <w:rPr>
          <w:rStyle w:val="af5"/>
          <w:rFonts w:eastAsiaTheme="minorEastAsia" w:cs="Arial" w:hint="eastAsia"/>
          <w:szCs w:val="21"/>
        </w:rPr>
        <w:t>美都能源</w:t>
      </w:r>
      <w:r w:rsidR="00171D8D">
        <w:rPr>
          <w:rStyle w:val="af5"/>
          <w:rFonts w:eastAsiaTheme="minorEastAsia" w:cs="Arial" w:hint="eastAsia"/>
          <w:szCs w:val="21"/>
        </w:rPr>
        <w:t>收购</w:t>
      </w:r>
      <w:r w:rsidR="00BF57C8" w:rsidRPr="00BF57C8">
        <w:rPr>
          <w:rStyle w:val="af5"/>
          <w:rFonts w:hint="eastAsia"/>
        </w:rPr>
        <w:t xml:space="preserve">Manti </w:t>
      </w:r>
      <w:r w:rsidR="00BF57C8" w:rsidRPr="00BF57C8">
        <w:rPr>
          <w:rStyle w:val="af5"/>
          <w:rFonts w:hint="eastAsia"/>
        </w:rPr>
        <w:t>油田</w:t>
      </w:r>
      <w:r w:rsidR="00E71860">
        <w:rPr>
          <w:rStyle w:val="af5"/>
          <w:rFonts w:eastAsiaTheme="minorEastAsia" w:cs="Arial" w:hint="eastAsia"/>
          <w:szCs w:val="21"/>
        </w:rPr>
        <w:t>打入国际</w:t>
      </w:r>
      <w:r w:rsidR="00CE6CEA">
        <w:rPr>
          <w:rStyle w:val="af5"/>
          <w:rFonts w:eastAsiaTheme="minorEastAsia" w:cs="Arial" w:hint="eastAsia"/>
          <w:szCs w:val="21"/>
        </w:rPr>
        <w:t>能源行业</w:t>
      </w:r>
    </w:p>
    <w:p w:rsidR="00B27381" w:rsidRPr="00E734EB" w:rsidRDefault="00B27381" w:rsidP="000570F0">
      <w:pPr>
        <w:spacing w:line="200" w:lineRule="exact"/>
        <w:rPr>
          <w:rStyle w:val="af5"/>
          <w:rFonts w:eastAsiaTheme="minorEastAsia" w:cs="Arial"/>
          <w:szCs w:val="21"/>
        </w:rPr>
      </w:pPr>
    </w:p>
    <w:p w:rsidR="00F143A6" w:rsidRPr="00E71860" w:rsidRDefault="00DB3776" w:rsidP="00DE6E68">
      <w:pPr>
        <w:spacing w:line="360" w:lineRule="exact"/>
        <w:ind w:firstLine="420"/>
        <w:rPr>
          <w:rFonts w:eastAsiaTheme="minorEastAsia" w:cs="Arial"/>
          <w:color w:val="FF0000"/>
          <w:kern w:val="0"/>
          <w:szCs w:val="21"/>
        </w:rPr>
      </w:pPr>
      <w:r w:rsidRPr="00E734EB">
        <w:rPr>
          <w:rFonts w:eastAsiaTheme="minorEastAsia" w:cs="Arial"/>
          <w:kern w:val="0"/>
          <w:szCs w:val="21"/>
        </w:rPr>
        <w:t>根据私募通统计，</w:t>
      </w:r>
      <w:r w:rsidR="006900FC" w:rsidRPr="00E734EB">
        <w:rPr>
          <w:rFonts w:eastAsiaTheme="minorEastAsia" w:cs="Arial"/>
          <w:kern w:val="0"/>
          <w:szCs w:val="21"/>
        </w:rPr>
        <w:t>201</w:t>
      </w:r>
      <w:r w:rsidR="00C223B5">
        <w:rPr>
          <w:rFonts w:eastAsiaTheme="minorEastAsia" w:cs="Arial" w:hint="eastAsia"/>
          <w:kern w:val="0"/>
          <w:szCs w:val="21"/>
        </w:rPr>
        <w:t>5</w:t>
      </w:r>
      <w:r w:rsidR="006900FC" w:rsidRPr="00E734EB">
        <w:rPr>
          <w:rFonts w:eastAsiaTheme="minorEastAsia" w:cs="Arial"/>
          <w:kern w:val="0"/>
          <w:szCs w:val="21"/>
        </w:rPr>
        <w:t>年</w:t>
      </w:r>
      <w:r w:rsidR="00C223B5">
        <w:rPr>
          <w:rFonts w:eastAsiaTheme="minorEastAsia" w:cs="Arial" w:hint="eastAsia"/>
          <w:kern w:val="0"/>
          <w:szCs w:val="21"/>
        </w:rPr>
        <w:t>1</w:t>
      </w:r>
      <w:r w:rsidR="006900FC" w:rsidRPr="00E734EB">
        <w:rPr>
          <w:rFonts w:eastAsiaTheme="minorEastAsia" w:cs="Arial"/>
          <w:kern w:val="0"/>
          <w:szCs w:val="21"/>
        </w:rPr>
        <w:t>月共完成了</w:t>
      </w:r>
      <w:r w:rsidR="00DE6E68">
        <w:rPr>
          <w:rFonts w:eastAsiaTheme="minorEastAsia" w:cs="Arial" w:hint="eastAsia"/>
          <w:kern w:val="0"/>
          <w:szCs w:val="21"/>
        </w:rPr>
        <w:t>14</w:t>
      </w:r>
      <w:r w:rsidR="006900FC" w:rsidRPr="00126847">
        <w:rPr>
          <w:rFonts w:eastAsiaTheme="minorEastAsia" w:cs="Arial"/>
          <w:kern w:val="0"/>
          <w:szCs w:val="21"/>
        </w:rPr>
        <w:t>起跨国并购，</w:t>
      </w:r>
      <w:r w:rsidR="006A0514">
        <w:rPr>
          <w:rFonts w:eastAsiaTheme="minorEastAsia" w:cs="Arial" w:hint="eastAsia"/>
          <w:kern w:val="0"/>
          <w:szCs w:val="21"/>
        </w:rPr>
        <w:t>披露交易金额</w:t>
      </w:r>
      <w:r w:rsidR="00DE6E68">
        <w:rPr>
          <w:rFonts w:eastAsiaTheme="minorEastAsia" w:cs="Arial" w:hint="eastAsia"/>
          <w:kern w:val="0"/>
          <w:szCs w:val="21"/>
        </w:rPr>
        <w:t>12</w:t>
      </w:r>
      <w:r w:rsidR="00E528A1">
        <w:rPr>
          <w:rFonts w:eastAsiaTheme="minorEastAsia" w:cs="Arial" w:hint="eastAsia"/>
          <w:kern w:val="0"/>
          <w:szCs w:val="21"/>
        </w:rPr>
        <w:t>起</w:t>
      </w:r>
      <w:r w:rsidR="006A0514">
        <w:rPr>
          <w:rFonts w:eastAsiaTheme="minorEastAsia" w:cs="Arial" w:hint="eastAsia"/>
          <w:kern w:val="0"/>
          <w:szCs w:val="21"/>
        </w:rPr>
        <w:t>，其中</w:t>
      </w:r>
      <w:r w:rsidR="0074320A" w:rsidRPr="00126847">
        <w:rPr>
          <w:rFonts w:eastAsiaTheme="minorEastAsia" w:cs="Arial"/>
          <w:kern w:val="0"/>
          <w:szCs w:val="21"/>
        </w:rPr>
        <w:t>海外并购</w:t>
      </w:r>
      <w:r w:rsidR="00DE6E68">
        <w:rPr>
          <w:rFonts w:eastAsiaTheme="minorEastAsia" w:cs="Arial" w:hint="eastAsia"/>
          <w:kern w:val="0"/>
          <w:szCs w:val="21"/>
        </w:rPr>
        <w:t>9</w:t>
      </w:r>
      <w:r w:rsidR="0074320A" w:rsidRPr="00126847">
        <w:rPr>
          <w:rFonts w:eastAsiaTheme="minorEastAsia" w:cs="Arial"/>
          <w:kern w:val="0"/>
          <w:szCs w:val="21"/>
        </w:rPr>
        <w:t>起，披露金额是</w:t>
      </w:r>
      <w:r w:rsidR="00DE6E68">
        <w:rPr>
          <w:rFonts w:eastAsiaTheme="minorEastAsia" w:cs="Arial" w:hint="eastAsia"/>
          <w:kern w:val="0"/>
          <w:szCs w:val="21"/>
        </w:rPr>
        <w:t>3.10</w:t>
      </w:r>
      <w:r w:rsidR="0074320A" w:rsidRPr="00126847">
        <w:rPr>
          <w:rFonts w:eastAsiaTheme="minorEastAsia" w:cs="Arial"/>
          <w:kern w:val="0"/>
          <w:szCs w:val="21"/>
        </w:rPr>
        <w:t>亿美元</w:t>
      </w:r>
      <w:r w:rsidR="0074320A" w:rsidRPr="00126847">
        <w:rPr>
          <w:rFonts w:eastAsiaTheme="minorEastAsia" w:cs="Arial" w:hint="eastAsia"/>
          <w:kern w:val="0"/>
          <w:szCs w:val="21"/>
        </w:rPr>
        <w:t>；外资并购</w:t>
      </w:r>
      <w:r w:rsidR="00E528A1">
        <w:rPr>
          <w:rFonts w:eastAsiaTheme="minorEastAsia" w:cs="Arial" w:hint="eastAsia"/>
          <w:kern w:val="0"/>
          <w:szCs w:val="21"/>
        </w:rPr>
        <w:t>3</w:t>
      </w:r>
      <w:r w:rsidR="0074320A" w:rsidRPr="00126847">
        <w:rPr>
          <w:rFonts w:eastAsiaTheme="minorEastAsia" w:cs="Arial" w:hint="eastAsia"/>
          <w:kern w:val="0"/>
          <w:szCs w:val="21"/>
        </w:rPr>
        <w:t>起，披露</w:t>
      </w:r>
      <w:r w:rsidR="0074320A">
        <w:rPr>
          <w:rFonts w:eastAsiaTheme="minorEastAsia" w:cs="Arial" w:hint="eastAsia"/>
          <w:kern w:val="0"/>
          <w:szCs w:val="21"/>
        </w:rPr>
        <w:t>金额是</w:t>
      </w:r>
      <w:r w:rsidR="00C223B5">
        <w:rPr>
          <w:rFonts w:eastAsiaTheme="minorEastAsia" w:cs="Arial" w:hint="eastAsia"/>
          <w:kern w:val="0"/>
          <w:szCs w:val="21"/>
        </w:rPr>
        <w:t>7633.00</w:t>
      </w:r>
      <w:r w:rsidR="005805A1">
        <w:rPr>
          <w:rFonts w:eastAsiaTheme="minorEastAsia" w:cs="Arial" w:hint="eastAsia"/>
          <w:kern w:val="0"/>
          <w:szCs w:val="21"/>
        </w:rPr>
        <w:t>万</w:t>
      </w:r>
      <w:r w:rsidR="0074320A">
        <w:rPr>
          <w:rFonts w:eastAsiaTheme="minorEastAsia" w:cs="Arial" w:hint="eastAsia"/>
          <w:kern w:val="0"/>
          <w:szCs w:val="21"/>
        </w:rPr>
        <w:t>美元。</w:t>
      </w:r>
      <w:r w:rsidR="00DE6E68" w:rsidRPr="00DE6E68">
        <w:rPr>
          <w:rFonts w:eastAsiaTheme="minorEastAsia" w:cs="Arial" w:hint="eastAsia"/>
          <w:kern w:val="0"/>
          <w:szCs w:val="21"/>
        </w:rPr>
        <w:t>美都能源股份有限公司（下称“美</w:t>
      </w:r>
      <w:r w:rsidR="00DE6E68" w:rsidRPr="00DE6E68">
        <w:rPr>
          <w:rFonts w:eastAsiaTheme="minorEastAsia" w:cs="Arial" w:hint="eastAsia"/>
          <w:kern w:val="0"/>
          <w:szCs w:val="21"/>
        </w:rPr>
        <w:lastRenderedPageBreak/>
        <w:t>都能源”）</w:t>
      </w:r>
      <w:r w:rsidR="00D47DAA" w:rsidRPr="00DE6E68">
        <w:rPr>
          <w:rFonts w:eastAsiaTheme="minorEastAsia" w:cs="Arial" w:hint="eastAsia"/>
          <w:kern w:val="0"/>
          <w:szCs w:val="21"/>
        </w:rPr>
        <w:t>收购</w:t>
      </w:r>
      <w:r w:rsidR="00DE6E68" w:rsidRPr="00DE6E68">
        <w:rPr>
          <w:rFonts w:eastAsiaTheme="minorEastAsia" w:cs="Arial" w:hint="eastAsia"/>
          <w:kern w:val="0"/>
          <w:szCs w:val="21"/>
        </w:rPr>
        <w:t>美国德克萨斯州</w:t>
      </w:r>
      <w:r w:rsidR="00DE6E68" w:rsidRPr="00DE6E68">
        <w:rPr>
          <w:rFonts w:eastAsiaTheme="minorEastAsia" w:cs="Arial" w:hint="eastAsia"/>
          <w:kern w:val="0"/>
          <w:szCs w:val="21"/>
        </w:rPr>
        <w:t>Manti</w:t>
      </w:r>
      <w:r w:rsidR="00DE6E68" w:rsidRPr="00DE6E68">
        <w:rPr>
          <w:rFonts w:eastAsiaTheme="minorEastAsia" w:cs="Arial" w:hint="eastAsia"/>
          <w:kern w:val="0"/>
          <w:szCs w:val="21"/>
        </w:rPr>
        <w:t>油田资产（下称“</w:t>
      </w:r>
      <w:r w:rsidR="00DE6E68" w:rsidRPr="00DE6E68">
        <w:rPr>
          <w:rFonts w:eastAsiaTheme="minorEastAsia" w:cs="Arial" w:hint="eastAsia"/>
          <w:kern w:val="0"/>
          <w:szCs w:val="21"/>
        </w:rPr>
        <w:t xml:space="preserve">Manti </w:t>
      </w:r>
      <w:r w:rsidR="00DE6E68" w:rsidRPr="00DE6E68">
        <w:rPr>
          <w:rFonts w:eastAsiaTheme="minorEastAsia" w:cs="Arial" w:hint="eastAsia"/>
          <w:kern w:val="0"/>
          <w:szCs w:val="21"/>
        </w:rPr>
        <w:t>油田”）</w:t>
      </w:r>
      <w:r w:rsidR="00D47DAA" w:rsidRPr="00DE6E68">
        <w:rPr>
          <w:rFonts w:eastAsiaTheme="minorEastAsia" w:cs="Arial" w:hint="eastAsia"/>
          <w:kern w:val="0"/>
          <w:szCs w:val="21"/>
        </w:rPr>
        <w:t>，交易金额是</w:t>
      </w:r>
      <w:r w:rsidR="00DE6E68" w:rsidRPr="00DE6E68">
        <w:rPr>
          <w:rFonts w:eastAsiaTheme="minorEastAsia" w:cs="Arial" w:hint="eastAsia"/>
          <w:kern w:val="0"/>
          <w:szCs w:val="21"/>
        </w:rPr>
        <w:t>1.41</w:t>
      </w:r>
      <w:r w:rsidR="00D47DAA" w:rsidRPr="00DE6E68">
        <w:rPr>
          <w:rFonts w:eastAsiaTheme="minorEastAsia" w:cs="Arial" w:hint="eastAsia"/>
          <w:kern w:val="0"/>
          <w:szCs w:val="21"/>
        </w:rPr>
        <w:t>亿美元。</w:t>
      </w:r>
      <w:r w:rsidR="00DE6E68" w:rsidRPr="00DE6E68">
        <w:rPr>
          <w:rFonts w:eastAsiaTheme="minorEastAsia" w:cs="Arial" w:hint="eastAsia"/>
          <w:kern w:val="0"/>
          <w:szCs w:val="21"/>
        </w:rPr>
        <w:t>鉴于石油、天然气在世界能源市场的重要地位和美国良好的投资环境，美都能源认为此次交易对开拓新的盈利增长点、改善公司盈利、提高公司的市场地位及影响力具有重要作用。收购完成后，本公司将对该油田区块进行整体开发，以扩大公司在能源产业的市场规模，增强公司盈利能力。</w:t>
      </w:r>
    </w:p>
    <w:p w:rsidR="00FF1486" w:rsidRPr="00E734EB" w:rsidRDefault="00FF1486" w:rsidP="000570F0">
      <w:pPr>
        <w:tabs>
          <w:tab w:val="left" w:pos="3686"/>
          <w:tab w:val="left" w:pos="5954"/>
        </w:tabs>
        <w:spacing w:line="200" w:lineRule="exact"/>
        <w:rPr>
          <w:rFonts w:eastAsiaTheme="minorEastAsia" w:cs="Arial"/>
          <w:color w:val="FF0000"/>
          <w:kern w:val="0"/>
          <w:szCs w:val="21"/>
        </w:rPr>
      </w:pPr>
    </w:p>
    <w:p w:rsidR="007D7050" w:rsidRPr="00E734EB" w:rsidRDefault="007D7050" w:rsidP="007D7050">
      <w:pPr>
        <w:tabs>
          <w:tab w:val="left" w:pos="3686"/>
          <w:tab w:val="left" w:pos="5954"/>
        </w:tabs>
        <w:spacing w:line="440" w:lineRule="exact"/>
        <w:rPr>
          <w:rFonts w:eastAsiaTheme="minorEastAsia" w:cs="Arial"/>
          <w:b/>
          <w:bCs/>
          <w:kern w:val="0"/>
          <w:szCs w:val="21"/>
        </w:rPr>
      </w:pPr>
      <w:r w:rsidRPr="00E734EB">
        <w:rPr>
          <w:rFonts w:eastAsiaTheme="minorEastAsia" w:cs="Arial"/>
          <w:b/>
          <w:kern w:val="0"/>
          <w:sz w:val="20"/>
          <w:szCs w:val="20"/>
        </w:rPr>
        <w:t>表</w:t>
      </w:r>
      <w:r w:rsidRPr="00E734EB">
        <w:rPr>
          <w:rFonts w:eastAsiaTheme="minorEastAsia" w:cs="Arial"/>
          <w:b/>
          <w:kern w:val="0"/>
          <w:sz w:val="20"/>
          <w:szCs w:val="20"/>
        </w:rPr>
        <w:t>3  201</w:t>
      </w:r>
      <w:r w:rsidR="00872E6D">
        <w:rPr>
          <w:rFonts w:eastAsiaTheme="minorEastAsia" w:cs="Arial" w:hint="eastAsia"/>
          <w:b/>
          <w:kern w:val="0"/>
          <w:sz w:val="20"/>
          <w:szCs w:val="20"/>
        </w:rPr>
        <w:t>5</w:t>
      </w:r>
      <w:r w:rsidRPr="00E734EB">
        <w:rPr>
          <w:rFonts w:eastAsiaTheme="minorEastAsia" w:cs="Arial"/>
          <w:b/>
          <w:kern w:val="0"/>
          <w:sz w:val="20"/>
          <w:szCs w:val="20"/>
        </w:rPr>
        <w:t>年</w:t>
      </w:r>
      <w:r w:rsidR="00872E6D">
        <w:rPr>
          <w:rFonts w:eastAsiaTheme="minorEastAsia" w:cs="Arial" w:hint="eastAsia"/>
          <w:b/>
          <w:kern w:val="0"/>
          <w:sz w:val="20"/>
          <w:szCs w:val="20"/>
        </w:rPr>
        <w:t>1</w:t>
      </w:r>
      <w:r w:rsidRPr="00E734EB">
        <w:rPr>
          <w:rFonts w:eastAsiaTheme="minorEastAsia" w:cs="Arial"/>
          <w:b/>
          <w:kern w:val="0"/>
          <w:sz w:val="20"/>
          <w:szCs w:val="20"/>
        </w:rPr>
        <w:t>月跨国并购案例列表去除关联交易</w:t>
      </w:r>
    </w:p>
    <w:tbl>
      <w:tblPr>
        <w:tblW w:w="9749" w:type="dxa"/>
        <w:tblInd w:w="93" w:type="dxa"/>
        <w:tblLook w:val="04A0"/>
      </w:tblPr>
      <w:tblGrid>
        <w:gridCol w:w="1716"/>
        <w:gridCol w:w="1985"/>
        <w:gridCol w:w="2693"/>
        <w:gridCol w:w="1993"/>
        <w:gridCol w:w="1362"/>
      </w:tblGrid>
      <w:tr w:rsidR="007D7050" w:rsidRPr="00E734EB" w:rsidTr="008E4F11">
        <w:trPr>
          <w:trHeight w:val="294"/>
        </w:trPr>
        <w:tc>
          <w:tcPr>
            <w:tcW w:w="3701" w:type="dxa"/>
            <w:gridSpan w:val="2"/>
            <w:tcBorders>
              <w:top w:val="single" w:sz="12" w:space="0" w:color="003366"/>
              <w:left w:val="nil"/>
              <w:bottom w:val="single" w:sz="8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8E4F11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并购方</w:t>
            </w:r>
          </w:p>
        </w:tc>
        <w:tc>
          <w:tcPr>
            <w:tcW w:w="4686" w:type="dxa"/>
            <w:gridSpan w:val="2"/>
            <w:tcBorders>
              <w:top w:val="single" w:sz="12" w:space="0" w:color="003366"/>
              <w:left w:val="nil"/>
              <w:bottom w:val="single" w:sz="8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8E4F11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被并购方</w:t>
            </w:r>
          </w:p>
        </w:tc>
        <w:tc>
          <w:tcPr>
            <w:tcW w:w="1362" w:type="dxa"/>
            <w:vMerge w:val="restart"/>
            <w:tcBorders>
              <w:top w:val="single" w:sz="12" w:space="0" w:color="003366"/>
              <w:left w:val="nil"/>
              <w:bottom w:val="single" w:sz="12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8E4F11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并购金额</w:t>
            </w: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(US$M)</w:t>
            </w:r>
          </w:p>
        </w:tc>
      </w:tr>
      <w:tr w:rsidR="007D7050" w:rsidRPr="00E734EB" w:rsidTr="008E4F11">
        <w:trPr>
          <w:trHeight w:val="279"/>
        </w:trPr>
        <w:tc>
          <w:tcPr>
            <w:tcW w:w="1716" w:type="dxa"/>
            <w:tcBorders>
              <w:top w:val="nil"/>
              <w:left w:val="nil"/>
              <w:bottom w:val="single" w:sz="12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8E4F11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8E4F11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行业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8E4F11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12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8E4F11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行业</w:t>
            </w:r>
          </w:p>
        </w:tc>
        <w:tc>
          <w:tcPr>
            <w:tcW w:w="1362" w:type="dxa"/>
            <w:vMerge/>
            <w:tcBorders>
              <w:top w:val="single" w:sz="12" w:space="0" w:color="003366"/>
              <w:left w:val="nil"/>
              <w:bottom w:val="single" w:sz="12" w:space="0" w:color="003366"/>
              <w:right w:val="nil"/>
            </w:tcBorders>
            <w:vAlign w:val="center"/>
            <w:hideMark/>
          </w:tcPr>
          <w:p w:rsidR="007D7050" w:rsidRPr="00E734EB" w:rsidRDefault="007D7050" w:rsidP="008E4F11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6E68" w:rsidRPr="00E734EB" w:rsidTr="008E4F11">
        <w:trPr>
          <w:trHeight w:val="27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美都能源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房地产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Manti </w:t>
            </w:r>
            <w:r>
              <w:rPr>
                <w:rFonts w:hint="eastAsia"/>
                <w:sz w:val="20"/>
                <w:szCs w:val="20"/>
              </w:rPr>
              <w:t>油田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能源及矿产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141.00 </w:t>
            </w:r>
          </w:p>
        </w:tc>
      </w:tr>
      <w:tr w:rsidR="00DE6E68" w:rsidRPr="00E734EB" w:rsidTr="008E4F11">
        <w:trPr>
          <w:trHeight w:val="27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紫金矿业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能源及矿产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普瑞提姆资源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能源及矿产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67.50 </w:t>
            </w:r>
          </w:p>
        </w:tc>
      </w:tr>
      <w:tr w:rsidR="00DE6E68" w:rsidRPr="00E734EB" w:rsidTr="008E4F11">
        <w:trPr>
          <w:trHeight w:val="27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房地产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马德里竞技俱乐部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娱乐传媒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52.44 </w:t>
            </w:r>
          </w:p>
        </w:tc>
      </w:tr>
      <w:tr w:rsidR="00DE6E68" w:rsidRPr="00E734EB" w:rsidTr="008E4F11">
        <w:trPr>
          <w:trHeight w:val="27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中国支付通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互联网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微科睿思</w:t>
            </w:r>
            <w:proofErr w:type="gramEnd"/>
            <w:r>
              <w:rPr>
                <w:rFonts w:hint="eastAsia"/>
                <w:sz w:val="20"/>
                <w:szCs w:val="20"/>
              </w:rPr>
              <w:t>在线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互联网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50.83 </w:t>
            </w:r>
          </w:p>
        </w:tc>
      </w:tr>
      <w:tr w:rsidR="00DE6E68" w:rsidRPr="00E734EB" w:rsidTr="008E4F11">
        <w:trPr>
          <w:trHeight w:val="27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歌尔声学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电子及光电设备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越南歌尔电子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电子及光电设备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32.00 </w:t>
            </w:r>
          </w:p>
        </w:tc>
      </w:tr>
      <w:tr w:rsidR="00DE6E68" w:rsidRPr="00E734EB" w:rsidTr="008E4F11">
        <w:trPr>
          <w:trHeight w:val="27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汉传媒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娱乐传媒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Post Production Office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娱乐传媒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15.80 </w:t>
            </w:r>
          </w:p>
        </w:tc>
      </w:tr>
      <w:tr w:rsidR="00DE6E68" w:rsidRPr="00E734EB" w:rsidTr="008E4F11">
        <w:trPr>
          <w:trHeight w:val="27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大洋电机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机械制造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Prestolite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Electric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汽车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13.67 </w:t>
            </w:r>
          </w:p>
        </w:tc>
      </w:tr>
      <w:tr w:rsidR="00DE6E68" w:rsidRPr="00E734EB" w:rsidTr="008E4F11">
        <w:trPr>
          <w:trHeight w:val="27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智昇亚洲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瀚</w:t>
            </w:r>
            <w:proofErr w:type="gramEnd"/>
            <w:r>
              <w:rPr>
                <w:rFonts w:hint="eastAsia"/>
                <w:sz w:val="20"/>
                <w:szCs w:val="20"/>
              </w:rPr>
              <w:t>洋物流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物流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9.70 </w:t>
            </w:r>
          </w:p>
        </w:tc>
      </w:tr>
      <w:tr w:rsidR="00DE6E68" w:rsidRPr="00E734EB" w:rsidTr="008E4F11">
        <w:trPr>
          <w:trHeight w:val="279"/>
        </w:trPr>
        <w:tc>
          <w:tcPr>
            <w:tcW w:w="1716" w:type="dxa"/>
            <w:tcBorders>
              <w:top w:val="nil"/>
              <w:left w:val="nil"/>
              <w:bottom w:val="single" w:sz="12" w:space="0" w:color="003366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</w:t>
            </w:r>
            <w:proofErr w:type="gramStart"/>
            <w:r>
              <w:rPr>
                <w:rFonts w:hint="eastAsia"/>
                <w:sz w:val="20"/>
                <w:szCs w:val="20"/>
              </w:rPr>
              <w:t>国交建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3366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工程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003366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香港海事建设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12" w:space="0" w:color="003366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工程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12" w:space="0" w:color="003366"/>
              <w:right w:val="nil"/>
            </w:tcBorders>
            <w:shd w:val="clear" w:color="auto" w:fill="auto"/>
            <w:noWrap/>
            <w:vAlign w:val="center"/>
          </w:tcPr>
          <w:p w:rsidR="00DE6E68" w:rsidRDefault="00DE6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2.54 </w:t>
            </w:r>
          </w:p>
        </w:tc>
      </w:tr>
    </w:tbl>
    <w:p w:rsidR="00505B0E" w:rsidRPr="00A445A4" w:rsidRDefault="007D7050" w:rsidP="00B2679A">
      <w:pPr>
        <w:widowControl/>
        <w:rPr>
          <w:rFonts w:eastAsiaTheme="minorEastAsia" w:cs="Arial"/>
          <w:sz w:val="20"/>
        </w:rPr>
      </w:pPr>
      <w:r w:rsidRPr="00E734EB">
        <w:rPr>
          <w:rFonts w:eastAsiaTheme="minorEastAsia" w:cs="Arial"/>
          <w:sz w:val="20"/>
        </w:rPr>
        <w:t>来源：私募通</w:t>
      </w:r>
      <w:r w:rsidRPr="00E734EB">
        <w:rPr>
          <w:rFonts w:eastAsiaTheme="minorEastAsia" w:cs="Arial"/>
          <w:sz w:val="20"/>
        </w:rPr>
        <w:t xml:space="preserve"> 201</w:t>
      </w:r>
      <w:r w:rsidR="006D342F">
        <w:rPr>
          <w:rFonts w:eastAsiaTheme="minorEastAsia" w:cs="Arial" w:hint="eastAsia"/>
          <w:sz w:val="20"/>
        </w:rPr>
        <w:t>5</w:t>
      </w:r>
      <w:r w:rsidRPr="00E734EB">
        <w:rPr>
          <w:rFonts w:eastAsiaTheme="minorEastAsia" w:cs="Arial"/>
          <w:sz w:val="20"/>
        </w:rPr>
        <w:t>.</w:t>
      </w:r>
      <w:r w:rsidR="006D342F">
        <w:rPr>
          <w:rFonts w:eastAsiaTheme="minorEastAsia" w:cs="Arial" w:hint="eastAsia"/>
          <w:sz w:val="20"/>
        </w:rPr>
        <w:t>0</w:t>
      </w:r>
      <w:r w:rsidR="00DB61F8">
        <w:rPr>
          <w:rFonts w:eastAsiaTheme="minorEastAsia" w:cs="Arial" w:hint="eastAsia"/>
          <w:sz w:val="20"/>
        </w:rPr>
        <w:t>2</w:t>
      </w:r>
      <w:r w:rsidR="00335996" w:rsidRPr="00E734EB">
        <w:rPr>
          <w:rFonts w:eastAsiaTheme="minorEastAsia" w:cs="Arial"/>
          <w:sz w:val="20"/>
        </w:rPr>
        <w:t xml:space="preserve">    </w:t>
      </w:r>
      <w:r w:rsidR="00B2679A">
        <w:rPr>
          <w:rFonts w:eastAsiaTheme="minorEastAsia" w:cs="Arial" w:hint="eastAsia"/>
          <w:sz w:val="20"/>
        </w:rPr>
        <w:t xml:space="preserve">                                                  </w:t>
      </w:r>
      <w:r w:rsidR="00335996" w:rsidRPr="00E734EB">
        <w:rPr>
          <w:rFonts w:eastAsiaTheme="minorEastAsia" w:cs="Arial"/>
          <w:sz w:val="20"/>
        </w:rPr>
        <w:t xml:space="preserve">        www.pedata.cn</w:t>
      </w:r>
    </w:p>
    <w:p w:rsidR="00FA5D44" w:rsidRDefault="00FA5D44" w:rsidP="000570F0">
      <w:pPr>
        <w:tabs>
          <w:tab w:val="left" w:pos="5670"/>
        </w:tabs>
        <w:spacing w:line="200" w:lineRule="exact"/>
        <w:rPr>
          <w:rFonts w:eastAsiaTheme="minorEastAsia" w:cs="Arial"/>
          <w:b/>
          <w:kern w:val="0"/>
          <w:szCs w:val="21"/>
        </w:rPr>
      </w:pPr>
    </w:p>
    <w:p w:rsidR="007D7050" w:rsidRPr="00DB61F8" w:rsidRDefault="007D7050" w:rsidP="007D7050">
      <w:pPr>
        <w:tabs>
          <w:tab w:val="left" w:pos="5670"/>
        </w:tabs>
        <w:rPr>
          <w:rFonts w:eastAsiaTheme="minorEastAsia" w:cs="Arial"/>
          <w:b/>
          <w:color w:val="FF0000"/>
          <w:kern w:val="0"/>
          <w:szCs w:val="21"/>
        </w:rPr>
      </w:pPr>
      <w:r w:rsidRPr="00E734EB">
        <w:rPr>
          <w:rFonts w:eastAsiaTheme="minorEastAsia" w:cs="Arial"/>
          <w:b/>
          <w:kern w:val="0"/>
          <w:szCs w:val="21"/>
        </w:rPr>
        <w:t>VC/PE</w:t>
      </w:r>
      <w:r w:rsidRPr="00E734EB">
        <w:rPr>
          <w:rFonts w:eastAsiaTheme="minorEastAsia" w:cs="Arial"/>
          <w:b/>
          <w:kern w:val="0"/>
          <w:szCs w:val="21"/>
        </w:rPr>
        <w:t>支持并购案例</w:t>
      </w:r>
      <w:r w:rsidR="00D745D9">
        <w:rPr>
          <w:rFonts w:eastAsiaTheme="minorEastAsia" w:cs="Arial" w:hint="eastAsia"/>
          <w:b/>
          <w:kern w:val="0"/>
          <w:szCs w:val="21"/>
        </w:rPr>
        <w:t>56</w:t>
      </w:r>
      <w:r w:rsidRPr="00E734EB">
        <w:rPr>
          <w:rFonts w:eastAsiaTheme="minorEastAsia" w:cs="Arial"/>
          <w:b/>
          <w:kern w:val="0"/>
          <w:szCs w:val="21"/>
        </w:rPr>
        <w:t>起</w:t>
      </w:r>
      <w:r w:rsidR="00B2679A">
        <w:rPr>
          <w:rFonts w:eastAsiaTheme="minorEastAsia" w:cs="Arial" w:hint="eastAsia"/>
          <w:b/>
          <w:kern w:val="0"/>
          <w:szCs w:val="21"/>
        </w:rPr>
        <w:t xml:space="preserve"> </w:t>
      </w:r>
      <w:proofErr w:type="gramStart"/>
      <w:r w:rsidR="00BF57C8" w:rsidRPr="00BF57C8">
        <w:rPr>
          <w:rFonts w:eastAsiaTheme="minorEastAsia" w:cs="Arial" w:hint="eastAsia"/>
          <w:b/>
          <w:kern w:val="0"/>
          <w:szCs w:val="21"/>
        </w:rPr>
        <w:t>省广股份</w:t>
      </w:r>
      <w:proofErr w:type="gramEnd"/>
      <w:r w:rsidR="00CE6CEA" w:rsidRPr="00BF57C8">
        <w:rPr>
          <w:rFonts w:eastAsiaTheme="minorEastAsia" w:cs="Arial" w:hint="eastAsia"/>
          <w:b/>
          <w:kern w:val="0"/>
          <w:szCs w:val="21"/>
        </w:rPr>
        <w:t>全资控股</w:t>
      </w:r>
      <w:proofErr w:type="gramStart"/>
      <w:r w:rsidR="00BF57C8" w:rsidRPr="00BF57C8">
        <w:rPr>
          <w:rFonts w:eastAsiaTheme="minorEastAsia" w:cs="Arial" w:hint="eastAsia"/>
          <w:b/>
          <w:kern w:val="0"/>
          <w:szCs w:val="21"/>
        </w:rPr>
        <w:t>雅润传播</w:t>
      </w:r>
      <w:proofErr w:type="gramEnd"/>
      <w:r w:rsidR="00BF57C8" w:rsidRPr="00BF57C8">
        <w:rPr>
          <w:rFonts w:eastAsiaTheme="minorEastAsia" w:cs="Arial" w:hint="eastAsia"/>
          <w:b/>
          <w:kern w:val="0"/>
          <w:szCs w:val="21"/>
        </w:rPr>
        <w:t>扩大业务规模</w:t>
      </w:r>
    </w:p>
    <w:p w:rsidR="007D7050" w:rsidRPr="00E734EB" w:rsidRDefault="007D7050" w:rsidP="002F0C48">
      <w:pPr>
        <w:tabs>
          <w:tab w:val="left" w:pos="5670"/>
        </w:tabs>
        <w:spacing w:line="240" w:lineRule="exact"/>
        <w:rPr>
          <w:rFonts w:eastAsiaTheme="minorEastAsia" w:cs="Arial"/>
          <w:b/>
          <w:kern w:val="0"/>
          <w:szCs w:val="21"/>
        </w:rPr>
      </w:pPr>
    </w:p>
    <w:p w:rsidR="00291362" w:rsidRPr="00D745D9" w:rsidRDefault="00E528A1" w:rsidP="00D745D9">
      <w:pPr>
        <w:spacing w:line="360" w:lineRule="exact"/>
        <w:ind w:firstLineChars="200" w:firstLine="420"/>
        <w:rPr>
          <w:rFonts w:eastAsiaTheme="minorEastAsia" w:cs="Arial"/>
          <w:kern w:val="0"/>
          <w:szCs w:val="21"/>
        </w:rPr>
      </w:pPr>
      <w:r>
        <w:rPr>
          <w:rFonts w:eastAsiaTheme="minorEastAsia" w:cs="Arial" w:hint="eastAsia"/>
          <w:kern w:val="0"/>
          <w:szCs w:val="21"/>
        </w:rPr>
        <w:t>1</w:t>
      </w:r>
      <w:r w:rsidR="00DB3776" w:rsidRPr="00E734EB">
        <w:rPr>
          <w:rFonts w:eastAsiaTheme="minorEastAsia" w:cs="Arial"/>
          <w:kern w:val="0"/>
          <w:szCs w:val="21"/>
        </w:rPr>
        <w:t>月</w:t>
      </w:r>
      <w:r w:rsidR="006900FC" w:rsidRPr="00E734EB">
        <w:rPr>
          <w:rFonts w:eastAsiaTheme="minorEastAsia" w:cs="Arial"/>
          <w:kern w:val="0"/>
          <w:szCs w:val="21"/>
        </w:rPr>
        <w:t>有</w:t>
      </w:r>
      <w:r w:rsidR="006900FC" w:rsidRPr="00E734EB">
        <w:rPr>
          <w:rFonts w:eastAsiaTheme="minorEastAsia" w:cs="Arial"/>
          <w:kern w:val="0"/>
          <w:szCs w:val="21"/>
        </w:rPr>
        <w:t>VC/PE</w:t>
      </w:r>
      <w:r w:rsidR="006900FC" w:rsidRPr="00E734EB">
        <w:rPr>
          <w:rFonts w:eastAsiaTheme="minorEastAsia" w:cs="Arial"/>
          <w:kern w:val="0"/>
          <w:szCs w:val="21"/>
        </w:rPr>
        <w:t>支持的并购案例共有</w:t>
      </w:r>
      <w:r w:rsidR="00D745D9">
        <w:rPr>
          <w:rFonts w:eastAsiaTheme="minorEastAsia" w:cs="Arial" w:hint="eastAsia"/>
          <w:kern w:val="0"/>
          <w:szCs w:val="21"/>
        </w:rPr>
        <w:t>56</w:t>
      </w:r>
      <w:r w:rsidR="006900FC" w:rsidRPr="00E734EB">
        <w:rPr>
          <w:rFonts w:eastAsiaTheme="minorEastAsia" w:cs="Arial"/>
          <w:kern w:val="0"/>
          <w:szCs w:val="21"/>
        </w:rPr>
        <w:t>起，</w:t>
      </w:r>
      <w:r w:rsidR="006900FC" w:rsidRPr="00D745D9">
        <w:rPr>
          <w:rFonts w:eastAsiaTheme="minorEastAsia" w:cs="Arial"/>
          <w:kern w:val="0"/>
          <w:szCs w:val="21"/>
        </w:rPr>
        <w:t>涉及</w:t>
      </w:r>
      <w:r w:rsidRPr="00D745D9">
        <w:rPr>
          <w:rFonts w:eastAsiaTheme="minorEastAsia" w:cs="Arial" w:hint="eastAsia"/>
          <w:kern w:val="0"/>
          <w:szCs w:val="21"/>
        </w:rPr>
        <w:t>IT</w:t>
      </w:r>
      <w:r w:rsidRPr="00D745D9">
        <w:rPr>
          <w:rFonts w:eastAsiaTheme="minorEastAsia" w:cs="Arial" w:hint="eastAsia"/>
          <w:kern w:val="0"/>
          <w:szCs w:val="21"/>
        </w:rPr>
        <w:t>、电信及增值业务</w:t>
      </w:r>
      <w:r w:rsidR="006900FC" w:rsidRPr="00D745D9">
        <w:rPr>
          <w:rFonts w:eastAsiaTheme="minorEastAsia" w:cs="Arial"/>
          <w:kern w:val="0"/>
          <w:szCs w:val="21"/>
        </w:rPr>
        <w:t>、</w:t>
      </w:r>
      <w:r w:rsidRPr="00D745D9">
        <w:rPr>
          <w:rFonts w:eastAsiaTheme="minorEastAsia" w:cs="Arial" w:hint="eastAsia"/>
          <w:kern w:val="0"/>
          <w:szCs w:val="21"/>
        </w:rPr>
        <w:t>电子及光电设备</w:t>
      </w:r>
      <w:r w:rsidR="006900FC" w:rsidRPr="00D745D9">
        <w:rPr>
          <w:rFonts w:eastAsiaTheme="minorEastAsia" w:cs="Arial"/>
          <w:kern w:val="0"/>
          <w:szCs w:val="21"/>
        </w:rPr>
        <w:t>、</w:t>
      </w:r>
      <w:r w:rsidRPr="00D745D9">
        <w:rPr>
          <w:rFonts w:eastAsiaTheme="minorEastAsia" w:cs="Arial" w:hint="eastAsia"/>
          <w:kern w:val="0"/>
          <w:szCs w:val="21"/>
        </w:rPr>
        <w:t>房地产</w:t>
      </w:r>
      <w:r w:rsidR="005805A1" w:rsidRPr="00D745D9">
        <w:rPr>
          <w:rFonts w:eastAsiaTheme="minorEastAsia" w:cs="Arial" w:hint="eastAsia"/>
          <w:kern w:val="0"/>
          <w:szCs w:val="21"/>
        </w:rPr>
        <w:t>、</w:t>
      </w:r>
      <w:r w:rsidRPr="00D745D9">
        <w:rPr>
          <w:rFonts w:eastAsiaTheme="minorEastAsia" w:cs="Arial" w:hint="eastAsia"/>
          <w:kern w:val="0"/>
          <w:szCs w:val="21"/>
        </w:rPr>
        <w:t>互联网</w:t>
      </w:r>
      <w:r w:rsidR="006900FC" w:rsidRPr="00D745D9">
        <w:rPr>
          <w:rFonts w:eastAsiaTheme="minorEastAsia" w:cs="Arial"/>
          <w:kern w:val="0"/>
          <w:szCs w:val="21"/>
        </w:rPr>
        <w:t>、</w:t>
      </w:r>
      <w:r w:rsidR="005805A1" w:rsidRPr="00D745D9">
        <w:rPr>
          <w:rFonts w:eastAsiaTheme="minorEastAsia" w:cs="Arial" w:hint="eastAsia"/>
          <w:kern w:val="0"/>
          <w:szCs w:val="21"/>
        </w:rPr>
        <w:t>化工</w:t>
      </w:r>
      <w:proofErr w:type="gramStart"/>
      <w:r w:rsidR="005805A1" w:rsidRPr="00D745D9">
        <w:rPr>
          <w:rFonts w:eastAsiaTheme="minorEastAsia" w:cs="Arial" w:hint="eastAsia"/>
          <w:kern w:val="0"/>
          <w:szCs w:val="21"/>
        </w:rPr>
        <w:t>原料机</w:t>
      </w:r>
      <w:proofErr w:type="gramEnd"/>
      <w:r w:rsidR="005805A1" w:rsidRPr="00D745D9">
        <w:rPr>
          <w:rFonts w:eastAsiaTheme="minorEastAsia" w:cs="Arial" w:hint="eastAsia"/>
          <w:kern w:val="0"/>
          <w:szCs w:val="21"/>
        </w:rPr>
        <w:t>加工</w:t>
      </w:r>
      <w:r w:rsidR="006900FC" w:rsidRPr="00D745D9">
        <w:rPr>
          <w:rFonts w:eastAsiaTheme="minorEastAsia" w:cs="Arial"/>
          <w:kern w:val="0"/>
          <w:szCs w:val="21"/>
        </w:rPr>
        <w:t>、</w:t>
      </w:r>
      <w:r w:rsidRPr="00D745D9">
        <w:rPr>
          <w:rFonts w:eastAsiaTheme="minorEastAsia" w:cs="Arial" w:hint="eastAsia"/>
          <w:kern w:val="0"/>
          <w:szCs w:val="21"/>
        </w:rPr>
        <w:t>机械制造</w:t>
      </w:r>
      <w:r w:rsidR="006900FC" w:rsidRPr="00D745D9">
        <w:rPr>
          <w:rFonts w:eastAsiaTheme="minorEastAsia" w:cs="Arial"/>
          <w:kern w:val="0"/>
          <w:szCs w:val="21"/>
        </w:rPr>
        <w:t>等多个行业</w:t>
      </w:r>
      <w:r w:rsidR="00FA5D44" w:rsidRPr="00D745D9">
        <w:rPr>
          <w:rFonts w:eastAsiaTheme="minorEastAsia" w:cs="Arial" w:hint="eastAsia"/>
          <w:kern w:val="0"/>
          <w:szCs w:val="21"/>
        </w:rPr>
        <w:t>。本月共发生</w:t>
      </w:r>
      <w:r w:rsidR="00D745D9" w:rsidRPr="00D745D9">
        <w:rPr>
          <w:rFonts w:eastAsiaTheme="minorEastAsia" w:cs="Arial" w:hint="eastAsia"/>
          <w:kern w:val="0"/>
          <w:szCs w:val="21"/>
        </w:rPr>
        <w:t>14</w:t>
      </w:r>
      <w:r w:rsidR="00FA5D44" w:rsidRPr="00D745D9">
        <w:rPr>
          <w:rFonts w:eastAsiaTheme="minorEastAsia" w:cs="Arial" w:hint="eastAsia"/>
          <w:kern w:val="0"/>
          <w:szCs w:val="21"/>
        </w:rPr>
        <w:t>起并购退出，</w:t>
      </w:r>
      <w:r w:rsidR="00D745D9" w:rsidRPr="00D745D9">
        <w:rPr>
          <w:rFonts w:eastAsiaTheme="minorEastAsia" w:cs="Arial" w:hint="eastAsia"/>
          <w:kern w:val="0"/>
          <w:szCs w:val="21"/>
        </w:rPr>
        <w:t>1</w:t>
      </w:r>
      <w:r w:rsidR="00FA5D44" w:rsidRPr="00D745D9">
        <w:rPr>
          <w:rFonts w:eastAsiaTheme="minorEastAsia" w:cs="Arial" w:hint="eastAsia"/>
          <w:kern w:val="0"/>
          <w:szCs w:val="21"/>
        </w:rPr>
        <w:t>月</w:t>
      </w:r>
      <w:r w:rsidR="00D745D9" w:rsidRPr="00D745D9">
        <w:rPr>
          <w:rFonts w:eastAsiaTheme="minorEastAsia" w:cs="Arial" w:hint="eastAsia"/>
          <w:kern w:val="0"/>
          <w:szCs w:val="21"/>
        </w:rPr>
        <w:t>6</w:t>
      </w:r>
      <w:r w:rsidR="00FA5D44" w:rsidRPr="00D745D9">
        <w:rPr>
          <w:rFonts w:eastAsiaTheme="minorEastAsia" w:cs="Arial" w:hint="eastAsia"/>
          <w:kern w:val="0"/>
          <w:szCs w:val="21"/>
        </w:rPr>
        <w:t>日，</w:t>
      </w:r>
      <w:r w:rsidR="00D745D9" w:rsidRPr="00D745D9">
        <w:rPr>
          <w:rFonts w:eastAsiaTheme="minorEastAsia" w:cs="Arial" w:hint="eastAsia"/>
          <w:kern w:val="0"/>
          <w:szCs w:val="21"/>
        </w:rPr>
        <w:t>广东省广告股份有限公司</w:t>
      </w:r>
      <w:r w:rsidR="00FA5D44" w:rsidRPr="00D745D9">
        <w:rPr>
          <w:rFonts w:eastAsiaTheme="minorEastAsia" w:cs="Arial" w:hint="eastAsia"/>
          <w:kern w:val="0"/>
          <w:szCs w:val="21"/>
        </w:rPr>
        <w:t>（下称“</w:t>
      </w:r>
      <w:r w:rsidR="00D745D9" w:rsidRPr="00D745D9">
        <w:rPr>
          <w:rFonts w:eastAsiaTheme="minorEastAsia" w:cs="Arial" w:hint="eastAsia"/>
          <w:kern w:val="0"/>
          <w:szCs w:val="21"/>
        </w:rPr>
        <w:t>省广股份</w:t>
      </w:r>
      <w:r w:rsidR="00FA5D44" w:rsidRPr="00D745D9">
        <w:rPr>
          <w:rFonts w:eastAsiaTheme="minorEastAsia" w:cs="Arial" w:hint="eastAsia"/>
          <w:kern w:val="0"/>
          <w:szCs w:val="21"/>
        </w:rPr>
        <w:t>”）以</w:t>
      </w:r>
      <w:r w:rsidR="00D745D9" w:rsidRPr="00D745D9">
        <w:rPr>
          <w:rFonts w:eastAsiaTheme="minorEastAsia" w:cs="Arial" w:hint="eastAsia"/>
          <w:kern w:val="0"/>
          <w:szCs w:val="21"/>
        </w:rPr>
        <w:t>5.70</w:t>
      </w:r>
      <w:r w:rsidR="00FA5D44" w:rsidRPr="00D745D9">
        <w:rPr>
          <w:rFonts w:eastAsiaTheme="minorEastAsia" w:cs="Arial" w:hint="eastAsia"/>
          <w:kern w:val="0"/>
          <w:szCs w:val="21"/>
        </w:rPr>
        <w:t>亿元人民币（约</w:t>
      </w:r>
      <w:r w:rsidR="00D745D9" w:rsidRPr="00D745D9">
        <w:rPr>
          <w:rFonts w:eastAsiaTheme="minorEastAsia" w:cs="Arial" w:hint="eastAsia"/>
          <w:kern w:val="0"/>
          <w:szCs w:val="21"/>
        </w:rPr>
        <w:t>9306.00</w:t>
      </w:r>
      <w:r w:rsidR="00D745D9" w:rsidRPr="00D745D9">
        <w:rPr>
          <w:rFonts w:eastAsiaTheme="minorEastAsia" w:cs="Arial" w:hint="eastAsia"/>
          <w:kern w:val="0"/>
          <w:szCs w:val="21"/>
        </w:rPr>
        <w:t>万</w:t>
      </w:r>
      <w:r w:rsidR="00FA5D44" w:rsidRPr="00D745D9">
        <w:rPr>
          <w:rFonts w:eastAsiaTheme="minorEastAsia" w:cs="Arial" w:hint="eastAsia"/>
          <w:kern w:val="0"/>
          <w:szCs w:val="21"/>
        </w:rPr>
        <w:t>美元）收购</w:t>
      </w:r>
      <w:r w:rsidR="00D745D9" w:rsidRPr="00D745D9">
        <w:rPr>
          <w:rFonts w:eastAsiaTheme="minorEastAsia" w:cs="Arial" w:hint="eastAsia"/>
          <w:kern w:val="0"/>
          <w:szCs w:val="21"/>
        </w:rPr>
        <w:t>上海</w:t>
      </w:r>
      <w:proofErr w:type="gramStart"/>
      <w:r w:rsidR="00D745D9" w:rsidRPr="00D745D9">
        <w:rPr>
          <w:rFonts w:eastAsiaTheme="minorEastAsia" w:cs="Arial" w:hint="eastAsia"/>
          <w:kern w:val="0"/>
          <w:szCs w:val="21"/>
        </w:rPr>
        <w:t>雅润文化</w:t>
      </w:r>
      <w:proofErr w:type="gramEnd"/>
      <w:r w:rsidR="00D745D9" w:rsidRPr="00D745D9">
        <w:rPr>
          <w:rFonts w:eastAsiaTheme="minorEastAsia" w:cs="Arial" w:hint="eastAsia"/>
          <w:kern w:val="0"/>
          <w:szCs w:val="21"/>
        </w:rPr>
        <w:t>传播有限公司</w:t>
      </w:r>
      <w:r w:rsidR="00FA5D44" w:rsidRPr="00D745D9">
        <w:rPr>
          <w:rFonts w:eastAsiaTheme="minorEastAsia" w:cs="Arial" w:hint="eastAsia"/>
          <w:kern w:val="0"/>
          <w:szCs w:val="21"/>
        </w:rPr>
        <w:t>（下称“</w:t>
      </w:r>
      <w:r w:rsidR="00D745D9" w:rsidRPr="00D745D9">
        <w:rPr>
          <w:rFonts w:eastAsiaTheme="minorEastAsia" w:cs="Arial" w:hint="eastAsia"/>
          <w:kern w:val="0"/>
          <w:szCs w:val="21"/>
        </w:rPr>
        <w:t>雅润传播</w:t>
      </w:r>
      <w:r w:rsidR="00FA5D44" w:rsidRPr="00D745D9">
        <w:rPr>
          <w:rFonts w:eastAsiaTheme="minorEastAsia" w:cs="Arial" w:hint="eastAsia"/>
          <w:kern w:val="0"/>
          <w:szCs w:val="21"/>
        </w:rPr>
        <w:t>”）</w:t>
      </w:r>
      <w:r w:rsidR="00270AB5" w:rsidRPr="00D745D9">
        <w:rPr>
          <w:rFonts w:eastAsiaTheme="minorEastAsia" w:cs="Arial" w:hint="eastAsia"/>
          <w:kern w:val="0"/>
          <w:szCs w:val="21"/>
        </w:rPr>
        <w:t>100.0</w:t>
      </w:r>
      <w:r w:rsidR="00FA5D44" w:rsidRPr="00D745D9">
        <w:rPr>
          <w:rFonts w:eastAsiaTheme="minorEastAsia" w:cs="Arial" w:hint="eastAsia"/>
          <w:kern w:val="0"/>
          <w:szCs w:val="21"/>
        </w:rPr>
        <w:t>%</w:t>
      </w:r>
      <w:r w:rsidR="00FA5D44" w:rsidRPr="00D745D9">
        <w:rPr>
          <w:rFonts w:eastAsiaTheme="minorEastAsia" w:cs="Arial" w:hint="eastAsia"/>
          <w:kern w:val="0"/>
          <w:szCs w:val="21"/>
        </w:rPr>
        <w:t>股权，因此</w:t>
      </w:r>
      <w:r w:rsidR="00D745D9" w:rsidRPr="00D745D9">
        <w:rPr>
          <w:rFonts w:eastAsiaTheme="minorEastAsia" w:cs="Arial" w:hint="eastAsia"/>
          <w:kern w:val="0"/>
          <w:szCs w:val="21"/>
        </w:rPr>
        <w:t>丰泽（福建）创业投资有限公司、深圳市高特佳投资集团有限公司、上海</w:t>
      </w:r>
      <w:proofErr w:type="gramStart"/>
      <w:r w:rsidR="00D745D9" w:rsidRPr="00D745D9">
        <w:rPr>
          <w:rFonts w:eastAsiaTheme="minorEastAsia" w:cs="Arial" w:hint="eastAsia"/>
          <w:kern w:val="0"/>
          <w:szCs w:val="21"/>
        </w:rPr>
        <w:t>秉</w:t>
      </w:r>
      <w:proofErr w:type="gramEnd"/>
      <w:r w:rsidR="00D745D9" w:rsidRPr="00D745D9">
        <w:rPr>
          <w:rFonts w:eastAsiaTheme="minorEastAsia" w:cs="Arial" w:hint="eastAsia"/>
          <w:kern w:val="0"/>
          <w:szCs w:val="21"/>
        </w:rPr>
        <w:t>原秉鸿股权投资管理有限公司、宁波杉</w:t>
      </w:r>
      <w:proofErr w:type="gramStart"/>
      <w:r w:rsidR="00D745D9" w:rsidRPr="00D745D9">
        <w:rPr>
          <w:rFonts w:eastAsiaTheme="minorEastAsia" w:cs="Arial" w:hint="eastAsia"/>
          <w:kern w:val="0"/>
          <w:szCs w:val="21"/>
        </w:rPr>
        <w:t>杉</w:t>
      </w:r>
      <w:proofErr w:type="gramEnd"/>
      <w:r w:rsidR="00D745D9" w:rsidRPr="00D745D9">
        <w:rPr>
          <w:rFonts w:eastAsiaTheme="minorEastAsia" w:cs="Arial" w:hint="eastAsia"/>
          <w:kern w:val="0"/>
          <w:szCs w:val="21"/>
        </w:rPr>
        <w:t>创业投资有限公司、长江成长资本投资有限公司、海通开元投资有限公司和北京嘉诚资本投资管理有限公司</w:t>
      </w:r>
      <w:r w:rsidR="00FA5D44" w:rsidRPr="00D745D9">
        <w:rPr>
          <w:rFonts w:eastAsiaTheme="minorEastAsia" w:cs="Arial" w:hint="eastAsia"/>
          <w:kern w:val="0"/>
          <w:szCs w:val="21"/>
        </w:rPr>
        <w:t>获得退出。</w:t>
      </w:r>
      <w:proofErr w:type="gramStart"/>
      <w:r w:rsidR="00D745D9" w:rsidRPr="00D745D9">
        <w:rPr>
          <w:rFonts w:eastAsiaTheme="minorEastAsia" w:cs="Arial" w:hint="eastAsia"/>
          <w:kern w:val="0"/>
          <w:szCs w:val="21"/>
        </w:rPr>
        <w:t>省广股份</w:t>
      </w:r>
      <w:proofErr w:type="gramEnd"/>
      <w:r w:rsidR="00D745D9" w:rsidRPr="00D745D9">
        <w:rPr>
          <w:rFonts w:eastAsiaTheme="minorEastAsia" w:cs="Arial" w:hint="eastAsia"/>
          <w:kern w:val="0"/>
          <w:szCs w:val="21"/>
        </w:rPr>
        <w:t>为客户提供品牌规划、广告策划、创意设计、媒介代理投放、促销与公关活动、企业形象等整合营销传播服务，是中国本土</w:t>
      </w:r>
      <w:r w:rsidR="00595B5C">
        <w:rPr>
          <w:rFonts w:eastAsiaTheme="minorEastAsia" w:cs="Arial" w:hint="eastAsia"/>
          <w:kern w:val="0"/>
          <w:szCs w:val="21"/>
        </w:rPr>
        <w:t>较</w:t>
      </w:r>
      <w:r w:rsidR="00D745D9" w:rsidRPr="00D745D9">
        <w:rPr>
          <w:rFonts w:eastAsiaTheme="minorEastAsia" w:cs="Arial" w:hint="eastAsia"/>
          <w:kern w:val="0"/>
          <w:szCs w:val="21"/>
        </w:rPr>
        <w:t>大的广告公司。</w:t>
      </w:r>
      <w:proofErr w:type="gramStart"/>
      <w:r w:rsidR="00D745D9" w:rsidRPr="00D745D9">
        <w:rPr>
          <w:rFonts w:eastAsiaTheme="minorEastAsia" w:cs="Arial" w:hint="eastAsia"/>
          <w:kern w:val="0"/>
          <w:szCs w:val="21"/>
        </w:rPr>
        <w:t>雅润传播</w:t>
      </w:r>
      <w:proofErr w:type="gramEnd"/>
      <w:r w:rsidR="00D745D9" w:rsidRPr="00D745D9">
        <w:rPr>
          <w:rFonts w:eastAsiaTheme="minorEastAsia" w:cs="Arial" w:hint="eastAsia"/>
          <w:kern w:val="0"/>
          <w:szCs w:val="21"/>
        </w:rPr>
        <w:t>是一家总部在上海，并在天津、武汉等地设立办事机构的以媒体广告代理为主的媒介公司，是国内</w:t>
      </w:r>
      <w:r w:rsidR="00595B5C">
        <w:rPr>
          <w:rFonts w:eastAsiaTheme="minorEastAsia" w:cs="Arial" w:hint="eastAsia"/>
          <w:kern w:val="0"/>
          <w:szCs w:val="21"/>
        </w:rPr>
        <w:t>较</w:t>
      </w:r>
      <w:r w:rsidR="00D745D9" w:rsidRPr="00D745D9">
        <w:rPr>
          <w:rFonts w:eastAsiaTheme="minorEastAsia" w:cs="Arial" w:hint="eastAsia"/>
          <w:kern w:val="0"/>
          <w:szCs w:val="21"/>
        </w:rPr>
        <w:t>大的二线电视媒体广告代理企业，已经形成跨区域的电视媒体资源网络，电视媒体经营能力处于行业内领先水平。</w:t>
      </w:r>
      <w:r w:rsidR="0085216B" w:rsidRPr="00D745D9">
        <w:rPr>
          <w:rFonts w:eastAsiaTheme="minorEastAsia" w:cs="Arial" w:hint="eastAsia"/>
          <w:kern w:val="0"/>
          <w:szCs w:val="21"/>
        </w:rPr>
        <w:t>通过此次收购，</w:t>
      </w:r>
      <w:r w:rsidR="00D745D9" w:rsidRPr="00D745D9">
        <w:rPr>
          <w:rFonts w:eastAsiaTheme="minorEastAsia" w:cs="Arial" w:hint="eastAsia"/>
          <w:kern w:val="0"/>
          <w:szCs w:val="21"/>
        </w:rPr>
        <w:t>将有利于</w:t>
      </w:r>
      <w:proofErr w:type="gramStart"/>
      <w:r w:rsidR="00D745D9" w:rsidRPr="00D745D9">
        <w:rPr>
          <w:rFonts w:eastAsiaTheme="minorEastAsia" w:cs="Arial" w:hint="eastAsia"/>
          <w:kern w:val="0"/>
          <w:szCs w:val="21"/>
        </w:rPr>
        <w:t>省广股份</w:t>
      </w:r>
      <w:proofErr w:type="gramEnd"/>
      <w:r w:rsidR="00D745D9" w:rsidRPr="00D745D9">
        <w:rPr>
          <w:rFonts w:eastAsiaTheme="minorEastAsia" w:cs="Arial" w:hint="eastAsia"/>
          <w:kern w:val="0"/>
          <w:szCs w:val="21"/>
        </w:rPr>
        <w:t>提升业务规模并增强盈利能力、促进公司业务拓展及整合、利用资本市场提高并购的协同效应。</w:t>
      </w:r>
    </w:p>
    <w:p w:rsidR="00505B0E" w:rsidRPr="00270AB5" w:rsidRDefault="00505B0E" w:rsidP="000570F0">
      <w:pPr>
        <w:spacing w:line="200" w:lineRule="exact"/>
        <w:ind w:firstLineChars="200" w:firstLine="420"/>
        <w:rPr>
          <w:rFonts w:eastAsiaTheme="minorEastAsia" w:cs="Arial"/>
          <w:kern w:val="0"/>
          <w:szCs w:val="21"/>
        </w:rPr>
      </w:pPr>
    </w:p>
    <w:p w:rsidR="007D7050" w:rsidRPr="00E734EB" w:rsidRDefault="007D7050" w:rsidP="007D7050">
      <w:pPr>
        <w:tabs>
          <w:tab w:val="left" w:pos="3686"/>
          <w:tab w:val="left" w:pos="5954"/>
        </w:tabs>
        <w:spacing w:line="440" w:lineRule="exact"/>
        <w:rPr>
          <w:rFonts w:eastAsiaTheme="minorEastAsia" w:cs="Arial"/>
          <w:b/>
          <w:kern w:val="0"/>
          <w:sz w:val="20"/>
          <w:szCs w:val="20"/>
        </w:rPr>
      </w:pPr>
      <w:r w:rsidRPr="00E734EB">
        <w:rPr>
          <w:rFonts w:eastAsiaTheme="minorEastAsia" w:cs="Arial"/>
          <w:b/>
          <w:kern w:val="0"/>
          <w:sz w:val="20"/>
          <w:szCs w:val="20"/>
        </w:rPr>
        <w:t>表</w:t>
      </w:r>
      <w:r w:rsidRPr="00E734EB">
        <w:rPr>
          <w:rFonts w:eastAsiaTheme="minorEastAsia" w:cs="Arial"/>
          <w:b/>
          <w:kern w:val="0"/>
          <w:sz w:val="20"/>
          <w:szCs w:val="20"/>
        </w:rPr>
        <w:t>4 201</w:t>
      </w:r>
      <w:r w:rsidR="00872E6D">
        <w:rPr>
          <w:rFonts w:eastAsiaTheme="minorEastAsia" w:cs="Arial" w:hint="eastAsia"/>
          <w:b/>
          <w:kern w:val="0"/>
          <w:sz w:val="20"/>
          <w:szCs w:val="20"/>
        </w:rPr>
        <w:t>5</w:t>
      </w:r>
      <w:r w:rsidRPr="00E734EB">
        <w:rPr>
          <w:rFonts w:eastAsiaTheme="minorEastAsia" w:cs="Arial"/>
          <w:b/>
          <w:kern w:val="0"/>
          <w:sz w:val="20"/>
          <w:szCs w:val="20"/>
        </w:rPr>
        <w:t>年</w:t>
      </w:r>
      <w:r w:rsidR="00872E6D">
        <w:rPr>
          <w:rFonts w:eastAsiaTheme="minorEastAsia" w:cs="Arial" w:hint="eastAsia"/>
          <w:b/>
          <w:kern w:val="0"/>
          <w:sz w:val="20"/>
          <w:szCs w:val="20"/>
        </w:rPr>
        <w:t>1</w:t>
      </w:r>
      <w:r w:rsidRPr="00E734EB">
        <w:rPr>
          <w:rFonts w:eastAsiaTheme="minorEastAsia" w:cs="Arial"/>
          <w:b/>
          <w:kern w:val="0"/>
          <w:sz w:val="20"/>
          <w:szCs w:val="20"/>
        </w:rPr>
        <w:t>月部分</w:t>
      </w:r>
      <w:r w:rsidRPr="00E734EB">
        <w:rPr>
          <w:rFonts w:eastAsiaTheme="minorEastAsia" w:cs="Arial"/>
          <w:b/>
          <w:kern w:val="0"/>
          <w:sz w:val="20"/>
          <w:szCs w:val="20"/>
        </w:rPr>
        <w:t>VC/PE</w:t>
      </w:r>
      <w:r w:rsidRPr="00E734EB">
        <w:rPr>
          <w:rFonts w:eastAsiaTheme="minorEastAsia" w:cs="Arial"/>
          <w:b/>
          <w:kern w:val="0"/>
          <w:sz w:val="20"/>
          <w:szCs w:val="20"/>
        </w:rPr>
        <w:t>支持并购案例列表去除关联交易</w:t>
      </w:r>
    </w:p>
    <w:tbl>
      <w:tblPr>
        <w:tblW w:w="5179" w:type="pct"/>
        <w:jc w:val="center"/>
        <w:tblInd w:w="-176" w:type="dxa"/>
        <w:tblLayout w:type="fixed"/>
        <w:tblLook w:val="04A0"/>
      </w:tblPr>
      <w:tblGrid>
        <w:gridCol w:w="1277"/>
        <w:gridCol w:w="1276"/>
        <w:gridCol w:w="2268"/>
        <w:gridCol w:w="1560"/>
        <w:gridCol w:w="1274"/>
        <w:gridCol w:w="1564"/>
        <w:gridCol w:w="988"/>
      </w:tblGrid>
      <w:tr w:rsidR="007D7050" w:rsidRPr="00E734EB" w:rsidTr="008E4F11">
        <w:trPr>
          <w:trHeight w:val="315"/>
          <w:jc w:val="center"/>
        </w:trPr>
        <w:tc>
          <w:tcPr>
            <w:tcW w:w="2362" w:type="pct"/>
            <w:gridSpan w:val="3"/>
            <w:tcBorders>
              <w:top w:val="single" w:sz="12" w:space="0" w:color="003366"/>
              <w:left w:val="nil"/>
              <w:bottom w:val="single" w:sz="8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5837F0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并购方</w:t>
            </w:r>
          </w:p>
        </w:tc>
        <w:tc>
          <w:tcPr>
            <w:tcW w:w="2154" w:type="pct"/>
            <w:gridSpan w:val="3"/>
            <w:tcBorders>
              <w:top w:val="single" w:sz="12" w:space="0" w:color="003366"/>
              <w:left w:val="nil"/>
              <w:bottom w:val="single" w:sz="8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5837F0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被并购方</w:t>
            </w:r>
          </w:p>
        </w:tc>
        <w:tc>
          <w:tcPr>
            <w:tcW w:w="484" w:type="pct"/>
            <w:vMerge w:val="restart"/>
            <w:tcBorders>
              <w:top w:val="single" w:sz="12" w:space="0" w:color="003366"/>
              <w:left w:val="nil"/>
              <w:bottom w:val="single" w:sz="12" w:space="0" w:color="003366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5837F0">
            <w:pPr>
              <w:jc w:val="center"/>
              <w:rPr>
                <w:rFonts w:eastAsiaTheme="minorEastAsia" w:cs="Arial"/>
                <w:b/>
                <w:bCs/>
                <w:color w:val="000000"/>
                <w:kern w:val="0"/>
                <w:szCs w:val="21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并购金额</w:t>
            </w: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(US$M)</w:t>
            </w:r>
          </w:p>
        </w:tc>
      </w:tr>
      <w:tr w:rsidR="00A947AE" w:rsidRPr="00E734EB" w:rsidTr="008E4F11">
        <w:trPr>
          <w:trHeight w:val="300"/>
          <w:jc w:val="center"/>
        </w:trPr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5837F0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5837F0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行业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5837F0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VC/PE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5837F0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5837F0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行业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7050" w:rsidRPr="00E734EB" w:rsidRDefault="007D7050" w:rsidP="005837F0">
            <w:pPr>
              <w:jc w:val="center"/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</w:pPr>
            <w:r w:rsidRPr="00E734EB">
              <w:rPr>
                <w:rFonts w:eastAsiaTheme="minorEastAsia" w:cs="Arial"/>
                <w:b/>
                <w:bCs/>
                <w:color w:val="000000"/>
                <w:sz w:val="20"/>
                <w:szCs w:val="20"/>
              </w:rPr>
              <w:t>VC/PE</w:t>
            </w:r>
          </w:p>
        </w:tc>
        <w:tc>
          <w:tcPr>
            <w:tcW w:w="484" w:type="pct"/>
            <w:vMerge/>
            <w:tcBorders>
              <w:top w:val="single" w:sz="12" w:space="0" w:color="003366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D7050" w:rsidRPr="00E734EB" w:rsidRDefault="007D7050" w:rsidP="005837F0">
            <w:pPr>
              <w:widowControl/>
              <w:jc w:val="center"/>
              <w:rPr>
                <w:rFonts w:eastAsiaTheme="minorEastAsia" w:cs="Arial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D745D9" w:rsidRPr="00E734EB" w:rsidTr="008E4F11">
        <w:trPr>
          <w:trHeight w:val="300"/>
          <w:jc w:val="center"/>
        </w:trPr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中文传媒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娱乐传媒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江西德宏、</w:t>
            </w:r>
            <w:proofErr w:type="gramStart"/>
            <w:r>
              <w:rPr>
                <w:rFonts w:hint="eastAsia"/>
                <w:sz w:val="20"/>
                <w:szCs w:val="20"/>
              </w:rPr>
              <w:t>浦东科</w:t>
            </w:r>
            <w:proofErr w:type="gramEnd"/>
            <w:r>
              <w:rPr>
                <w:rFonts w:hint="eastAsia"/>
                <w:sz w:val="20"/>
                <w:szCs w:val="20"/>
              </w:rPr>
              <w:t>投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智明星通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互联网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创新工场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434.31 </w:t>
            </w:r>
          </w:p>
        </w:tc>
      </w:tr>
      <w:tr w:rsidR="00D745D9" w:rsidRPr="00E734EB" w:rsidTr="008E4F11">
        <w:trPr>
          <w:trHeight w:val="300"/>
          <w:jc w:val="center"/>
        </w:trPr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宝利来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房地产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中值创投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  <w:proofErr w:type="gramStart"/>
            <w:r>
              <w:rPr>
                <w:rFonts w:hint="eastAsia"/>
                <w:sz w:val="20"/>
                <w:szCs w:val="20"/>
              </w:rPr>
              <w:t>联铁科技</w:t>
            </w:r>
            <w:proofErr w:type="gramEnd"/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IT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293.47 </w:t>
            </w:r>
          </w:p>
        </w:tc>
      </w:tr>
      <w:tr w:rsidR="00D745D9" w:rsidRPr="00E734EB" w:rsidTr="008E4F11">
        <w:trPr>
          <w:trHeight w:val="300"/>
          <w:jc w:val="center"/>
        </w:trPr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华邦颖泰（原华邦制药）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生物技术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医疗健康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光大金控、华夏天元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百盛药业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生物技术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医疗健康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236.39 </w:t>
            </w:r>
          </w:p>
        </w:tc>
      </w:tr>
      <w:tr w:rsidR="00D745D9" w:rsidRPr="00E734EB" w:rsidTr="008E4F11">
        <w:trPr>
          <w:trHeight w:val="300"/>
          <w:jc w:val="center"/>
        </w:trPr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中南重工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大唐辉煌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娱乐传媒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安泰创投、博大环球创投、佳禾金辉创投、嘉诚资本、文广股权投资、</w:t>
            </w:r>
            <w:proofErr w:type="gramStart"/>
            <w:r>
              <w:rPr>
                <w:rFonts w:hint="eastAsia"/>
                <w:sz w:val="20"/>
                <w:szCs w:val="20"/>
              </w:rPr>
              <w:t>中融鼎新</w:t>
            </w:r>
            <w:proofErr w:type="gramEnd"/>
            <w:r>
              <w:rPr>
                <w:rFonts w:hint="eastAsia"/>
                <w:sz w:val="20"/>
                <w:szCs w:val="20"/>
              </w:rPr>
              <w:t>、中</w:t>
            </w:r>
            <w:proofErr w:type="gramStart"/>
            <w:r>
              <w:rPr>
                <w:rFonts w:hint="eastAsia"/>
                <w:sz w:val="20"/>
                <w:szCs w:val="20"/>
              </w:rPr>
              <w:t>植资本</w:t>
            </w:r>
            <w:proofErr w:type="gramEnd"/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163.31 </w:t>
            </w:r>
          </w:p>
        </w:tc>
      </w:tr>
      <w:tr w:rsidR="00D745D9" w:rsidRPr="00E734EB" w:rsidTr="008E4F11">
        <w:trPr>
          <w:trHeight w:val="300"/>
          <w:jc w:val="center"/>
        </w:trPr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美都能源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房地产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长实资本、嘉</w:t>
            </w:r>
            <w:proofErr w:type="gramStart"/>
            <w:r>
              <w:rPr>
                <w:rFonts w:hint="eastAsia"/>
                <w:sz w:val="20"/>
                <w:szCs w:val="20"/>
              </w:rPr>
              <w:t>实资本</w:t>
            </w:r>
            <w:proofErr w:type="gramEnd"/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Manti </w:t>
            </w:r>
            <w:r>
              <w:rPr>
                <w:rFonts w:hint="eastAsia"/>
                <w:sz w:val="20"/>
                <w:szCs w:val="20"/>
              </w:rPr>
              <w:t>油田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能源及矿产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141.00 </w:t>
            </w:r>
          </w:p>
        </w:tc>
      </w:tr>
      <w:tr w:rsidR="00D745D9" w:rsidRPr="00E734EB" w:rsidTr="008E4F11">
        <w:trPr>
          <w:trHeight w:val="300"/>
          <w:jc w:val="center"/>
        </w:trPr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中源协和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生物技术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医疗健康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执诚生物</w:t>
            </w:r>
            <w:proofErr w:type="gramEnd"/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生物技术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医疗健康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长江国弘、</w:t>
            </w:r>
            <w:proofErr w:type="gramStart"/>
            <w:r>
              <w:rPr>
                <w:rFonts w:hint="eastAsia"/>
                <w:sz w:val="20"/>
                <w:szCs w:val="20"/>
              </w:rPr>
              <w:t>天亿投资</w:t>
            </w:r>
            <w:proofErr w:type="gramEnd"/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130.62 </w:t>
            </w:r>
          </w:p>
        </w:tc>
      </w:tr>
      <w:tr w:rsidR="00D745D9" w:rsidRPr="00E734EB" w:rsidTr="008E4F11">
        <w:trPr>
          <w:trHeight w:val="300"/>
          <w:jc w:val="center"/>
        </w:trPr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光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科技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机械制造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阿尔法投资管理、汇金立方资本、</w:t>
            </w:r>
            <w:proofErr w:type="gramStart"/>
            <w:r>
              <w:rPr>
                <w:rFonts w:hint="eastAsia"/>
                <w:sz w:val="20"/>
                <w:szCs w:val="20"/>
              </w:rPr>
              <w:t>天紫微</w:t>
            </w:r>
            <w:proofErr w:type="gramEnd"/>
            <w:r>
              <w:rPr>
                <w:rFonts w:hint="eastAsia"/>
                <w:sz w:val="20"/>
                <w:szCs w:val="20"/>
              </w:rPr>
              <w:t>投资、</w:t>
            </w:r>
            <w:proofErr w:type="gramStart"/>
            <w:r>
              <w:rPr>
                <w:rFonts w:hint="eastAsia"/>
                <w:sz w:val="20"/>
                <w:szCs w:val="20"/>
              </w:rPr>
              <w:t>熠</w:t>
            </w:r>
            <w:proofErr w:type="gramEnd"/>
            <w:r>
              <w:rPr>
                <w:rFonts w:hint="eastAsia"/>
                <w:sz w:val="20"/>
                <w:szCs w:val="20"/>
              </w:rPr>
              <w:t>明创投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索瑞电气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机械制造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湖北高投、深圳创新投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123.96 </w:t>
            </w:r>
          </w:p>
        </w:tc>
      </w:tr>
      <w:tr w:rsidR="00D745D9" w:rsidRPr="00E734EB" w:rsidTr="008E4F11">
        <w:trPr>
          <w:trHeight w:val="300"/>
          <w:jc w:val="center"/>
        </w:trPr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省广股份</w:t>
            </w:r>
            <w:proofErr w:type="gramEnd"/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娱乐传媒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雅润传播</w:t>
            </w:r>
            <w:proofErr w:type="gramEnd"/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娱乐传媒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秉</w:t>
            </w:r>
            <w:proofErr w:type="gramEnd"/>
            <w:r>
              <w:rPr>
                <w:rFonts w:hint="eastAsia"/>
                <w:sz w:val="20"/>
                <w:szCs w:val="20"/>
              </w:rPr>
              <w:t>鸿资本、不公开的投资者、长江资本、高特佳、海通开元、嘉诚资本、</w:t>
            </w:r>
            <w:proofErr w:type="gramStart"/>
            <w:r>
              <w:rPr>
                <w:rFonts w:hint="eastAsia"/>
                <w:sz w:val="20"/>
                <w:szCs w:val="20"/>
              </w:rPr>
              <w:t>中融鼎新</w:t>
            </w:r>
            <w:proofErr w:type="gramEnd"/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93.06 </w:t>
            </w:r>
          </w:p>
        </w:tc>
      </w:tr>
      <w:tr w:rsidR="00D745D9" w:rsidRPr="00E734EB" w:rsidTr="008E4F11">
        <w:trPr>
          <w:trHeight w:val="300"/>
          <w:jc w:val="center"/>
        </w:trPr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东方通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IT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IDG</w:t>
            </w:r>
            <w:r>
              <w:rPr>
                <w:rFonts w:hint="eastAsia"/>
                <w:sz w:val="20"/>
                <w:szCs w:val="20"/>
              </w:rPr>
              <w:t>资本、</w:t>
            </w:r>
            <w:proofErr w:type="gramStart"/>
            <w:r>
              <w:rPr>
                <w:rFonts w:hint="eastAsia"/>
                <w:sz w:val="20"/>
                <w:szCs w:val="20"/>
              </w:rPr>
              <w:t>盈富泰</w:t>
            </w:r>
            <w:proofErr w:type="gramEnd"/>
            <w:r>
              <w:rPr>
                <w:rFonts w:hint="eastAsia"/>
                <w:sz w:val="20"/>
                <w:szCs w:val="20"/>
              </w:rPr>
              <w:t>克、涌</w:t>
            </w:r>
            <w:proofErr w:type="gramStart"/>
            <w:r>
              <w:rPr>
                <w:rFonts w:hint="eastAsia"/>
                <w:sz w:val="20"/>
                <w:szCs w:val="20"/>
              </w:rPr>
              <w:t>铧</w:t>
            </w:r>
            <w:proofErr w:type="gramEnd"/>
            <w:r>
              <w:rPr>
                <w:rFonts w:hint="eastAsia"/>
                <w:sz w:val="20"/>
                <w:szCs w:val="20"/>
              </w:rPr>
              <w:t>投资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惠捷朗科技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电信及增值业务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68.64 </w:t>
            </w:r>
          </w:p>
        </w:tc>
      </w:tr>
      <w:tr w:rsidR="00D745D9" w:rsidRPr="00E734EB" w:rsidTr="008E4F11">
        <w:trPr>
          <w:trHeight w:val="300"/>
          <w:jc w:val="center"/>
        </w:trPr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坚</w:t>
            </w:r>
            <w:proofErr w:type="gramEnd"/>
            <w:r>
              <w:rPr>
                <w:rFonts w:hint="eastAsia"/>
                <w:sz w:val="20"/>
                <w:szCs w:val="20"/>
              </w:rPr>
              <w:t>瑞消防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机械制造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达明科技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IT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傲英股权</w:t>
            </w:r>
            <w:proofErr w:type="gramEnd"/>
            <w:r>
              <w:rPr>
                <w:rFonts w:hint="eastAsia"/>
                <w:sz w:val="20"/>
                <w:szCs w:val="20"/>
              </w:rPr>
              <w:t>投资、华工创投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745D9" w:rsidRDefault="00D745D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68.55 </w:t>
            </w:r>
          </w:p>
        </w:tc>
      </w:tr>
    </w:tbl>
    <w:p w:rsidR="00923E0A" w:rsidRPr="008D1DF7" w:rsidRDefault="007D7050" w:rsidP="00101FCA">
      <w:pPr>
        <w:widowControl/>
        <w:rPr>
          <w:rFonts w:eastAsiaTheme="minorEastAsia" w:cs="Arial"/>
          <w:sz w:val="20"/>
        </w:rPr>
      </w:pPr>
      <w:r w:rsidRPr="00E734EB">
        <w:rPr>
          <w:rFonts w:eastAsiaTheme="minorEastAsia" w:cs="Arial"/>
          <w:sz w:val="20"/>
        </w:rPr>
        <w:t>来源：私募通</w:t>
      </w:r>
      <w:r w:rsidRPr="00E734EB">
        <w:rPr>
          <w:rFonts w:eastAsiaTheme="minorEastAsia" w:cs="Arial"/>
          <w:sz w:val="20"/>
        </w:rPr>
        <w:t xml:space="preserve"> 201</w:t>
      </w:r>
      <w:r w:rsidR="006D342F">
        <w:rPr>
          <w:rFonts w:eastAsiaTheme="minorEastAsia" w:cs="Arial" w:hint="eastAsia"/>
          <w:sz w:val="20"/>
        </w:rPr>
        <w:t>5.0</w:t>
      </w:r>
      <w:r w:rsidR="00DB61F8">
        <w:rPr>
          <w:rFonts w:eastAsiaTheme="minorEastAsia" w:cs="Arial" w:hint="eastAsia"/>
          <w:sz w:val="20"/>
        </w:rPr>
        <w:t>2</w:t>
      </w:r>
      <w:r w:rsidR="00B2679A">
        <w:rPr>
          <w:rFonts w:eastAsiaTheme="minorEastAsia" w:cs="Arial" w:hint="eastAsia"/>
          <w:sz w:val="20"/>
        </w:rPr>
        <w:t xml:space="preserve">                                                               </w:t>
      </w:r>
      <w:r w:rsidR="00B2679A" w:rsidRPr="00B2679A">
        <w:rPr>
          <w:rFonts w:eastAsiaTheme="minorEastAsia" w:cs="Arial"/>
          <w:sz w:val="20"/>
        </w:rPr>
        <w:t>www.pedata.cn</w:t>
      </w:r>
    </w:p>
    <w:p w:rsidR="00AA5A2C" w:rsidRPr="006D342F" w:rsidRDefault="00AA5A2C" w:rsidP="007C32C2">
      <w:pPr>
        <w:pStyle w:val="af4"/>
        <w:shd w:val="clear" w:color="auto" w:fill="FFFFFF"/>
        <w:ind w:firstLine="420"/>
        <w:rPr>
          <w:rFonts w:ascii="Arial" w:eastAsiaTheme="minorEastAsia" w:hAnsi="Arial" w:cs="Arial"/>
          <w:color w:val="000000"/>
          <w:kern w:val="2"/>
          <w:sz w:val="21"/>
        </w:rPr>
      </w:pP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hAnsiTheme="minorEastAsia" w:cs="Arial"/>
          <w:kern w:val="0"/>
          <w:szCs w:val="21"/>
        </w:rPr>
        <w:t>查看更多数据和研究报告可免费试用私募通产品，登陆：</w:t>
      </w:r>
      <w:r w:rsidRPr="00B2679A">
        <w:rPr>
          <w:rFonts w:eastAsiaTheme="minorEastAsia" w:cs="Arial"/>
          <w:szCs w:val="21"/>
        </w:rPr>
        <w:fldChar w:fldCharType="begin"/>
      </w:r>
      <w:r w:rsidRPr="00B2679A">
        <w:rPr>
          <w:rFonts w:eastAsiaTheme="minorEastAsia" w:cs="Arial"/>
          <w:szCs w:val="21"/>
        </w:rPr>
        <w:instrText xml:space="preserve"> HYPERLINK "http://www.pedata.cn/reg.aspx" </w:instrText>
      </w:r>
      <w:r w:rsidRPr="00B2679A">
        <w:rPr>
          <w:rFonts w:eastAsiaTheme="minorEastAsia" w:cs="Arial"/>
          <w:szCs w:val="21"/>
        </w:rPr>
        <w:fldChar w:fldCharType="separate"/>
      </w:r>
      <w:r w:rsidRPr="00B2679A">
        <w:rPr>
          <w:rFonts w:eastAsiaTheme="minorEastAsia" w:cs="Arial"/>
          <w:color w:val="0000FF"/>
          <w:kern w:val="0"/>
          <w:szCs w:val="21"/>
          <w:u w:val="single"/>
        </w:rPr>
        <w:t>http://www.pedata.cn/reg.aspx</w:t>
      </w:r>
      <w:r w:rsidRPr="00B2679A">
        <w:rPr>
          <w:rFonts w:eastAsiaTheme="minorEastAsia" w:cs="Arial"/>
          <w:szCs w:val="21"/>
        </w:rPr>
        <w:fldChar w:fldCharType="end"/>
      </w:r>
      <w:r w:rsidRPr="00B2679A">
        <w:rPr>
          <w:rFonts w:eastAsiaTheme="minorEastAsia" w:cs="Arial"/>
          <w:kern w:val="0"/>
          <w:szCs w:val="21"/>
        </w:rPr>
        <w:t xml:space="preserve"> </w:t>
      </w:r>
      <w:r w:rsidRPr="00B2679A">
        <w:rPr>
          <w:rFonts w:eastAsiaTheme="minorEastAsia" w:hAnsiTheme="minorEastAsia" w:cs="Arial"/>
          <w:kern w:val="0"/>
          <w:szCs w:val="21"/>
        </w:rPr>
        <w:t>在线提交申请，或者致电</w:t>
      </w:r>
      <w:r w:rsidRPr="00B2679A">
        <w:rPr>
          <w:rFonts w:eastAsiaTheme="minorEastAsia" w:cs="Arial"/>
          <w:kern w:val="0"/>
          <w:szCs w:val="21"/>
        </w:rPr>
        <w:t>400-600-9460</w:t>
      </w:r>
      <w:r w:rsidRPr="00B2679A">
        <w:rPr>
          <w:rFonts w:eastAsiaTheme="minorEastAsia" w:hAnsiTheme="minorEastAsia" w:cs="Arial"/>
          <w:kern w:val="0"/>
          <w:szCs w:val="21"/>
        </w:rPr>
        <w:t>。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cs="Arial"/>
          <w:kern w:val="0"/>
          <w:szCs w:val="21"/>
        </w:rPr>
        <w:t xml:space="preserve"> 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hAnsiTheme="minorEastAsia" w:cs="Arial"/>
          <w:kern w:val="0"/>
          <w:szCs w:val="21"/>
        </w:rPr>
        <w:t>也可扫描二维码，免费下载移动客户端查看数据和研究报告</w:t>
      </w:r>
      <w:r w:rsidRPr="00B2679A">
        <w:rPr>
          <w:rFonts w:eastAsiaTheme="minorEastAsia" w:cs="Arial"/>
          <w:kern w:val="0"/>
          <w:szCs w:val="21"/>
        </w:rPr>
        <w:t>”</w:t>
      </w:r>
    </w:p>
    <w:p w:rsidR="00B2679A" w:rsidRPr="00B2679A" w:rsidRDefault="00B2679A" w:rsidP="00B2679A">
      <w:pPr>
        <w:widowControl/>
        <w:jc w:val="left"/>
        <w:rPr>
          <w:rFonts w:hAnsi="宋体" w:cs="Arial"/>
          <w:kern w:val="0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4086225" cy="2324100"/>
            <wp:effectExtent l="19050" t="0" r="9525" b="0"/>
            <wp:docPr id="2" name="图片 1" descr="C:\Users\jewelyao\AppData\Local\Temp\ksohtml\wpsA5A7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welyao\AppData\Local\Temp\ksohtml\wpsA5A7.tmp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79A">
        <w:rPr>
          <w:rFonts w:hAnsi="宋体" w:cs="Arial"/>
          <w:kern w:val="0"/>
          <w:szCs w:val="21"/>
        </w:rPr>
        <w:t xml:space="preserve"> </w:t>
      </w:r>
    </w:p>
    <w:p w:rsidR="00B2679A" w:rsidRPr="00B2679A" w:rsidRDefault="00B2679A" w:rsidP="00B2679A">
      <w:pPr>
        <w:spacing w:line="360" w:lineRule="exact"/>
        <w:rPr>
          <w:rFonts w:hAnsi="宋体" w:cs="Arial"/>
          <w:kern w:val="0"/>
          <w:szCs w:val="21"/>
        </w:rPr>
      </w:pPr>
      <w:r w:rsidRPr="00B2679A">
        <w:rPr>
          <w:rFonts w:hAnsi="宋体" w:cs="Arial" w:hint="eastAsia"/>
          <w:kern w:val="0"/>
          <w:szCs w:val="21"/>
        </w:rPr>
        <w:t xml:space="preserve"> </w:t>
      </w:r>
    </w:p>
    <w:p w:rsidR="00B2679A" w:rsidRPr="00B2679A" w:rsidRDefault="00B2679A" w:rsidP="00B2679A">
      <w:pPr>
        <w:spacing w:line="360" w:lineRule="exact"/>
        <w:rPr>
          <w:rFonts w:eastAsiaTheme="minorEastAsia" w:cs="Arial"/>
          <w:szCs w:val="21"/>
        </w:rPr>
      </w:pPr>
      <w:r w:rsidRPr="00B2679A">
        <w:rPr>
          <w:rFonts w:eastAsiaTheme="minorEastAsia" w:cs="Arial"/>
          <w:kern w:val="0"/>
          <w:szCs w:val="21"/>
        </w:rPr>
        <w:t>——</w:t>
      </w:r>
      <w:proofErr w:type="gramStart"/>
      <w:r w:rsidRPr="00B2679A">
        <w:rPr>
          <w:rFonts w:eastAsiaTheme="minorEastAsia" w:cs="Arial"/>
          <w:kern w:val="0"/>
          <w:szCs w:val="21"/>
        </w:rPr>
        <w:t>————————</w:t>
      </w:r>
      <w:proofErr w:type="gramEnd"/>
    </w:p>
    <w:p w:rsidR="00B2679A" w:rsidRPr="00B2679A" w:rsidRDefault="00B2679A" w:rsidP="00B2679A">
      <w:pPr>
        <w:widowControl/>
        <w:jc w:val="left"/>
        <w:rPr>
          <w:rFonts w:eastAsiaTheme="minorEastAsia" w:cs="Arial"/>
          <w:b/>
          <w:bCs/>
          <w:kern w:val="0"/>
          <w:szCs w:val="21"/>
        </w:rPr>
      </w:pPr>
      <w:r w:rsidRPr="00B2679A">
        <w:rPr>
          <w:rFonts w:eastAsiaTheme="minorEastAsia" w:hAnsiTheme="minorEastAsia" w:cs="Arial"/>
          <w:b/>
          <w:bCs/>
          <w:kern w:val="0"/>
          <w:szCs w:val="21"/>
        </w:rPr>
        <w:lastRenderedPageBreak/>
        <w:t>数据研究咨询：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cs="Arial"/>
          <w:kern w:val="0"/>
          <w:szCs w:val="21"/>
        </w:rPr>
        <w:t xml:space="preserve"> 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cs="Arial"/>
          <w:kern w:val="0"/>
          <w:szCs w:val="21"/>
        </w:rPr>
        <w:t xml:space="preserve">400-600-9460 </w:t>
      </w:r>
      <w:r w:rsidRPr="00B2679A">
        <w:rPr>
          <w:rFonts w:eastAsiaTheme="minorEastAsia" w:hAnsiTheme="minorEastAsia" w:cs="Arial"/>
          <w:kern w:val="0"/>
          <w:szCs w:val="21"/>
        </w:rPr>
        <w:t>（客服热线）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cs="Arial"/>
          <w:kern w:val="0"/>
          <w:szCs w:val="21"/>
        </w:rPr>
        <w:t xml:space="preserve"> 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b/>
          <w:bCs/>
          <w:kern w:val="0"/>
          <w:szCs w:val="21"/>
        </w:rPr>
      </w:pPr>
      <w:proofErr w:type="gramStart"/>
      <w:r w:rsidRPr="00B2679A">
        <w:rPr>
          <w:rFonts w:eastAsiaTheme="minorEastAsia" w:hAnsiTheme="minorEastAsia" w:cs="Arial"/>
          <w:b/>
          <w:bCs/>
          <w:kern w:val="0"/>
          <w:szCs w:val="21"/>
        </w:rPr>
        <w:t>关于清科研究中心</w:t>
      </w:r>
      <w:proofErr w:type="gramEnd"/>
      <w:r w:rsidRPr="00B2679A">
        <w:rPr>
          <w:rFonts w:eastAsiaTheme="minorEastAsia" w:cs="Arial"/>
          <w:b/>
          <w:bCs/>
          <w:kern w:val="0"/>
          <w:szCs w:val="21"/>
        </w:rPr>
        <w:t xml:space="preserve"> 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cs="Arial"/>
          <w:kern w:val="0"/>
          <w:szCs w:val="21"/>
        </w:rPr>
        <w:t xml:space="preserve"> 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proofErr w:type="gramStart"/>
      <w:r w:rsidRPr="00B2679A">
        <w:rPr>
          <w:rFonts w:eastAsiaTheme="minorEastAsia" w:hAnsiTheme="minorEastAsia" w:cs="Arial"/>
          <w:kern w:val="0"/>
          <w:szCs w:val="21"/>
        </w:rPr>
        <w:t>清科研究中心</w:t>
      </w:r>
      <w:proofErr w:type="gramEnd"/>
      <w:r w:rsidRPr="00B2679A">
        <w:rPr>
          <w:rFonts w:eastAsiaTheme="minorEastAsia" w:hAnsiTheme="minorEastAsia" w:cs="Arial"/>
          <w:kern w:val="0"/>
          <w:szCs w:val="21"/>
        </w:rPr>
        <w:t>于</w:t>
      </w:r>
      <w:r w:rsidRPr="00B2679A">
        <w:rPr>
          <w:rFonts w:eastAsiaTheme="minorEastAsia" w:cs="Arial"/>
          <w:kern w:val="0"/>
          <w:szCs w:val="21"/>
        </w:rPr>
        <w:t>2001</w:t>
      </w:r>
      <w:r w:rsidRPr="00B2679A">
        <w:rPr>
          <w:rFonts w:eastAsiaTheme="minorEastAsia" w:hAnsiTheme="minorEastAsia" w:cs="Arial"/>
          <w:kern w:val="0"/>
          <w:szCs w:val="21"/>
        </w:rPr>
        <w:t>年创立，是目前中国私</w:t>
      </w:r>
      <w:proofErr w:type="gramStart"/>
      <w:r w:rsidRPr="00B2679A">
        <w:rPr>
          <w:rFonts w:eastAsiaTheme="minorEastAsia" w:hAnsiTheme="minorEastAsia" w:cs="Arial"/>
          <w:kern w:val="0"/>
          <w:szCs w:val="21"/>
        </w:rPr>
        <w:t>募股权投资</w:t>
      </w:r>
      <w:proofErr w:type="gramEnd"/>
      <w:r w:rsidRPr="00B2679A">
        <w:rPr>
          <w:rFonts w:eastAsiaTheme="minorEastAsia" w:hAnsiTheme="minorEastAsia" w:cs="Arial"/>
          <w:kern w:val="0"/>
          <w:szCs w:val="21"/>
        </w:rPr>
        <w:t>领域</w:t>
      </w:r>
      <w:proofErr w:type="gramStart"/>
      <w:r w:rsidRPr="00B2679A">
        <w:rPr>
          <w:rFonts w:eastAsiaTheme="minorEastAsia" w:hAnsiTheme="minorEastAsia" w:cs="Arial"/>
          <w:kern w:val="0"/>
          <w:szCs w:val="21"/>
        </w:rPr>
        <w:t>最</w:t>
      </w:r>
      <w:proofErr w:type="gramEnd"/>
      <w:r w:rsidRPr="00B2679A">
        <w:rPr>
          <w:rFonts w:eastAsiaTheme="minorEastAsia" w:hAnsiTheme="minorEastAsia" w:cs="Arial"/>
          <w:kern w:val="0"/>
          <w:szCs w:val="21"/>
        </w:rPr>
        <w:t>专业权威的研究机构之一。研究范围涉及创业投资、私募股权、新股上市、兼并收购以及</w:t>
      </w:r>
      <w:r w:rsidRPr="00B2679A">
        <w:rPr>
          <w:rFonts w:eastAsiaTheme="minorEastAsia" w:cs="Arial"/>
          <w:kern w:val="0"/>
          <w:szCs w:val="21"/>
        </w:rPr>
        <w:t>TMT</w:t>
      </w:r>
      <w:r w:rsidRPr="00B2679A">
        <w:rPr>
          <w:rFonts w:eastAsiaTheme="minorEastAsia" w:hAnsiTheme="minorEastAsia" w:cs="Arial"/>
          <w:kern w:val="0"/>
          <w:szCs w:val="21"/>
        </w:rPr>
        <w:t>、传统行业、清洁技术、生</w:t>
      </w:r>
      <w:proofErr w:type="gramStart"/>
      <w:r w:rsidRPr="00B2679A">
        <w:rPr>
          <w:rFonts w:eastAsiaTheme="minorEastAsia" w:hAnsiTheme="minorEastAsia" w:cs="Arial"/>
          <w:kern w:val="0"/>
          <w:szCs w:val="21"/>
        </w:rPr>
        <w:t>技健康</w:t>
      </w:r>
      <w:proofErr w:type="gramEnd"/>
      <w:r w:rsidRPr="00B2679A">
        <w:rPr>
          <w:rFonts w:eastAsiaTheme="minorEastAsia" w:hAnsiTheme="minorEastAsia" w:cs="Arial"/>
          <w:kern w:val="0"/>
          <w:szCs w:val="21"/>
        </w:rPr>
        <w:t>等行业市场研究。</w:t>
      </w:r>
      <w:proofErr w:type="gramStart"/>
      <w:r w:rsidRPr="00B2679A">
        <w:rPr>
          <w:rFonts w:eastAsiaTheme="minorEastAsia" w:hAnsiTheme="minorEastAsia" w:cs="Arial"/>
          <w:kern w:val="0"/>
          <w:szCs w:val="21"/>
        </w:rPr>
        <w:t>清科研究中心</w:t>
      </w:r>
      <w:proofErr w:type="gramEnd"/>
      <w:r w:rsidRPr="00B2679A">
        <w:rPr>
          <w:rFonts w:eastAsiaTheme="minorEastAsia" w:hAnsiTheme="minorEastAsia" w:cs="Arial"/>
          <w:kern w:val="0"/>
          <w:szCs w:val="21"/>
        </w:rPr>
        <w:t>旗下产品品牌包括：研究报告、数据库、私募通、排名榜单，并为客户提供定制咨询服务。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cs="Arial"/>
          <w:kern w:val="0"/>
          <w:szCs w:val="21"/>
        </w:rPr>
        <w:t xml:space="preserve"> 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b/>
          <w:bCs/>
          <w:kern w:val="0"/>
          <w:szCs w:val="21"/>
        </w:rPr>
      </w:pPr>
      <w:proofErr w:type="gramStart"/>
      <w:r w:rsidRPr="00B2679A">
        <w:rPr>
          <w:rFonts w:eastAsiaTheme="minorEastAsia" w:hAnsiTheme="minorEastAsia" w:cs="Arial"/>
          <w:b/>
          <w:bCs/>
          <w:kern w:val="0"/>
          <w:szCs w:val="21"/>
        </w:rPr>
        <w:t>关于清科集团</w:t>
      </w:r>
      <w:proofErr w:type="gramEnd"/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cs="Arial"/>
          <w:kern w:val="0"/>
          <w:szCs w:val="21"/>
        </w:rPr>
        <w:t xml:space="preserve"> 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proofErr w:type="gramStart"/>
      <w:r w:rsidRPr="00B2679A">
        <w:rPr>
          <w:rFonts w:eastAsiaTheme="minorEastAsia" w:hAnsiTheme="minorEastAsia" w:cs="Arial"/>
          <w:kern w:val="0"/>
          <w:szCs w:val="21"/>
        </w:rPr>
        <w:t>清科集团</w:t>
      </w:r>
      <w:proofErr w:type="gramEnd"/>
      <w:r w:rsidRPr="00B2679A">
        <w:rPr>
          <w:rFonts w:eastAsiaTheme="minorEastAsia" w:hAnsiTheme="minorEastAsia" w:cs="Arial"/>
          <w:kern w:val="0"/>
          <w:szCs w:val="21"/>
        </w:rPr>
        <w:t>成立于</w:t>
      </w:r>
      <w:r w:rsidRPr="00B2679A">
        <w:rPr>
          <w:rFonts w:eastAsiaTheme="minorEastAsia" w:cs="Arial"/>
          <w:kern w:val="0"/>
          <w:szCs w:val="21"/>
        </w:rPr>
        <w:t>1999</w:t>
      </w:r>
      <w:r w:rsidRPr="00B2679A">
        <w:rPr>
          <w:rFonts w:eastAsiaTheme="minorEastAsia" w:hAnsiTheme="minorEastAsia" w:cs="Arial"/>
          <w:kern w:val="0"/>
          <w:szCs w:val="21"/>
        </w:rPr>
        <w:t>年，是中国领先的创业投资与私</w:t>
      </w:r>
      <w:proofErr w:type="gramStart"/>
      <w:r w:rsidRPr="00B2679A">
        <w:rPr>
          <w:rFonts w:eastAsiaTheme="minorEastAsia" w:hAnsiTheme="minorEastAsia" w:cs="Arial"/>
          <w:kern w:val="0"/>
          <w:szCs w:val="21"/>
        </w:rPr>
        <w:t>募股权投资</w:t>
      </w:r>
      <w:proofErr w:type="gramEnd"/>
      <w:r w:rsidRPr="00B2679A">
        <w:rPr>
          <w:rFonts w:eastAsiaTheme="minorEastAsia" w:hAnsiTheme="minorEastAsia" w:cs="Arial"/>
          <w:kern w:val="0"/>
          <w:szCs w:val="21"/>
        </w:rPr>
        <w:t>领域综合服务及投资机构，主要业务涉及：领域内的信息资讯、研究咨询、会议论坛、投资银行服务、直接投资及</w:t>
      </w:r>
      <w:proofErr w:type="gramStart"/>
      <w:r w:rsidRPr="00B2679A">
        <w:rPr>
          <w:rFonts w:eastAsiaTheme="minorEastAsia" w:hAnsiTheme="minorEastAsia" w:cs="Arial"/>
          <w:kern w:val="0"/>
          <w:szCs w:val="21"/>
        </w:rPr>
        <w:t>母基金</w:t>
      </w:r>
      <w:proofErr w:type="gramEnd"/>
      <w:r w:rsidRPr="00B2679A">
        <w:rPr>
          <w:rFonts w:eastAsiaTheme="minorEastAsia" w:hAnsiTheme="minorEastAsia" w:cs="Arial"/>
          <w:kern w:val="0"/>
          <w:szCs w:val="21"/>
        </w:rPr>
        <w:t>管理。欲了解更多内容</w:t>
      </w:r>
      <w:proofErr w:type="gramStart"/>
      <w:r w:rsidRPr="00B2679A">
        <w:rPr>
          <w:rFonts w:eastAsiaTheme="minorEastAsia" w:hAnsiTheme="minorEastAsia" w:cs="Arial"/>
          <w:kern w:val="0"/>
          <w:szCs w:val="21"/>
        </w:rPr>
        <w:t>请访问</w:t>
      </w:r>
      <w:proofErr w:type="gramEnd"/>
      <w:r w:rsidRPr="00B2679A">
        <w:rPr>
          <w:rFonts w:eastAsiaTheme="minorEastAsia" w:cs="Arial"/>
          <w:kern w:val="0"/>
          <w:szCs w:val="21"/>
        </w:rPr>
        <w:t>http://www.zero2ipogroup.com/</w:t>
      </w:r>
      <w:r w:rsidRPr="00B2679A">
        <w:rPr>
          <w:rFonts w:eastAsiaTheme="minorEastAsia" w:hAnsiTheme="minorEastAsia" w:cs="Arial"/>
          <w:kern w:val="0"/>
          <w:szCs w:val="21"/>
        </w:rPr>
        <w:t>。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cs="Arial"/>
          <w:kern w:val="0"/>
          <w:szCs w:val="21"/>
        </w:rPr>
        <w:t xml:space="preserve">                                                                               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b/>
          <w:bCs/>
          <w:kern w:val="0"/>
          <w:szCs w:val="21"/>
        </w:rPr>
      </w:pPr>
      <w:r w:rsidRPr="00B2679A">
        <w:rPr>
          <w:rFonts w:eastAsiaTheme="minorEastAsia" w:hAnsiTheme="minorEastAsia" w:cs="Arial"/>
          <w:b/>
          <w:bCs/>
          <w:kern w:val="0"/>
          <w:szCs w:val="21"/>
        </w:rPr>
        <w:t>引用说明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cs="Arial"/>
          <w:kern w:val="0"/>
          <w:szCs w:val="21"/>
        </w:rPr>
        <w:t xml:space="preserve"> 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hAnsiTheme="minorEastAsia" w:cs="Arial"/>
          <w:kern w:val="0"/>
          <w:szCs w:val="21"/>
        </w:rPr>
        <w:t>本文</w:t>
      </w:r>
      <w:proofErr w:type="gramStart"/>
      <w:r w:rsidRPr="00B2679A">
        <w:rPr>
          <w:rFonts w:eastAsiaTheme="minorEastAsia" w:hAnsiTheme="minorEastAsia" w:cs="Arial"/>
          <w:kern w:val="0"/>
          <w:szCs w:val="21"/>
        </w:rPr>
        <w:t>由清科集团</w:t>
      </w:r>
      <w:proofErr w:type="gramEnd"/>
      <w:r w:rsidRPr="00B2679A">
        <w:rPr>
          <w:rFonts w:eastAsiaTheme="minorEastAsia" w:hAnsiTheme="minorEastAsia" w:cs="Arial"/>
          <w:kern w:val="0"/>
          <w:szCs w:val="21"/>
        </w:rPr>
        <w:t>公开对媒体发布，如蒙引用，请注明来源：</w:t>
      </w:r>
      <w:proofErr w:type="gramStart"/>
      <w:r w:rsidRPr="00B2679A">
        <w:rPr>
          <w:rFonts w:eastAsiaTheme="minorEastAsia" w:hAnsiTheme="minorEastAsia" w:cs="Arial"/>
          <w:kern w:val="0"/>
          <w:szCs w:val="21"/>
        </w:rPr>
        <w:t>清科研究中心</w:t>
      </w:r>
      <w:proofErr w:type="gramEnd"/>
      <w:r w:rsidRPr="00B2679A">
        <w:rPr>
          <w:rFonts w:eastAsiaTheme="minorEastAsia" w:hAnsiTheme="minorEastAsia" w:cs="Arial"/>
          <w:kern w:val="0"/>
          <w:szCs w:val="21"/>
        </w:rPr>
        <w:t>，并请将样报两份寄至：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cs="Arial"/>
          <w:kern w:val="0"/>
          <w:szCs w:val="21"/>
        </w:rPr>
        <w:t xml:space="preserve"> 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hAnsiTheme="minorEastAsia" w:cs="Arial"/>
          <w:kern w:val="0"/>
          <w:szCs w:val="21"/>
        </w:rPr>
        <w:t>北京市朝阳区亮马桥路</w:t>
      </w:r>
      <w:r w:rsidRPr="00B2679A">
        <w:rPr>
          <w:rFonts w:eastAsiaTheme="minorEastAsia" w:cs="Arial"/>
          <w:kern w:val="0"/>
          <w:szCs w:val="21"/>
        </w:rPr>
        <w:t>39</w:t>
      </w:r>
      <w:r w:rsidRPr="00B2679A">
        <w:rPr>
          <w:rFonts w:eastAsiaTheme="minorEastAsia" w:hAnsiTheme="minorEastAsia" w:cs="Arial"/>
          <w:kern w:val="0"/>
          <w:szCs w:val="21"/>
        </w:rPr>
        <w:t>号第一上海中心</w:t>
      </w:r>
      <w:r w:rsidRPr="00B2679A">
        <w:rPr>
          <w:rFonts w:eastAsiaTheme="minorEastAsia" w:cs="Arial"/>
          <w:kern w:val="0"/>
          <w:szCs w:val="21"/>
        </w:rPr>
        <w:t>4</w:t>
      </w:r>
      <w:r w:rsidRPr="00B2679A">
        <w:rPr>
          <w:rFonts w:eastAsiaTheme="minorEastAsia" w:hAnsiTheme="minorEastAsia" w:cs="Arial"/>
          <w:kern w:val="0"/>
          <w:szCs w:val="21"/>
        </w:rPr>
        <w:t>层</w:t>
      </w:r>
      <w:r w:rsidRPr="00B2679A">
        <w:rPr>
          <w:rFonts w:eastAsiaTheme="minorEastAsia" w:cs="Arial"/>
          <w:kern w:val="0"/>
          <w:szCs w:val="21"/>
        </w:rPr>
        <w:t>401</w:t>
      </w:r>
      <w:r w:rsidRPr="00B2679A">
        <w:rPr>
          <w:rFonts w:eastAsiaTheme="minorEastAsia" w:hAnsiTheme="minorEastAsia" w:cs="Arial"/>
          <w:kern w:val="0"/>
          <w:szCs w:val="21"/>
        </w:rPr>
        <w:t>室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hAnsiTheme="minorEastAsia" w:cs="Arial"/>
          <w:kern w:val="0"/>
          <w:szCs w:val="21"/>
        </w:rPr>
        <w:t>联系人：姚婷婷</w:t>
      </w:r>
      <w:r w:rsidRPr="00B2679A">
        <w:rPr>
          <w:rFonts w:eastAsiaTheme="minorEastAsia" w:cs="Arial"/>
          <w:kern w:val="0"/>
          <w:szCs w:val="21"/>
        </w:rPr>
        <w:t xml:space="preserve"> </w:t>
      </w:r>
      <w:r w:rsidRPr="00B2679A">
        <w:rPr>
          <w:rFonts w:eastAsiaTheme="minorEastAsia" w:hAnsiTheme="minorEastAsia" w:cs="Arial"/>
          <w:kern w:val="0"/>
          <w:szCs w:val="21"/>
        </w:rPr>
        <w:t>（</w:t>
      </w:r>
      <w:r w:rsidRPr="00B2679A">
        <w:rPr>
          <w:rFonts w:eastAsiaTheme="minorEastAsia" w:cs="Arial"/>
          <w:kern w:val="0"/>
          <w:szCs w:val="21"/>
        </w:rPr>
        <w:t>Jewel Yao</w:t>
      </w:r>
      <w:r w:rsidRPr="00B2679A">
        <w:rPr>
          <w:rFonts w:eastAsiaTheme="minorEastAsia" w:hAnsiTheme="minorEastAsia" w:cs="Arial"/>
          <w:kern w:val="0"/>
          <w:szCs w:val="21"/>
        </w:rPr>
        <w:t>）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hAnsiTheme="minorEastAsia" w:cs="Arial"/>
          <w:kern w:val="0"/>
          <w:szCs w:val="21"/>
        </w:rPr>
        <w:t>电话：</w:t>
      </w:r>
      <w:r w:rsidRPr="00B2679A">
        <w:rPr>
          <w:rFonts w:eastAsiaTheme="minorEastAsia" w:cs="Arial"/>
          <w:kern w:val="0"/>
          <w:szCs w:val="21"/>
        </w:rPr>
        <w:t>+86 10 84535220-6202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hAnsiTheme="minorEastAsia" w:cs="Arial"/>
          <w:kern w:val="0"/>
          <w:szCs w:val="21"/>
        </w:rPr>
        <w:t>电子邮件：</w:t>
      </w:r>
      <w:proofErr w:type="spellStart"/>
      <w:proofErr w:type="gramStart"/>
      <w:r w:rsidRPr="00B2679A">
        <w:rPr>
          <w:rFonts w:eastAsiaTheme="minorEastAsia" w:cs="Arial"/>
          <w:kern w:val="0"/>
          <w:szCs w:val="21"/>
        </w:rPr>
        <w:t>jewelyao</w:t>
      </w:r>
      <w:proofErr w:type="spellEnd"/>
      <w:proofErr w:type="gramEnd"/>
      <w:r w:rsidRPr="00B2679A">
        <w:rPr>
          <w:rFonts w:eastAsiaTheme="minorEastAsia" w:cs="Arial"/>
          <w:kern w:val="0"/>
          <w:szCs w:val="21"/>
        </w:rPr>
        <w:t>@ zero2ipo.com.cn</w:t>
      </w:r>
    </w:p>
    <w:p w:rsidR="00B2679A" w:rsidRPr="00B2679A" w:rsidRDefault="00B2679A" w:rsidP="00B2679A">
      <w:pPr>
        <w:widowControl/>
        <w:jc w:val="left"/>
        <w:rPr>
          <w:rFonts w:eastAsiaTheme="minorEastAsia" w:cs="Arial"/>
          <w:kern w:val="0"/>
          <w:szCs w:val="21"/>
        </w:rPr>
      </w:pPr>
      <w:r w:rsidRPr="00B2679A">
        <w:rPr>
          <w:rFonts w:eastAsiaTheme="minorEastAsia" w:cs="Arial"/>
          <w:kern w:val="0"/>
          <w:szCs w:val="21"/>
        </w:rPr>
        <w:t xml:space="preserve"> </w:t>
      </w:r>
    </w:p>
    <w:p w:rsidR="00834EF6" w:rsidRPr="00B2679A" w:rsidRDefault="00834EF6" w:rsidP="00B2679A">
      <w:pPr>
        <w:widowControl/>
        <w:jc w:val="left"/>
        <w:rPr>
          <w:rFonts w:eastAsiaTheme="minorEastAsia" w:cs="Arial"/>
          <w:szCs w:val="21"/>
        </w:rPr>
      </w:pPr>
    </w:p>
    <w:p w:rsidR="00B2679A" w:rsidRPr="00B2679A" w:rsidRDefault="00B2679A" w:rsidP="00B2679A">
      <w:pPr>
        <w:widowControl/>
        <w:jc w:val="left"/>
        <w:rPr>
          <w:rFonts w:eastAsiaTheme="minorEastAsia" w:cs="Arial"/>
          <w:szCs w:val="21"/>
        </w:rPr>
      </w:pPr>
    </w:p>
    <w:sectPr w:rsidR="00B2679A" w:rsidRPr="00B2679A" w:rsidSect="00E548B5">
      <w:headerReference w:type="default" r:id="rId12"/>
      <w:footerReference w:type="even" r:id="rId13"/>
      <w:footerReference w:type="default" r:id="rId14"/>
      <w:footnotePr>
        <w:numRestart w:val="eachPage"/>
      </w:footnotePr>
      <w:pgSz w:w="11906" w:h="16838" w:code="9"/>
      <w:pgMar w:top="1531" w:right="1134" w:bottom="1304" w:left="1134" w:header="720" w:footer="720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798" w:rsidRDefault="00195798">
      <w:r>
        <w:separator/>
      </w:r>
    </w:p>
  </w:endnote>
  <w:endnote w:type="continuationSeparator" w:id="0">
    <w:p w:rsidR="00195798" w:rsidRDefault="00195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9A" w:rsidRDefault="00B2679A" w:rsidP="00AE0230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2679A" w:rsidRDefault="00B2679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9A" w:rsidRDefault="00B2679A" w:rsidP="00AE0230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4431">
      <w:rPr>
        <w:rStyle w:val="af0"/>
        <w:noProof/>
      </w:rPr>
      <w:t>2</w:t>
    </w:r>
    <w:r>
      <w:rPr>
        <w:rStyle w:val="af0"/>
      </w:rPr>
      <w:fldChar w:fldCharType="end"/>
    </w:r>
  </w:p>
  <w:p w:rsidR="00B2679A" w:rsidRDefault="00B267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798" w:rsidRDefault="00195798">
      <w:r>
        <w:separator/>
      </w:r>
    </w:p>
  </w:footnote>
  <w:footnote w:type="continuationSeparator" w:id="0">
    <w:p w:rsidR="00195798" w:rsidRDefault="00195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9A" w:rsidRDefault="00B2679A" w:rsidP="00120B5E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-457200</wp:posOffset>
          </wp:positionV>
          <wp:extent cx="7581900" cy="10724636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研究中心word内页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615" cy="10719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rect id="Rectangle 13" o:spid="_x0000_s2049" style="position:absolute;left:0;text-align:left;margin-left:-38.85pt;margin-top:-4.8pt;width:486pt;height:43.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" filled="f" stroked="f">
          <v:textbox>
            <w:txbxContent>
              <w:p w:rsidR="00B2679A" w:rsidRPr="00E548B5" w:rsidRDefault="00B2679A" w:rsidP="006E7152">
                <w:pPr>
                  <w:rPr>
                    <w:rFonts w:ascii="微软雅黑" w:eastAsia="微软雅黑" w:hAnsi="微软雅黑" w:cs="Arial"/>
                    <w:b/>
                    <w:color w:val="FFFFFF"/>
                    <w:sz w:val="36"/>
                    <w:szCs w:val="36"/>
                  </w:rPr>
                </w:pPr>
                <w:proofErr w:type="gramStart"/>
                <w:r w:rsidRPr="00E548B5">
                  <w:rPr>
                    <w:rFonts w:ascii="微软雅黑" w:eastAsia="微软雅黑" w:hAnsi="微软雅黑" w:cs="Arial" w:hint="eastAsia"/>
                    <w:b/>
                    <w:color w:val="FFFFFF"/>
                    <w:sz w:val="36"/>
                    <w:szCs w:val="36"/>
                  </w:rPr>
                  <w:t>清</w:t>
                </w:r>
                <w:r>
                  <w:rPr>
                    <w:rFonts w:ascii="微软雅黑" w:eastAsia="微软雅黑" w:hAnsi="微软雅黑" w:cs="Arial" w:hint="eastAsia"/>
                    <w:b/>
                    <w:color w:val="000000" w:themeColor="text1"/>
                    <w:sz w:val="36"/>
                    <w:szCs w:val="36"/>
                  </w:rPr>
                  <w:t>清科</w:t>
                </w:r>
                <w:proofErr w:type="gramEnd"/>
                <w:r w:rsidRPr="006E7152">
                  <w:rPr>
                    <w:rFonts w:ascii="微软雅黑" w:eastAsia="微软雅黑" w:hAnsi="微软雅黑" w:cs="Arial" w:hint="eastAsia"/>
                    <w:b/>
                    <w:color w:val="000000" w:themeColor="text1"/>
                    <w:sz w:val="36"/>
                    <w:szCs w:val="36"/>
                  </w:rPr>
                  <w:t>201</w:t>
                </w:r>
                <w:r>
                  <w:rPr>
                    <w:rFonts w:ascii="微软雅黑" w:eastAsia="微软雅黑" w:hAnsi="微软雅黑" w:cs="Arial" w:hint="eastAsia"/>
                    <w:b/>
                    <w:color w:val="000000" w:themeColor="text1"/>
                    <w:sz w:val="36"/>
                    <w:szCs w:val="36"/>
                  </w:rPr>
                  <w:t>5</w:t>
                </w:r>
                <w:r w:rsidRPr="006E7152">
                  <w:rPr>
                    <w:rFonts w:ascii="微软雅黑" w:eastAsia="微软雅黑" w:hAnsi="微软雅黑" w:cs="Arial" w:hint="eastAsia"/>
                    <w:b/>
                    <w:color w:val="000000" w:themeColor="text1"/>
                    <w:sz w:val="36"/>
                    <w:szCs w:val="36"/>
                  </w:rPr>
                  <w:t>年</w:t>
                </w:r>
                <w:r>
                  <w:rPr>
                    <w:rFonts w:ascii="微软雅黑" w:eastAsia="微软雅黑" w:hAnsi="微软雅黑" w:cs="Arial" w:hint="eastAsia"/>
                    <w:b/>
                    <w:color w:val="000000" w:themeColor="text1"/>
                    <w:sz w:val="36"/>
                    <w:szCs w:val="36"/>
                  </w:rPr>
                  <w:t>1</w:t>
                </w:r>
                <w:r w:rsidRPr="006E7152">
                  <w:rPr>
                    <w:rFonts w:ascii="微软雅黑" w:eastAsia="微软雅黑" w:hAnsi="微软雅黑" w:cs="Arial" w:hint="eastAsia"/>
                    <w:b/>
                    <w:color w:val="000000" w:themeColor="text1"/>
                    <w:sz w:val="36"/>
                    <w:szCs w:val="36"/>
                  </w:rPr>
                  <w:t>月中国</w:t>
                </w:r>
                <w:r>
                  <w:rPr>
                    <w:rFonts w:ascii="微软雅黑" w:eastAsia="微软雅黑" w:hAnsi="微软雅黑" w:cs="Arial" w:hint="eastAsia"/>
                    <w:b/>
                    <w:color w:val="000000" w:themeColor="text1"/>
                    <w:sz w:val="36"/>
                    <w:szCs w:val="36"/>
                  </w:rPr>
                  <w:t>企业并购</w:t>
                </w:r>
                <w:r w:rsidRPr="006E7152">
                  <w:rPr>
                    <w:rFonts w:ascii="微软雅黑" w:eastAsia="微软雅黑" w:hAnsi="微软雅黑" w:cs="Arial" w:hint="eastAsia"/>
                    <w:b/>
                    <w:color w:val="000000" w:themeColor="text1"/>
                    <w:sz w:val="36"/>
                    <w:szCs w:val="36"/>
                  </w:rPr>
                  <w:t>统计报告</w:t>
                </w:r>
              </w:p>
              <w:p w:rsidR="00B2679A" w:rsidRPr="00E548B5" w:rsidRDefault="00B2679A" w:rsidP="006E7152">
                <w:pPr>
                  <w:rPr>
                    <w:rFonts w:ascii="微软雅黑" w:eastAsia="微软雅黑" w:hAnsi="微软雅黑" w:cs="Arial"/>
                    <w:b/>
                    <w:color w:val="FFFFFF"/>
                    <w:sz w:val="36"/>
                    <w:szCs w:val="36"/>
                  </w:rPr>
                </w:pPr>
                <w:r w:rsidRPr="00E548B5">
                  <w:rPr>
                    <w:rFonts w:ascii="微软雅黑" w:eastAsia="微软雅黑" w:hAnsi="微软雅黑" w:cs="Arial" w:hint="eastAsia"/>
                    <w:b/>
                    <w:color w:val="FFFFFF"/>
                    <w:sz w:val="36"/>
                    <w:szCs w:val="36"/>
                  </w:rPr>
                  <w:t>1</w:t>
                </w:r>
                <w:r>
                  <w:rPr>
                    <w:rFonts w:ascii="微软雅黑" w:eastAsia="微软雅黑" w:hAnsi="微软雅黑" w:cs="Arial" w:hint="eastAsia"/>
                    <w:b/>
                    <w:color w:val="FFFFFF"/>
                    <w:sz w:val="36"/>
                    <w:szCs w:val="36"/>
                  </w:rPr>
                  <w:t>4</w:t>
                </w:r>
                <w:r w:rsidRPr="00E548B5">
                  <w:rPr>
                    <w:rFonts w:ascii="微软雅黑" w:eastAsia="微软雅黑" w:hAnsi="微软雅黑" w:cs="Arial" w:hint="eastAsia"/>
                    <w:b/>
                    <w:color w:val="FFFFFF"/>
                    <w:sz w:val="36"/>
                    <w:szCs w:val="36"/>
                  </w:rPr>
                  <w:t>年</w:t>
                </w:r>
                <w:r>
                  <w:rPr>
                    <w:rFonts w:ascii="微软雅黑" w:eastAsia="微软雅黑" w:hAnsi="微软雅黑" w:cs="Arial" w:hint="eastAsia"/>
                    <w:b/>
                    <w:color w:val="FFFFFF"/>
                    <w:sz w:val="36"/>
                    <w:szCs w:val="36"/>
                  </w:rPr>
                  <w:t>3</w:t>
                </w:r>
                <w:r w:rsidRPr="00E548B5">
                  <w:rPr>
                    <w:rFonts w:ascii="微软雅黑" w:eastAsia="微软雅黑" w:hAnsi="微软雅黑" w:cs="Arial" w:hint="eastAsia"/>
                    <w:b/>
                    <w:color w:val="FFFFFF"/>
                    <w:sz w:val="36"/>
                    <w:szCs w:val="36"/>
                  </w:rPr>
                  <w:t>月中国创业投资</w:t>
                </w:r>
                <w:proofErr w:type="gramStart"/>
                <w:r w:rsidRPr="00E548B5">
                  <w:rPr>
                    <w:rFonts w:ascii="微软雅黑" w:eastAsia="微软雅黑" w:hAnsi="微软雅黑" w:cs="Arial" w:hint="eastAsia"/>
                    <w:b/>
                    <w:color w:val="FFFFFF"/>
                    <w:sz w:val="36"/>
                    <w:szCs w:val="36"/>
                  </w:rPr>
                  <w:t>暨私募股权投资</w:t>
                </w:r>
                <w:proofErr w:type="gramEnd"/>
                <w:r w:rsidRPr="00E548B5">
                  <w:rPr>
                    <w:rFonts w:ascii="微软雅黑" w:eastAsia="微软雅黑" w:hAnsi="微软雅黑" w:cs="Arial" w:hint="eastAsia"/>
                    <w:b/>
                    <w:color w:val="FFFFFF"/>
                    <w:sz w:val="36"/>
                    <w:szCs w:val="36"/>
                  </w:rPr>
                  <w:t>统计报告</w:t>
                </w:r>
              </w:p>
              <w:p w:rsidR="00B2679A" w:rsidRPr="006E7152" w:rsidRDefault="00B2679A" w:rsidP="00E548B5">
                <w:pPr>
                  <w:rPr>
                    <w:color w:val="000000" w:themeColor="text1"/>
                    <w:szCs w:val="36"/>
                  </w:rPr>
                </w:pP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A33"/>
    <w:multiLevelType w:val="multilevel"/>
    <w:tmpl w:val="503EDF9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>
    <w:nsid w:val="00CF3C0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2">
    <w:nsid w:val="016A5C5C"/>
    <w:multiLevelType w:val="multilevel"/>
    <w:tmpl w:val="B8E6DE8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0788116D"/>
    <w:multiLevelType w:val="multilevel"/>
    <w:tmpl w:val="E3608E7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>
    <w:nsid w:val="0BEE61CA"/>
    <w:multiLevelType w:val="multilevel"/>
    <w:tmpl w:val="15D25CC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>
    <w:nsid w:val="0DC21025"/>
    <w:multiLevelType w:val="multilevel"/>
    <w:tmpl w:val="F306B8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>
    <w:nsid w:val="0F1C555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7">
    <w:nsid w:val="0F7D5174"/>
    <w:multiLevelType w:val="multilevel"/>
    <w:tmpl w:val="5644D3F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>
    <w:nsid w:val="14CE699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9">
    <w:nsid w:val="173632E8"/>
    <w:multiLevelType w:val="multilevel"/>
    <w:tmpl w:val="CB08710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>
    <w:nsid w:val="1BBF1AFC"/>
    <w:multiLevelType w:val="multilevel"/>
    <w:tmpl w:val="C428E8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>
    <w:nsid w:val="1C4821E1"/>
    <w:multiLevelType w:val="multilevel"/>
    <w:tmpl w:val="32E864A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>
    <w:nsid w:val="1E2B1C90"/>
    <w:multiLevelType w:val="multilevel"/>
    <w:tmpl w:val="860AD1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>
    <w:nsid w:val="227C2656"/>
    <w:multiLevelType w:val="multilevel"/>
    <w:tmpl w:val="B37C37F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4">
    <w:nsid w:val="23244C9A"/>
    <w:multiLevelType w:val="multilevel"/>
    <w:tmpl w:val="CBB806E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>
    <w:nsid w:val="259629F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>
    <w:nsid w:val="27B451DC"/>
    <w:multiLevelType w:val="hybridMultilevel"/>
    <w:tmpl w:val="F53CC966"/>
    <w:lvl w:ilvl="0" w:tplc="6CEC2EE2">
      <w:start w:val="1"/>
      <w:numFmt w:val="bullet"/>
      <w:pStyle w:val="10"/>
      <w:lvlText w:val="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2AFD577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50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43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422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53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61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9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5102" w:hanging="1700"/>
      </w:pPr>
    </w:lvl>
  </w:abstractNum>
  <w:abstractNum w:abstractNumId="18">
    <w:nsid w:val="30F96D68"/>
    <w:multiLevelType w:val="multilevel"/>
    <w:tmpl w:val="8252E8E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398E2908"/>
    <w:multiLevelType w:val="multilevel"/>
    <w:tmpl w:val="0900BCA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>
    <w:nsid w:val="3AA92C6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21">
    <w:nsid w:val="3B2C4BB8"/>
    <w:multiLevelType w:val="multilevel"/>
    <w:tmpl w:val="7D6AD8B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2">
    <w:nsid w:val="3B71117C"/>
    <w:multiLevelType w:val="multilevel"/>
    <w:tmpl w:val="C3AAEB1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>
    <w:nsid w:val="3C5E1B8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4">
    <w:nsid w:val="3CCC2C0A"/>
    <w:multiLevelType w:val="multilevel"/>
    <w:tmpl w:val="E1203EA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5">
    <w:nsid w:val="3CE131EE"/>
    <w:multiLevelType w:val="multilevel"/>
    <w:tmpl w:val="A55EA4D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>
    <w:nsid w:val="3CF95A18"/>
    <w:multiLevelType w:val="hybridMultilevel"/>
    <w:tmpl w:val="376EEF30"/>
    <w:lvl w:ilvl="0" w:tplc="A240E6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16C04E9"/>
    <w:multiLevelType w:val="multilevel"/>
    <w:tmpl w:val="82B4AE18"/>
    <w:lvl w:ilvl="0">
      <w:start w:val="8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4"/>
      <w:numFmt w:val="decimal"/>
      <w:lvlText w:val="%1.%2"/>
      <w:lvlJc w:val="left"/>
      <w:pPr>
        <w:tabs>
          <w:tab w:val="num" w:pos="765"/>
        </w:tabs>
        <w:ind w:left="765" w:hanging="765"/>
      </w:p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3E73E3C"/>
    <w:multiLevelType w:val="multilevel"/>
    <w:tmpl w:val="CD8C30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9">
    <w:nsid w:val="449D794B"/>
    <w:multiLevelType w:val="multilevel"/>
    <w:tmpl w:val="F21E0D4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0">
    <w:nsid w:val="4B7A5C61"/>
    <w:multiLevelType w:val="multilevel"/>
    <w:tmpl w:val="F0269DE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1">
    <w:nsid w:val="4C4D5E0C"/>
    <w:multiLevelType w:val="multilevel"/>
    <w:tmpl w:val="E6EC72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2">
    <w:nsid w:val="4D2E158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3">
    <w:nsid w:val="50CC7705"/>
    <w:multiLevelType w:val="multilevel"/>
    <w:tmpl w:val="533C7D8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4">
    <w:nsid w:val="53AB1C02"/>
    <w:multiLevelType w:val="hybridMultilevel"/>
    <w:tmpl w:val="29C4CC92"/>
    <w:lvl w:ilvl="0" w:tplc="80244D0A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57D54AF6"/>
    <w:multiLevelType w:val="multilevel"/>
    <w:tmpl w:val="F9D62A0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6">
    <w:nsid w:val="5D7A5608"/>
    <w:multiLevelType w:val="hybridMultilevel"/>
    <w:tmpl w:val="49F0EECE"/>
    <w:lvl w:ilvl="0" w:tplc="EB1E7B78">
      <w:start w:val="1"/>
      <w:numFmt w:val="bullet"/>
      <w:pStyle w:val="20"/>
      <w:lvlText w:val=""/>
      <w:lvlJc w:val="left"/>
      <w:pPr>
        <w:tabs>
          <w:tab w:val="num" w:pos="1678"/>
        </w:tabs>
        <w:ind w:left="1678" w:hanging="41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5D955CE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50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43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422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53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61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9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5102" w:hanging="1700"/>
      </w:pPr>
    </w:lvl>
  </w:abstractNum>
  <w:abstractNum w:abstractNumId="38">
    <w:nsid w:val="5F910CFD"/>
    <w:multiLevelType w:val="multilevel"/>
    <w:tmpl w:val="9552D6D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9">
    <w:nsid w:val="6051569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50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43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422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53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61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9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5102" w:hanging="1700"/>
      </w:pPr>
    </w:lvl>
  </w:abstractNum>
  <w:abstractNum w:abstractNumId="40">
    <w:nsid w:val="68AB43B0"/>
    <w:multiLevelType w:val="multilevel"/>
    <w:tmpl w:val="42E2233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1">
    <w:nsid w:val="696A6522"/>
    <w:multiLevelType w:val="multilevel"/>
    <w:tmpl w:val="5D96D03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2">
    <w:nsid w:val="6C430333"/>
    <w:multiLevelType w:val="multilevel"/>
    <w:tmpl w:val="9552D6D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3">
    <w:nsid w:val="711F74BD"/>
    <w:multiLevelType w:val="multilevel"/>
    <w:tmpl w:val="42E2233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4">
    <w:nsid w:val="7846716F"/>
    <w:multiLevelType w:val="hybridMultilevel"/>
    <w:tmpl w:val="251AB41C"/>
    <w:lvl w:ilvl="0" w:tplc="64907FD8">
      <w:start w:val="1"/>
      <w:numFmt w:val="decimal"/>
      <w:pStyle w:val="a"/>
      <w:lvlText w:val="图表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>
    <w:nsid w:val="7B814F0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46">
    <w:nsid w:val="7CBC09D2"/>
    <w:multiLevelType w:val="multilevel"/>
    <w:tmpl w:val="F21E0D4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18"/>
  </w:num>
  <w:num w:numId="5">
    <w:abstractNumId w:val="23"/>
  </w:num>
  <w:num w:numId="6">
    <w:abstractNumId w:val="33"/>
  </w:num>
  <w:num w:numId="7">
    <w:abstractNumId w:val="12"/>
  </w:num>
  <w:num w:numId="8">
    <w:abstractNumId w:val="35"/>
  </w:num>
  <w:num w:numId="9">
    <w:abstractNumId w:val="30"/>
  </w:num>
  <w:num w:numId="10">
    <w:abstractNumId w:val="19"/>
  </w:num>
  <w:num w:numId="11">
    <w:abstractNumId w:val="5"/>
  </w:num>
  <w:num w:numId="12">
    <w:abstractNumId w:val="17"/>
  </w:num>
  <w:num w:numId="13">
    <w:abstractNumId w:val="14"/>
  </w:num>
  <w:num w:numId="14">
    <w:abstractNumId w:val="1"/>
  </w:num>
  <w:num w:numId="15">
    <w:abstractNumId w:val="28"/>
  </w:num>
  <w:num w:numId="16">
    <w:abstractNumId w:val="42"/>
  </w:num>
  <w:num w:numId="17">
    <w:abstractNumId w:val="9"/>
  </w:num>
  <w:num w:numId="18">
    <w:abstractNumId w:val="38"/>
  </w:num>
  <w:num w:numId="19">
    <w:abstractNumId w:val="29"/>
  </w:num>
  <w:num w:numId="20">
    <w:abstractNumId w:val="46"/>
  </w:num>
  <w:num w:numId="21">
    <w:abstractNumId w:val="22"/>
  </w:num>
  <w:num w:numId="22">
    <w:abstractNumId w:val="41"/>
  </w:num>
  <w:num w:numId="23">
    <w:abstractNumId w:val="11"/>
  </w:num>
  <w:num w:numId="24">
    <w:abstractNumId w:val="3"/>
  </w:num>
  <w:num w:numId="25">
    <w:abstractNumId w:val="21"/>
  </w:num>
  <w:num w:numId="26">
    <w:abstractNumId w:val="31"/>
  </w:num>
  <w:num w:numId="27">
    <w:abstractNumId w:val="20"/>
  </w:num>
  <w:num w:numId="28">
    <w:abstractNumId w:val="25"/>
  </w:num>
  <w:num w:numId="29">
    <w:abstractNumId w:val="13"/>
  </w:num>
  <w:num w:numId="30">
    <w:abstractNumId w:val="10"/>
  </w:num>
  <w:num w:numId="31">
    <w:abstractNumId w:val="2"/>
  </w:num>
  <w:num w:numId="32">
    <w:abstractNumId w:val="32"/>
  </w:num>
  <w:num w:numId="33">
    <w:abstractNumId w:val="39"/>
  </w:num>
  <w:num w:numId="34">
    <w:abstractNumId w:val="37"/>
  </w:num>
  <w:num w:numId="35">
    <w:abstractNumId w:val="7"/>
  </w:num>
  <w:num w:numId="36">
    <w:abstractNumId w:val="44"/>
  </w:num>
  <w:num w:numId="37">
    <w:abstractNumId w:val="16"/>
  </w:num>
  <w:num w:numId="38">
    <w:abstractNumId w:val="45"/>
  </w:num>
  <w:num w:numId="39">
    <w:abstractNumId w:val="36"/>
  </w:num>
  <w:num w:numId="40">
    <w:abstractNumId w:val="15"/>
  </w:num>
  <w:num w:numId="41">
    <w:abstractNumId w:val="6"/>
  </w:num>
  <w:num w:numId="42">
    <w:abstractNumId w:val="8"/>
  </w:num>
  <w:num w:numId="43">
    <w:abstractNumId w:val="43"/>
  </w:num>
  <w:num w:numId="44">
    <w:abstractNumId w:val="40"/>
  </w:num>
  <w:num w:numId="45">
    <w:abstractNumId w:val="27"/>
    <w:lvlOverride w:ilvl="0">
      <w:startOverride w:val="8"/>
    </w:lvlOverride>
    <w:lvlOverride w:ilvl="1">
      <w:startOverride w:val="4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D82"/>
    <w:rsid w:val="00004D6E"/>
    <w:rsid w:val="00005762"/>
    <w:rsid w:val="000077B2"/>
    <w:rsid w:val="00007BA9"/>
    <w:rsid w:val="00007EF2"/>
    <w:rsid w:val="00011794"/>
    <w:rsid w:val="00012E41"/>
    <w:rsid w:val="00012ED7"/>
    <w:rsid w:val="00014F30"/>
    <w:rsid w:val="000163C6"/>
    <w:rsid w:val="00021598"/>
    <w:rsid w:val="000225BA"/>
    <w:rsid w:val="000236A2"/>
    <w:rsid w:val="00023DB7"/>
    <w:rsid w:val="0002697A"/>
    <w:rsid w:val="00026ED0"/>
    <w:rsid w:val="000271BD"/>
    <w:rsid w:val="00027E50"/>
    <w:rsid w:val="000313FB"/>
    <w:rsid w:val="000337DE"/>
    <w:rsid w:val="0003383A"/>
    <w:rsid w:val="0003491A"/>
    <w:rsid w:val="00035D79"/>
    <w:rsid w:val="00037343"/>
    <w:rsid w:val="00037B25"/>
    <w:rsid w:val="0004173A"/>
    <w:rsid w:val="00042DA5"/>
    <w:rsid w:val="00044118"/>
    <w:rsid w:val="0004446C"/>
    <w:rsid w:val="0004513E"/>
    <w:rsid w:val="0004713C"/>
    <w:rsid w:val="000472F6"/>
    <w:rsid w:val="00050993"/>
    <w:rsid w:val="00050B5B"/>
    <w:rsid w:val="00050C4D"/>
    <w:rsid w:val="00050F15"/>
    <w:rsid w:val="00051186"/>
    <w:rsid w:val="000512EC"/>
    <w:rsid w:val="00051E66"/>
    <w:rsid w:val="00052B14"/>
    <w:rsid w:val="00052CB7"/>
    <w:rsid w:val="00053494"/>
    <w:rsid w:val="00054431"/>
    <w:rsid w:val="00055A4B"/>
    <w:rsid w:val="000563C9"/>
    <w:rsid w:val="00056A6D"/>
    <w:rsid w:val="000570F0"/>
    <w:rsid w:val="00057EE2"/>
    <w:rsid w:val="00060040"/>
    <w:rsid w:val="00060498"/>
    <w:rsid w:val="0006119C"/>
    <w:rsid w:val="00063147"/>
    <w:rsid w:val="00063B15"/>
    <w:rsid w:val="000662B9"/>
    <w:rsid w:val="00066B30"/>
    <w:rsid w:val="00066B45"/>
    <w:rsid w:val="00066E3F"/>
    <w:rsid w:val="00067060"/>
    <w:rsid w:val="00067256"/>
    <w:rsid w:val="0007074A"/>
    <w:rsid w:val="00070FBE"/>
    <w:rsid w:val="00071332"/>
    <w:rsid w:val="0007179A"/>
    <w:rsid w:val="000737A3"/>
    <w:rsid w:val="000748EB"/>
    <w:rsid w:val="00074E70"/>
    <w:rsid w:val="00075520"/>
    <w:rsid w:val="00076BE8"/>
    <w:rsid w:val="0008193F"/>
    <w:rsid w:val="00083B8D"/>
    <w:rsid w:val="000843CC"/>
    <w:rsid w:val="00084B69"/>
    <w:rsid w:val="0008509C"/>
    <w:rsid w:val="00085BDB"/>
    <w:rsid w:val="00086020"/>
    <w:rsid w:val="000868FD"/>
    <w:rsid w:val="00087596"/>
    <w:rsid w:val="00087812"/>
    <w:rsid w:val="00087AFF"/>
    <w:rsid w:val="00087FEF"/>
    <w:rsid w:val="00090BDE"/>
    <w:rsid w:val="000916E7"/>
    <w:rsid w:val="00091F51"/>
    <w:rsid w:val="00092E16"/>
    <w:rsid w:val="00094238"/>
    <w:rsid w:val="000949A8"/>
    <w:rsid w:val="000949F4"/>
    <w:rsid w:val="0009595A"/>
    <w:rsid w:val="00095A86"/>
    <w:rsid w:val="00096605"/>
    <w:rsid w:val="00096EE6"/>
    <w:rsid w:val="000977EC"/>
    <w:rsid w:val="000A0EAE"/>
    <w:rsid w:val="000A17A6"/>
    <w:rsid w:val="000A1D2C"/>
    <w:rsid w:val="000A42C9"/>
    <w:rsid w:val="000A4F73"/>
    <w:rsid w:val="000A545B"/>
    <w:rsid w:val="000A5E49"/>
    <w:rsid w:val="000A5E50"/>
    <w:rsid w:val="000A6164"/>
    <w:rsid w:val="000A7B72"/>
    <w:rsid w:val="000B0DB0"/>
    <w:rsid w:val="000B208E"/>
    <w:rsid w:val="000B21B2"/>
    <w:rsid w:val="000B27DD"/>
    <w:rsid w:val="000B2B09"/>
    <w:rsid w:val="000B43F7"/>
    <w:rsid w:val="000B6981"/>
    <w:rsid w:val="000B6D34"/>
    <w:rsid w:val="000B7AB2"/>
    <w:rsid w:val="000C0A6E"/>
    <w:rsid w:val="000C115B"/>
    <w:rsid w:val="000C11F5"/>
    <w:rsid w:val="000C2059"/>
    <w:rsid w:val="000C4D40"/>
    <w:rsid w:val="000C4DB2"/>
    <w:rsid w:val="000C5152"/>
    <w:rsid w:val="000C5A89"/>
    <w:rsid w:val="000C61E6"/>
    <w:rsid w:val="000C620C"/>
    <w:rsid w:val="000C6328"/>
    <w:rsid w:val="000C67DB"/>
    <w:rsid w:val="000C70B9"/>
    <w:rsid w:val="000C758D"/>
    <w:rsid w:val="000D19DF"/>
    <w:rsid w:val="000D2AC6"/>
    <w:rsid w:val="000D3A2B"/>
    <w:rsid w:val="000D42C3"/>
    <w:rsid w:val="000D55ED"/>
    <w:rsid w:val="000D6B0D"/>
    <w:rsid w:val="000D7AC9"/>
    <w:rsid w:val="000E00F5"/>
    <w:rsid w:val="000E1788"/>
    <w:rsid w:val="000E2599"/>
    <w:rsid w:val="000E25F7"/>
    <w:rsid w:val="000E26AA"/>
    <w:rsid w:val="000E4B86"/>
    <w:rsid w:val="000E5B44"/>
    <w:rsid w:val="000E6DF7"/>
    <w:rsid w:val="000E75FC"/>
    <w:rsid w:val="000E7CAA"/>
    <w:rsid w:val="000F0C63"/>
    <w:rsid w:val="000F1DFF"/>
    <w:rsid w:val="000F237F"/>
    <w:rsid w:val="000F3500"/>
    <w:rsid w:val="000F48DD"/>
    <w:rsid w:val="000F4960"/>
    <w:rsid w:val="000F6004"/>
    <w:rsid w:val="000F6F21"/>
    <w:rsid w:val="00101FCA"/>
    <w:rsid w:val="00102AA4"/>
    <w:rsid w:val="00103E20"/>
    <w:rsid w:val="001040D6"/>
    <w:rsid w:val="00104274"/>
    <w:rsid w:val="00104929"/>
    <w:rsid w:val="0010509B"/>
    <w:rsid w:val="0010540A"/>
    <w:rsid w:val="0010662E"/>
    <w:rsid w:val="0010677B"/>
    <w:rsid w:val="00107B88"/>
    <w:rsid w:val="00107D86"/>
    <w:rsid w:val="00107DF2"/>
    <w:rsid w:val="0011011B"/>
    <w:rsid w:val="001109B4"/>
    <w:rsid w:val="00110AE1"/>
    <w:rsid w:val="00110E9C"/>
    <w:rsid w:val="001110DB"/>
    <w:rsid w:val="0011123C"/>
    <w:rsid w:val="00111CC2"/>
    <w:rsid w:val="001122F8"/>
    <w:rsid w:val="001127B6"/>
    <w:rsid w:val="0011335A"/>
    <w:rsid w:val="001138EF"/>
    <w:rsid w:val="0011696B"/>
    <w:rsid w:val="00117111"/>
    <w:rsid w:val="00117540"/>
    <w:rsid w:val="001176DE"/>
    <w:rsid w:val="0011771E"/>
    <w:rsid w:val="001203A2"/>
    <w:rsid w:val="00120B5E"/>
    <w:rsid w:val="00120D9D"/>
    <w:rsid w:val="00121767"/>
    <w:rsid w:val="00123653"/>
    <w:rsid w:val="00124516"/>
    <w:rsid w:val="00124B94"/>
    <w:rsid w:val="00125081"/>
    <w:rsid w:val="00125698"/>
    <w:rsid w:val="00126847"/>
    <w:rsid w:val="001268A5"/>
    <w:rsid w:val="001274E6"/>
    <w:rsid w:val="00127CB0"/>
    <w:rsid w:val="00127E92"/>
    <w:rsid w:val="00127F4F"/>
    <w:rsid w:val="00130231"/>
    <w:rsid w:val="0013023F"/>
    <w:rsid w:val="00130FB2"/>
    <w:rsid w:val="001328C8"/>
    <w:rsid w:val="0013369E"/>
    <w:rsid w:val="00133CE4"/>
    <w:rsid w:val="001361E6"/>
    <w:rsid w:val="0013699A"/>
    <w:rsid w:val="001403A1"/>
    <w:rsid w:val="00140904"/>
    <w:rsid w:val="001428C0"/>
    <w:rsid w:val="00142DCB"/>
    <w:rsid w:val="001436EA"/>
    <w:rsid w:val="00143BD0"/>
    <w:rsid w:val="00143E67"/>
    <w:rsid w:val="0014484A"/>
    <w:rsid w:val="00144D73"/>
    <w:rsid w:val="0014626E"/>
    <w:rsid w:val="00146403"/>
    <w:rsid w:val="00147C21"/>
    <w:rsid w:val="00151009"/>
    <w:rsid w:val="00152ED3"/>
    <w:rsid w:val="0015370B"/>
    <w:rsid w:val="0015379A"/>
    <w:rsid w:val="00153945"/>
    <w:rsid w:val="001542B3"/>
    <w:rsid w:val="00156E6B"/>
    <w:rsid w:val="00160141"/>
    <w:rsid w:val="001609EE"/>
    <w:rsid w:val="00160B95"/>
    <w:rsid w:val="0016219C"/>
    <w:rsid w:val="00162238"/>
    <w:rsid w:val="0016305F"/>
    <w:rsid w:val="001630EA"/>
    <w:rsid w:val="00163A39"/>
    <w:rsid w:val="001661D7"/>
    <w:rsid w:val="001710D1"/>
    <w:rsid w:val="00171384"/>
    <w:rsid w:val="001717E7"/>
    <w:rsid w:val="00171D8D"/>
    <w:rsid w:val="001765C5"/>
    <w:rsid w:val="00176A54"/>
    <w:rsid w:val="00176B92"/>
    <w:rsid w:val="00181B2A"/>
    <w:rsid w:val="00182710"/>
    <w:rsid w:val="00182C08"/>
    <w:rsid w:val="00183159"/>
    <w:rsid w:val="001840FE"/>
    <w:rsid w:val="00184467"/>
    <w:rsid w:val="00184F75"/>
    <w:rsid w:val="0018662A"/>
    <w:rsid w:val="001901F5"/>
    <w:rsid w:val="00190B62"/>
    <w:rsid w:val="00190C6D"/>
    <w:rsid w:val="00192F47"/>
    <w:rsid w:val="00193879"/>
    <w:rsid w:val="00195798"/>
    <w:rsid w:val="00196E0B"/>
    <w:rsid w:val="001A05B2"/>
    <w:rsid w:val="001A0958"/>
    <w:rsid w:val="001A1C65"/>
    <w:rsid w:val="001A2157"/>
    <w:rsid w:val="001A26A3"/>
    <w:rsid w:val="001A3A3D"/>
    <w:rsid w:val="001A5E2A"/>
    <w:rsid w:val="001A63CE"/>
    <w:rsid w:val="001A6AFD"/>
    <w:rsid w:val="001B0394"/>
    <w:rsid w:val="001B12F8"/>
    <w:rsid w:val="001C071E"/>
    <w:rsid w:val="001C0C58"/>
    <w:rsid w:val="001C11CF"/>
    <w:rsid w:val="001C25D7"/>
    <w:rsid w:val="001C2CBD"/>
    <w:rsid w:val="001C316C"/>
    <w:rsid w:val="001C394A"/>
    <w:rsid w:val="001C6766"/>
    <w:rsid w:val="001C6B67"/>
    <w:rsid w:val="001C7227"/>
    <w:rsid w:val="001C7A82"/>
    <w:rsid w:val="001D00D5"/>
    <w:rsid w:val="001D35F9"/>
    <w:rsid w:val="001D4421"/>
    <w:rsid w:val="001D5168"/>
    <w:rsid w:val="001D5329"/>
    <w:rsid w:val="001D5564"/>
    <w:rsid w:val="001D5DE7"/>
    <w:rsid w:val="001D7054"/>
    <w:rsid w:val="001E0031"/>
    <w:rsid w:val="001E0906"/>
    <w:rsid w:val="001E16B3"/>
    <w:rsid w:val="001E1938"/>
    <w:rsid w:val="001E1CFE"/>
    <w:rsid w:val="001E248C"/>
    <w:rsid w:val="001E52C8"/>
    <w:rsid w:val="001E61D1"/>
    <w:rsid w:val="001E7089"/>
    <w:rsid w:val="001E75FB"/>
    <w:rsid w:val="001E778B"/>
    <w:rsid w:val="001F08E2"/>
    <w:rsid w:val="001F22F6"/>
    <w:rsid w:val="001F2636"/>
    <w:rsid w:val="001F2747"/>
    <w:rsid w:val="001F2DC9"/>
    <w:rsid w:val="001F2F70"/>
    <w:rsid w:val="001F3176"/>
    <w:rsid w:val="001F33BD"/>
    <w:rsid w:val="001F3E15"/>
    <w:rsid w:val="001F4EC6"/>
    <w:rsid w:val="001F713A"/>
    <w:rsid w:val="00200092"/>
    <w:rsid w:val="00200CFC"/>
    <w:rsid w:val="0020110A"/>
    <w:rsid w:val="002015F5"/>
    <w:rsid w:val="00201ABC"/>
    <w:rsid w:val="00205D23"/>
    <w:rsid w:val="0020637B"/>
    <w:rsid w:val="00206BC8"/>
    <w:rsid w:val="00207445"/>
    <w:rsid w:val="002076E0"/>
    <w:rsid w:val="00207DC1"/>
    <w:rsid w:val="00210B73"/>
    <w:rsid w:val="00212E25"/>
    <w:rsid w:val="00213420"/>
    <w:rsid w:val="00213791"/>
    <w:rsid w:val="0021391E"/>
    <w:rsid w:val="00216C99"/>
    <w:rsid w:val="00217460"/>
    <w:rsid w:val="00220674"/>
    <w:rsid w:val="002206EB"/>
    <w:rsid w:val="0022129E"/>
    <w:rsid w:val="002212E0"/>
    <w:rsid w:val="00222419"/>
    <w:rsid w:val="00222B46"/>
    <w:rsid w:val="00222BD6"/>
    <w:rsid w:val="00222CD7"/>
    <w:rsid w:val="00222F2D"/>
    <w:rsid w:val="00223B54"/>
    <w:rsid w:val="002249FA"/>
    <w:rsid w:val="00225E7D"/>
    <w:rsid w:val="0022785A"/>
    <w:rsid w:val="00230A23"/>
    <w:rsid w:val="0023119C"/>
    <w:rsid w:val="002316FE"/>
    <w:rsid w:val="002317F1"/>
    <w:rsid w:val="002327F3"/>
    <w:rsid w:val="00234B69"/>
    <w:rsid w:val="00236600"/>
    <w:rsid w:val="00236B3E"/>
    <w:rsid w:val="00236BAF"/>
    <w:rsid w:val="00237A77"/>
    <w:rsid w:val="00237BF9"/>
    <w:rsid w:val="00241DD3"/>
    <w:rsid w:val="002422FD"/>
    <w:rsid w:val="00242F1B"/>
    <w:rsid w:val="00246A91"/>
    <w:rsid w:val="0024755D"/>
    <w:rsid w:val="002476A9"/>
    <w:rsid w:val="002478CA"/>
    <w:rsid w:val="00247E69"/>
    <w:rsid w:val="002507C4"/>
    <w:rsid w:val="002523D6"/>
    <w:rsid w:val="00252672"/>
    <w:rsid w:val="00253430"/>
    <w:rsid w:val="00254D79"/>
    <w:rsid w:val="0025549B"/>
    <w:rsid w:val="002556F1"/>
    <w:rsid w:val="00255E07"/>
    <w:rsid w:val="00256F39"/>
    <w:rsid w:val="00257031"/>
    <w:rsid w:val="00257899"/>
    <w:rsid w:val="00257A33"/>
    <w:rsid w:val="00261A2E"/>
    <w:rsid w:val="002635E1"/>
    <w:rsid w:val="002640C9"/>
    <w:rsid w:val="00264500"/>
    <w:rsid w:val="00264818"/>
    <w:rsid w:val="0026584F"/>
    <w:rsid w:val="00267DB8"/>
    <w:rsid w:val="00267F82"/>
    <w:rsid w:val="00270AB5"/>
    <w:rsid w:val="00270B7D"/>
    <w:rsid w:val="00270C3B"/>
    <w:rsid w:val="0027124B"/>
    <w:rsid w:val="00271A83"/>
    <w:rsid w:val="002726D5"/>
    <w:rsid w:val="00272C2F"/>
    <w:rsid w:val="00272CA8"/>
    <w:rsid w:val="00274D8F"/>
    <w:rsid w:val="002750DC"/>
    <w:rsid w:val="00275672"/>
    <w:rsid w:val="00275B09"/>
    <w:rsid w:val="0027669A"/>
    <w:rsid w:val="00276E18"/>
    <w:rsid w:val="002774BB"/>
    <w:rsid w:val="00280C30"/>
    <w:rsid w:val="00281405"/>
    <w:rsid w:val="0028144D"/>
    <w:rsid w:val="00281A1A"/>
    <w:rsid w:val="00281F19"/>
    <w:rsid w:val="002821C3"/>
    <w:rsid w:val="002824A6"/>
    <w:rsid w:val="00282D4E"/>
    <w:rsid w:val="00284720"/>
    <w:rsid w:val="00285B9A"/>
    <w:rsid w:val="0028613F"/>
    <w:rsid w:val="002861D0"/>
    <w:rsid w:val="002869A2"/>
    <w:rsid w:val="00287C69"/>
    <w:rsid w:val="00287D50"/>
    <w:rsid w:val="00290A6C"/>
    <w:rsid w:val="00291362"/>
    <w:rsid w:val="00293A70"/>
    <w:rsid w:val="00294904"/>
    <w:rsid w:val="00295EE0"/>
    <w:rsid w:val="00297A9E"/>
    <w:rsid w:val="002A203E"/>
    <w:rsid w:val="002A2AF6"/>
    <w:rsid w:val="002A3C9B"/>
    <w:rsid w:val="002A59D6"/>
    <w:rsid w:val="002A62FE"/>
    <w:rsid w:val="002A6555"/>
    <w:rsid w:val="002A7D36"/>
    <w:rsid w:val="002B04CA"/>
    <w:rsid w:val="002B1A93"/>
    <w:rsid w:val="002B27CF"/>
    <w:rsid w:val="002B3632"/>
    <w:rsid w:val="002B39F9"/>
    <w:rsid w:val="002B3C1C"/>
    <w:rsid w:val="002B6812"/>
    <w:rsid w:val="002B6A12"/>
    <w:rsid w:val="002C15BE"/>
    <w:rsid w:val="002C4787"/>
    <w:rsid w:val="002C4A38"/>
    <w:rsid w:val="002C4E8A"/>
    <w:rsid w:val="002C4EB9"/>
    <w:rsid w:val="002C5C7E"/>
    <w:rsid w:val="002C7361"/>
    <w:rsid w:val="002C7E42"/>
    <w:rsid w:val="002D03E5"/>
    <w:rsid w:val="002D1219"/>
    <w:rsid w:val="002D16D5"/>
    <w:rsid w:val="002D2B56"/>
    <w:rsid w:val="002D32C9"/>
    <w:rsid w:val="002D52F8"/>
    <w:rsid w:val="002D55B1"/>
    <w:rsid w:val="002D6409"/>
    <w:rsid w:val="002D6622"/>
    <w:rsid w:val="002D6713"/>
    <w:rsid w:val="002D6945"/>
    <w:rsid w:val="002E00ED"/>
    <w:rsid w:val="002E0D38"/>
    <w:rsid w:val="002E190E"/>
    <w:rsid w:val="002E1E2E"/>
    <w:rsid w:val="002E33BE"/>
    <w:rsid w:val="002E4D61"/>
    <w:rsid w:val="002E567C"/>
    <w:rsid w:val="002E5DFA"/>
    <w:rsid w:val="002E6A41"/>
    <w:rsid w:val="002E7845"/>
    <w:rsid w:val="002E7DAF"/>
    <w:rsid w:val="002F0C48"/>
    <w:rsid w:val="002F1321"/>
    <w:rsid w:val="002F1C48"/>
    <w:rsid w:val="002F2457"/>
    <w:rsid w:val="002F3DD8"/>
    <w:rsid w:val="002F4794"/>
    <w:rsid w:val="002F4B8D"/>
    <w:rsid w:val="002F6821"/>
    <w:rsid w:val="0030108F"/>
    <w:rsid w:val="00301DFB"/>
    <w:rsid w:val="003028D7"/>
    <w:rsid w:val="00303745"/>
    <w:rsid w:val="003038AC"/>
    <w:rsid w:val="00304EC4"/>
    <w:rsid w:val="00305B3E"/>
    <w:rsid w:val="00306101"/>
    <w:rsid w:val="00306735"/>
    <w:rsid w:val="00306B9B"/>
    <w:rsid w:val="00307AFE"/>
    <w:rsid w:val="00310073"/>
    <w:rsid w:val="0031066B"/>
    <w:rsid w:val="00310EE0"/>
    <w:rsid w:val="00311748"/>
    <w:rsid w:val="0031231F"/>
    <w:rsid w:val="00312554"/>
    <w:rsid w:val="0031321F"/>
    <w:rsid w:val="00313887"/>
    <w:rsid w:val="00313DC5"/>
    <w:rsid w:val="00315068"/>
    <w:rsid w:val="00315111"/>
    <w:rsid w:val="00315B8F"/>
    <w:rsid w:val="00315D02"/>
    <w:rsid w:val="0031663B"/>
    <w:rsid w:val="00316C68"/>
    <w:rsid w:val="0031740E"/>
    <w:rsid w:val="00320600"/>
    <w:rsid w:val="003211E7"/>
    <w:rsid w:val="003212E8"/>
    <w:rsid w:val="0032140D"/>
    <w:rsid w:val="00323201"/>
    <w:rsid w:val="00323811"/>
    <w:rsid w:val="003248AB"/>
    <w:rsid w:val="00326804"/>
    <w:rsid w:val="00327DBA"/>
    <w:rsid w:val="00330BD1"/>
    <w:rsid w:val="003315B3"/>
    <w:rsid w:val="003315CB"/>
    <w:rsid w:val="003316E7"/>
    <w:rsid w:val="00332F34"/>
    <w:rsid w:val="003336F1"/>
    <w:rsid w:val="00333BB6"/>
    <w:rsid w:val="003340F4"/>
    <w:rsid w:val="003349DB"/>
    <w:rsid w:val="00335558"/>
    <w:rsid w:val="00335643"/>
    <w:rsid w:val="00335996"/>
    <w:rsid w:val="00340539"/>
    <w:rsid w:val="00340B97"/>
    <w:rsid w:val="00340C28"/>
    <w:rsid w:val="0034115C"/>
    <w:rsid w:val="0034222E"/>
    <w:rsid w:val="00342357"/>
    <w:rsid w:val="00342D2F"/>
    <w:rsid w:val="00344893"/>
    <w:rsid w:val="003454FE"/>
    <w:rsid w:val="00345F78"/>
    <w:rsid w:val="00346B1C"/>
    <w:rsid w:val="00347019"/>
    <w:rsid w:val="0034720B"/>
    <w:rsid w:val="00347744"/>
    <w:rsid w:val="00350ED0"/>
    <w:rsid w:val="00351130"/>
    <w:rsid w:val="00351A17"/>
    <w:rsid w:val="00351D66"/>
    <w:rsid w:val="003520A2"/>
    <w:rsid w:val="0035281F"/>
    <w:rsid w:val="00352C1C"/>
    <w:rsid w:val="003545D9"/>
    <w:rsid w:val="00355450"/>
    <w:rsid w:val="00355645"/>
    <w:rsid w:val="0035569C"/>
    <w:rsid w:val="003576EB"/>
    <w:rsid w:val="00357DF4"/>
    <w:rsid w:val="00357EB9"/>
    <w:rsid w:val="003617B7"/>
    <w:rsid w:val="00361B5D"/>
    <w:rsid w:val="0036399B"/>
    <w:rsid w:val="00364505"/>
    <w:rsid w:val="00365847"/>
    <w:rsid w:val="00366F95"/>
    <w:rsid w:val="00370367"/>
    <w:rsid w:val="00371D83"/>
    <w:rsid w:val="0037217E"/>
    <w:rsid w:val="00373B76"/>
    <w:rsid w:val="0037412F"/>
    <w:rsid w:val="0037421F"/>
    <w:rsid w:val="003744D8"/>
    <w:rsid w:val="00376734"/>
    <w:rsid w:val="003767E2"/>
    <w:rsid w:val="00377F3A"/>
    <w:rsid w:val="00380B0B"/>
    <w:rsid w:val="00380D02"/>
    <w:rsid w:val="0038210A"/>
    <w:rsid w:val="00382862"/>
    <w:rsid w:val="00382A64"/>
    <w:rsid w:val="00383C59"/>
    <w:rsid w:val="00384900"/>
    <w:rsid w:val="00386EE2"/>
    <w:rsid w:val="003872EC"/>
    <w:rsid w:val="00391214"/>
    <w:rsid w:val="00392546"/>
    <w:rsid w:val="00393C39"/>
    <w:rsid w:val="003940D9"/>
    <w:rsid w:val="00395C12"/>
    <w:rsid w:val="0039620D"/>
    <w:rsid w:val="003A08C4"/>
    <w:rsid w:val="003A1050"/>
    <w:rsid w:val="003A316C"/>
    <w:rsid w:val="003A32EE"/>
    <w:rsid w:val="003A375C"/>
    <w:rsid w:val="003A399E"/>
    <w:rsid w:val="003A3E33"/>
    <w:rsid w:val="003A639D"/>
    <w:rsid w:val="003A76D0"/>
    <w:rsid w:val="003A7D25"/>
    <w:rsid w:val="003B0EE8"/>
    <w:rsid w:val="003B272C"/>
    <w:rsid w:val="003B303E"/>
    <w:rsid w:val="003B324C"/>
    <w:rsid w:val="003B3475"/>
    <w:rsid w:val="003B3480"/>
    <w:rsid w:val="003B609D"/>
    <w:rsid w:val="003B65FC"/>
    <w:rsid w:val="003B7239"/>
    <w:rsid w:val="003B747C"/>
    <w:rsid w:val="003C0EE7"/>
    <w:rsid w:val="003C1266"/>
    <w:rsid w:val="003C1D89"/>
    <w:rsid w:val="003C23CF"/>
    <w:rsid w:val="003C28DF"/>
    <w:rsid w:val="003C2AE8"/>
    <w:rsid w:val="003C3F8A"/>
    <w:rsid w:val="003C4527"/>
    <w:rsid w:val="003C5EE6"/>
    <w:rsid w:val="003C5F86"/>
    <w:rsid w:val="003C6522"/>
    <w:rsid w:val="003C689B"/>
    <w:rsid w:val="003C78AA"/>
    <w:rsid w:val="003C7DDB"/>
    <w:rsid w:val="003D05CC"/>
    <w:rsid w:val="003D184A"/>
    <w:rsid w:val="003D362C"/>
    <w:rsid w:val="003D42F0"/>
    <w:rsid w:val="003D56F4"/>
    <w:rsid w:val="003D661A"/>
    <w:rsid w:val="003D7F97"/>
    <w:rsid w:val="003E0EB5"/>
    <w:rsid w:val="003E0F5C"/>
    <w:rsid w:val="003E2D51"/>
    <w:rsid w:val="003E2E1D"/>
    <w:rsid w:val="003E32F3"/>
    <w:rsid w:val="003E3546"/>
    <w:rsid w:val="003E35C4"/>
    <w:rsid w:val="003E3DCE"/>
    <w:rsid w:val="003E4719"/>
    <w:rsid w:val="003E604B"/>
    <w:rsid w:val="003E7B35"/>
    <w:rsid w:val="003F0FAE"/>
    <w:rsid w:val="003F2689"/>
    <w:rsid w:val="003F292F"/>
    <w:rsid w:val="003F2D71"/>
    <w:rsid w:val="003F4A04"/>
    <w:rsid w:val="003F4BA5"/>
    <w:rsid w:val="003F57C7"/>
    <w:rsid w:val="003F60FB"/>
    <w:rsid w:val="003F641A"/>
    <w:rsid w:val="003F6A97"/>
    <w:rsid w:val="003F7548"/>
    <w:rsid w:val="004010E2"/>
    <w:rsid w:val="00401758"/>
    <w:rsid w:val="00402338"/>
    <w:rsid w:val="0040258F"/>
    <w:rsid w:val="004031FB"/>
    <w:rsid w:val="00403953"/>
    <w:rsid w:val="0040430A"/>
    <w:rsid w:val="00406638"/>
    <w:rsid w:val="00407C1B"/>
    <w:rsid w:val="00410392"/>
    <w:rsid w:val="00413401"/>
    <w:rsid w:val="0041384E"/>
    <w:rsid w:val="00413912"/>
    <w:rsid w:val="0041467D"/>
    <w:rsid w:val="00416A61"/>
    <w:rsid w:val="00417156"/>
    <w:rsid w:val="0042059F"/>
    <w:rsid w:val="00421141"/>
    <w:rsid w:val="004211AC"/>
    <w:rsid w:val="004257FB"/>
    <w:rsid w:val="00427110"/>
    <w:rsid w:val="00427448"/>
    <w:rsid w:val="004300B6"/>
    <w:rsid w:val="004301AA"/>
    <w:rsid w:val="0043072B"/>
    <w:rsid w:val="00430CEC"/>
    <w:rsid w:val="00433247"/>
    <w:rsid w:val="00433C96"/>
    <w:rsid w:val="0043485E"/>
    <w:rsid w:val="00435967"/>
    <w:rsid w:val="004379EF"/>
    <w:rsid w:val="0044117F"/>
    <w:rsid w:val="004431D9"/>
    <w:rsid w:val="004442B8"/>
    <w:rsid w:val="00445369"/>
    <w:rsid w:val="004456B9"/>
    <w:rsid w:val="00446B3B"/>
    <w:rsid w:val="004502B8"/>
    <w:rsid w:val="00450D32"/>
    <w:rsid w:val="00450DD1"/>
    <w:rsid w:val="004515C4"/>
    <w:rsid w:val="00451A87"/>
    <w:rsid w:val="00451B3F"/>
    <w:rsid w:val="0045274E"/>
    <w:rsid w:val="00452BD7"/>
    <w:rsid w:val="00453978"/>
    <w:rsid w:val="00453D72"/>
    <w:rsid w:val="00453E9A"/>
    <w:rsid w:val="00453FF0"/>
    <w:rsid w:val="00454BA4"/>
    <w:rsid w:val="00455F6A"/>
    <w:rsid w:val="00456377"/>
    <w:rsid w:val="00457992"/>
    <w:rsid w:val="00460338"/>
    <w:rsid w:val="0046252F"/>
    <w:rsid w:val="00463A0D"/>
    <w:rsid w:val="00464D31"/>
    <w:rsid w:val="004655A0"/>
    <w:rsid w:val="00466DC0"/>
    <w:rsid w:val="004702B3"/>
    <w:rsid w:val="00470A4A"/>
    <w:rsid w:val="00471732"/>
    <w:rsid w:val="00471DF4"/>
    <w:rsid w:val="00472A84"/>
    <w:rsid w:val="00473EF4"/>
    <w:rsid w:val="004762C5"/>
    <w:rsid w:val="00477DBF"/>
    <w:rsid w:val="00477ECD"/>
    <w:rsid w:val="00481254"/>
    <w:rsid w:val="00482526"/>
    <w:rsid w:val="00483EFE"/>
    <w:rsid w:val="004844AB"/>
    <w:rsid w:val="00484BEB"/>
    <w:rsid w:val="00485E4E"/>
    <w:rsid w:val="0048613B"/>
    <w:rsid w:val="0048718C"/>
    <w:rsid w:val="00487FA0"/>
    <w:rsid w:val="0049089A"/>
    <w:rsid w:val="0049150F"/>
    <w:rsid w:val="00491A14"/>
    <w:rsid w:val="0049235A"/>
    <w:rsid w:val="0049272A"/>
    <w:rsid w:val="00492CD9"/>
    <w:rsid w:val="00492D44"/>
    <w:rsid w:val="00493553"/>
    <w:rsid w:val="00494A30"/>
    <w:rsid w:val="0049653C"/>
    <w:rsid w:val="00496D8F"/>
    <w:rsid w:val="0049734F"/>
    <w:rsid w:val="00497763"/>
    <w:rsid w:val="00497849"/>
    <w:rsid w:val="00497F69"/>
    <w:rsid w:val="004A0600"/>
    <w:rsid w:val="004A14C3"/>
    <w:rsid w:val="004A1DB3"/>
    <w:rsid w:val="004A27D9"/>
    <w:rsid w:val="004A359B"/>
    <w:rsid w:val="004A3ACC"/>
    <w:rsid w:val="004A4475"/>
    <w:rsid w:val="004A4891"/>
    <w:rsid w:val="004A4DAD"/>
    <w:rsid w:val="004A693F"/>
    <w:rsid w:val="004A7989"/>
    <w:rsid w:val="004B0ADB"/>
    <w:rsid w:val="004B19E8"/>
    <w:rsid w:val="004B1A47"/>
    <w:rsid w:val="004B2DFF"/>
    <w:rsid w:val="004B3882"/>
    <w:rsid w:val="004B3CB8"/>
    <w:rsid w:val="004B4F9E"/>
    <w:rsid w:val="004B549C"/>
    <w:rsid w:val="004B6363"/>
    <w:rsid w:val="004B6F4F"/>
    <w:rsid w:val="004B7812"/>
    <w:rsid w:val="004C018F"/>
    <w:rsid w:val="004C39D2"/>
    <w:rsid w:val="004C56F0"/>
    <w:rsid w:val="004C6162"/>
    <w:rsid w:val="004C6319"/>
    <w:rsid w:val="004C77EA"/>
    <w:rsid w:val="004D094C"/>
    <w:rsid w:val="004D2876"/>
    <w:rsid w:val="004D2DB1"/>
    <w:rsid w:val="004D3885"/>
    <w:rsid w:val="004D39AE"/>
    <w:rsid w:val="004D468B"/>
    <w:rsid w:val="004D6087"/>
    <w:rsid w:val="004E0CB4"/>
    <w:rsid w:val="004E1939"/>
    <w:rsid w:val="004E2D00"/>
    <w:rsid w:val="004E42D8"/>
    <w:rsid w:val="004E61F8"/>
    <w:rsid w:val="004E6B5D"/>
    <w:rsid w:val="004E702A"/>
    <w:rsid w:val="004E77F0"/>
    <w:rsid w:val="004E7EAC"/>
    <w:rsid w:val="004F12A7"/>
    <w:rsid w:val="004F2571"/>
    <w:rsid w:val="004F278A"/>
    <w:rsid w:val="004F3795"/>
    <w:rsid w:val="004F422D"/>
    <w:rsid w:val="004F553A"/>
    <w:rsid w:val="004F5692"/>
    <w:rsid w:val="004F6227"/>
    <w:rsid w:val="00500069"/>
    <w:rsid w:val="0050189D"/>
    <w:rsid w:val="005019D8"/>
    <w:rsid w:val="00501E27"/>
    <w:rsid w:val="00502681"/>
    <w:rsid w:val="005052C8"/>
    <w:rsid w:val="0050575D"/>
    <w:rsid w:val="00505B0E"/>
    <w:rsid w:val="005065C6"/>
    <w:rsid w:val="00506EA7"/>
    <w:rsid w:val="00507058"/>
    <w:rsid w:val="00507710"/>
    <w:rsid w:val="00507D82"/>
    <w:rsid w:val="00510740"/>
    <w:rsid w:val="0051074B"/>
    <w:rsid w:val="0051076D"/>
    <w:rsid w:val="00510E4A"/>
    <w:rsid w:val="00511F22"/>
    <w:rsid w:val="00512A01"/>
    <w:rsid w:val="005136EA"/>
    <w:rsid w:val="0051499B"/>
    <w:rsid w:val="0051514B"/>
    <w:rsid w:val="005163A2"/>
    <w:rsid w:val="005177F8"/>
    <w:rsid w:val="00520B78"/>
    <w:rsid w:val="00520DE6"/>
    <w:rsid w:val="005258B5"/>
    <w:rsid w:val="0053066F"/>
    <w:rsid w:val="005306C0"/>
    <w:rsid w:val="00532B3C"/>
    <w:rsid w:val="005346BB"/>
    <w:rsid w:val="00534750"/>
    <w:rsid w:val="00534FD4"/>
    <w:rsid w:val="00535070"/>
    <w:rsid w:val="005351AA"/>
    <w:rsid w:val="005351E7"/>
    <w:rsid w:val="005355A5"/>
    <w:rsid w:val="00535FA9"/>
    <w:rsid w:val="00536E2C"/>
    <w:rsid w:val="005405B7"/>
    <w:rsid w:val="005412A2"/>
    <w:rsid w:val="00543F39"/>
    <w:rsid w:val="00544031"/>
    <w:rsid w:val="005440C3"/>
    <w:rsid w:val="00544330"/>
    <w:rsid w:val="00545BA4"/>
    <w:rsid w:val="005466B4"/>
    <w:rsid w:val="00546C0E"/>
    <w:rsid w:val="00546FAF"/>
    <w:rsid w:val="00550928"/>
    <w:rsid w:val="00550939"/>
    <w:rsid w:val="00553B45"/>
    <w:rsid w:val="0056069D"/>
    <w:rsid w:val="00562D43"/>
    <w:rsid w:val="005635A9"/>
    <w:rsid w:val="00563A8D"/>
    <w:rsid w:val="00564676"/>
    <w:rsid w:val="00564BF6"/>
    <w:rsid w:val="0056541E"/>
    <w:rsid w:val="0056556C"/>
    <w:rsid w:val="00565576"/>
    <w:rsid w:val="00567058"/>
    <w:rsid w:val="0056743C"/>
    <w:rsid w:val="00567812"/>
    <w:rsid w:val="00570596"/>
    <w:rsid w:val="00570B08"/>
    <w:rsid w:val="00571222"/>
    <w:rsid w:val="00571F84"/>
    <w:rsid w:val="00572B2F"/>
    <w:rsid w:val="00573438"/>
    <w:rsid w:val="0057469A"/>
    <w:rsid w:val="00575A6D"/>
    <w:rsid w:val="00576984"/>
    <w:rsid w:val="00577F4B"/>
    <w:rsid w:val="00580104"/>
    <w:rsid w:val="005803F0"/>
    <w:rsid w:val="005805A1"/>
    <w:rsid w:val="005818B0"/>
    <w:rsid w:val="00581BD2"/>
    <w:rsid w:val="00581C73"/>
    <w:rsid w:val="00582BC2"/>
    <w:rsid w:val="005837F0"/>
    <w:rsid w:val="00584DE2"/>
    <w:rsid w:val="00584F10"/>
    <w:rsid w:val="005859A4"/>
    <w:rsid w:val="0058659D"/>
    <w:rsid w:val="00587606"/>
    <w:rsid w:val="00590830"/>
    <w:rsid w:val="00591AFA"/>
    <w:rsid w:val="00592B97"/>
    <w:rsid w:val="00592DF8"/>
    <w:rsid w:val="00593A86"/>
    <w:rsid w:val="00593F07"/>
    <w:rsid w:val="0059409C"/>
    <w:rsid w:val="00594252"/>
    <w:rsid w:val="00594B1B"/>
    <w:rsid w:val="005958F6"/>
    <w:rsid w:val="00595B5C"/>
    <w:rsid w:val="005976B4"/>
    <w:rsid w:val="00597A0E"/>
    <w:rsid w:val="00597BAD"/>
    <w:rsid w:val="005A1B3F"/>
    <w:rsid w:val="005A29C0"/>
    <w:rsid w:val="005A4746"/>
    <w:rsid w:val="005B028A"/>
    <w:rsid w:val="005B13B4"/>
    <w:rsid w:val="005B2D4F"/>
    <w:rsid w:val="005B305B"/>
    <w:rsid w:val="005B3C57"/>
    <w:rsid w:val="005B658E"/>
    <w:rsid w:val="005C0C2E"/>
    <w:rsid w:val="005C4477"/>
    <w:rsid w:val="005C44D0"/>
    <w:rsid w:val="005C52E2"/>
    <w:rsid w:val="005C64D4"/>
    <w:rsid w:val="005C71C0"/>
    <w:rsid w:val="005C7E0D"/>
    <w:rsid w:val="005D0815"/>
    <w:rsid w:val="005D18F1"/>
    <w:rsid w:val="005D3721"/>
    <w:rsid w:val="005D40B1"/>
    <w:rsid w:val="005D7018"/>
    <w:rsid w:val="005D70DE"/>
    <w:rsid w:val="005E034B"/>
    <w:rsid w:val="005E0D36"/>
    <w:rsid w:val="005E0F46"/>
    <w:rsid w:val="005E103F"/>
    <w:rsid w:val="005E1120"/>
    <w:rsid w:val="005E1B2E"/>
    <w:rsid w:val="005E4F3B"/>
    <w:rsid w:val="005E4F8C"/>
    <w:rsid w:val="005E53FD"/>
    <w:rsid w:val="005E5569"/>
    <w:rsid w:val="005E5F76"/>
    <w:rsid w:val="005F00DF"/>
    <w:rsid w:val="005F0C3C"/>
    <w:rsid w:val="005F13CE"/>
    <w:rsid w:val="005F49F2"/>
    <w:rsid w:val="005F4B5A"/>
    <w:rsid w:val="005F6230"/>
    <w:rsid w:val="00600A0F"/>
    <w:rsid w:val="006010C6"/>
    <w:rsid w:val="0060126F"/>
    <w:rsid w:val="00601DFD"/>
    <w:rsid w:val="00602103"/>
    <w:rsid w:val="00602850"/>
    <w:rsid w:val="00603C51"/>
    <w:rsid w:val="0060469D"/>
    <w:rsid w:val="00604A98"/>
    <w:rsid w:val="00605B7B"/>
    <w:rsid w:val="00606450"/>
    <w:rsid w:val="0060719B"/>
    <w:rsid w:val="006074BD"/>
    <w:rsid w:val="00610463"/>
    <w:rsid w:val="006108CD"/>
    <w:rsid w:val="00610F06"/>
    <w:rsid w:val="00611D47"/>
    <w:rsid w:val="00613BE3"/>
    <w:rsid w:val="0061420C"/>
    <w:rsid w:val="00614F37"/>
    <w:rsid w:val="006169AD"/>
    <w:rsid w:val="00616FFD"/>
    <w:rsid w:val="006174BF"/>
    <w:rsid w:val="00620066"/>
    <w:rsid w:val="00622974"/>
    <w:rsid w:val="00626696"/>
    <w:rsid w:val="00626E1E"/>
    <w:rsid w:val="00626E3E"/>
    <w:rsid w:val="00626E8F"/>
    <w:rsid w:val="00630E59"/>
    <w:rsid w:val="00631798"/>
    <w:rsid w:val="00636C17"/>
    <w:rsid w:val="00636DDA"/>
    <w:rsid w:val="00637125"/>
    <w:rsid w:val="00640BFE"/>
    <w:rsid w:val="00641307"/>
    <w:rsid w:val="00641B0F"/>
    <w:rsid w:val="006420A3"/>
    <w:rsid w:val="006424D0"/>
    <w:rsid w:val="006438BB"/>
    <w:rsid w:val="00643AC6"/>
    <w:rsid w:val="006447F9"/>
    <w:rsid w:val="006454E3"/>
    <w:rsid w:val="00646ADB"/>
    <w:rsid w:val="00651200"/>
    <w:rsid w:val="006517BD"/>
    <w:rsid w:val="00651E2B"/>
    <w:rsid w:val="00651FAD"/>
    <w:rsid w:val="0065233C"/>
    <w:rsid w:val="006525D9"/>
    <w:rsid w:val="00652829"/>
    <w:rsid w:val="00652C38"/>
    <w:rsid w:val="00653D78"/>
    <w:rsid w:val="00654423"/>
    <w:rsid w:val="00660061"/>
    <w:rsid w:val="006602CD"/>
    <w:rsid w:val="006602FB"/>
    <w:rsid w:val="006616F1"/>
    <w:rsid w:val="00662D91"/>
    <w:rsid w:val="00662EE5"/>
    <w:rsid w:val="0066482A"/>
    <w:rsid w:val="00664BA5"/>
    <w:rsid w:val="00667F39"/>
    <w:rsid w:val="006715E9"/>
    <w:rsid w:val="00671942"/>
    <w:rsid w:val="006740B2"/>
    <w:rsid w:val="00677D82"/>
    <w:rsid w:val="00677F21"/>
    <w:rsid w:val="00680114"/>
    <w:rsid w:val="0068213B"/>
    <w:rsid w:val="006826F4"/>
    <w:rsid w:val="00682A40"/>
    <w:rsid w:val="00682DFE"/>
    <w:rsid w:val="00683100"/>
    <w:rsid w:val="00685B06"/>
    <w:rsid w:val="006874D1"/>
    <w:rsid w:val="0068752A"/>
    <w:rsid w:val="006900FC"/>
    <w:rsid w:val="006916DD"/>
    <w:rsid w:val="0069179C"/>
    <w:rsid w:val="006918CD"/>
    <w:rsid w:val="006923E6"/>
    <w:rsid w:val="00696054"/>
    <w:rsid w:val="006973DE"/>
    <w:rsid w:val="00697428"/>
    <w:rsid w:val="006A0514"/>
    <w:rsid w:val="006A0534"/>
    <w:rsid w:val="006A0E0E"/>
    <w:rsid w:val="006A3663"/>
    <w:rsid w:val="006A3C43"/>
    <w:rsid w:val="006A3F1B"/>
    <w:rsid w:val="006A4061"/>
    <w:rsid w:val="006A46D6"/>
    <w:rsid w:val="006A5602"/>
    <w:rsid w:val="006A6398"/>
    <w:rsid w:val="006A6847"/>
    <w:rsid w:val="006A6EC6"/>
    <w:rsid w:val="006A70B8"/>
    <w:rsid w:val="006A7467"/>
    <w:rsid w:val="006A76A3"/>
    <w:rsid w:val="006B038C"/>
    <w:rsid w:val="006B05F1"/>
    <w:rsid w:val="006B2FA1"/>
    <w:rsid w:val="006B58FE"/>
    <w:rsid w:val="006B6DCF"/>
    <w:rsid w:val="006C0E94"/>
    <w:rsid w:val="006C1A76"/>
    <w:rsid w:val="006C2240"/>
    <w:rsid w:val="006C35E4"/>
    <w:rsid w:val="006C35F2"/>
    <w:rsid w:val="006C4727"/>
    <w:rsid w:val="006C4DBC"/>
    <w:rsid w:val="006C6D63"/>
    <w:rsid w:val="006C700C"/>
    <w:rsid w:val="006D1E54"/>
    <w:rsid w:val="006D287F"/>
    <w:rsid w:val="006D2D2C"/>
    <w:rsid w:val="006D2DCA"/>
    <w:rsid w:val="006D342F"/>
    <w:rsid w:val="006D3643"/>
    <w:rsid w:val="006D60CA"/>
    <w:rsid w:val="006D63A2"/>
    <w:rsid w:val="006D6DCD"/>
    <w:rsid w:val="006D700D"/>
    <w:rsid w:val="006D7429"/>
    <w:rsid w:val="006D7AE1"/>
    <w:rsid w:val="006E11D7"/>
    <w:rsid w:val="006E23C5"/>
    <w:rsid w:val="006E3550"/>
    <w:rsid w:val="006E3C10"/>
    <w:rsid w:val="006E64F1"/>
    <w:rsid w:val="006E65E9"/>
    <w:rsid w:val="006E69BF"/>
    <w:rsid w:val="006E7152"/>
    <w:rsid w:val="006E7276"/>
    <w:rsid w:val="006F305A"/>
    <w:rsid w:val="006F32B6"/>
    <w:rsid w:val="006F32CB"/>
    <w:rsid w:val="006F4318"/>
    <w:rsid w:val="006F4563"/>
    <w:rsid w:val="006F46C2"/>
    <w:rsid w:val="006F5498"/>
    <w:rsid w:val="006F6B83"/>
    <w:rsid w:val="00700C82"/>
    <w:rsid w:val="00701349"/>
    <w:rsid w:val="00701509"/>
    <w:rsid w:val="00701A9C"/>
    <w:rsid w:val="00702E3F"/>
    <w:rsid w:val="00703A72"/>
    <w:rsid w:val="00703B4C"/>
    <w:rsid w:val="00703D1B"/>
    <w:rsid w:val="00703E47"/>
    <w:rsid w:val="00704C78"/>
    <w:rsid w:val="0070550E"/>
    <w:rsid w:val="00707DDF"/>
    <w:rsid w:val="0071227D"/>
    <w:rsid w:val="00714694"/>
    <w:rsid w:val="00715179"/>
    <w:rsid w:val="00715BC9"/>
    <w:rsid w:val="00717E75"/>
    <w:rsid w:val="0072020E"/>
    <w:rsid w:val="00720647"/>
    <w:rsid w:val="007206DD"/>
    <w:rsid w:val="00720DCF"/>
    <w:rsid w:val="00720FCC"/>
    <w:rsid w:val="00721996"/>
    <w:rsid w:val="00722ADA"/>
    <w:rsid w:val="007246C7"/>
    <w:rsid w:val="007260C0"/>
    <w:rsid w:val="0072612F"/>
    <w:rsid w:val="00726970"/>
    <w:rsid w:val="00731AAF"/>
    <w:rsid w:val="007322E3"/>
    <w:rsid w:val="007326A4"/>
    <w:rsid w:val="00732832"/>
    <w:rsid w:val="00732D35"/>
    <w:rsid w:val="00733266"/>
    <w:rsid w:val="00734213"/>
    <w:rsid w:val="00736264"/>
    <w:rsid w:val="007409A2"/>
    <w:rsid w:val="00740C62"/>
    <w:rsid w:val="007427B3"/>
    <w:rsid w:val="00742BBA"/>
    <w:rsid w:val="0074320A"/>
    <w:rsid w:val="00744289"/>
    <w:rsid w:val="00744DAD"/>
    <w:rsid w:val="007451BF"/>
    <w:rsid w:val="007453C5"/>
    <w:rsid w:val="007469A8"/>
    <w:rsid w:val="00746BD5"/>
    <w:rsid w:val="00746F6F"/>
    <w:rsid w:val="0075095C"/>
    <w:rsid w:val="00750D60"/>
    <w:rsid w:val="007512DE"/>
    <w:rsid w:val="00752618"/>
    <w:rsid w:val="007536EB"/>
    <w:rsid w:val="0075455D"/>
    <w:rsid w:val="0075542E"/>
    <w:rsid w:val="007604F5"/>
    <w:rsid w:val="007605D1"/>
    <w:rsid w:val="00760616"/>
    <w:rsid w:val="00761565"/>
    <w:rsid w:val="00762141"/>
    <w:rsid w:val="00762B5B"/>
    <w:rsid w:val="007664CF"/>
    <w:rsid w:val="00766F08"/>
    <w:rsid w:val="00770638"/>
    <w:rsid w:val="00771CEF"/>
    <w:rsid w:val="007730DA"/>
    <w:rsid w:val="007749AD"/>
    <w:rsid w:val="0077540B"/>
    <w:rsid w:val="00775CDE"/>
    <w:rsid w:val="007762B3"/>
    <w:rsid w:val="0077654B"/>
    <w:rsid w:val="00776A23"/>
    <w:rsid w:val="00777719"/>
    <w:rsid w:val="00782F3B"/>
    <w:rsid w:val="00784120"/>
    <w:rsid w:val="00784A7B"/>
    <w:rsid w:val="007852A5"/>
    <w:rsid w:val="00785FA1"/>
    <w:rsid w:val="00786799"/>
    <w:rsid w:val="007908AD"/>
    <w:rsid w:val="00791CAB"/>
    <w:rsid w:val="00792E36"/>
    <w:rsid w:val="00795584"/>
    <w:rsid w:val="0079595A"/>
    <w:rsid w:val="00795EE1"/>
    <w:rsid w:val="00796381"/>
    <w:rsid w:val="007974FF"/>
    <w:rsid w:val="007A1EE5"/>
    <w:rsid w:val="007A340A"/>
    <w:rsid w:val="007A3BF3"/>
    <w:rsid w:val="007A5D96"/>
    <w:rsid w:val="007A5F44"/>
    <w:rsid w:val="007A6B1F"/>
    <w:rsid w:val="007A760A"/>
    <w:rsid w:val="007A7FB9"/>
    <w:rsid w:val="007B14AF"/>
    <w:rsid w:val="007B6C7C"/>
    <w:rsid w:val="007B6CA3"/>
    <w:rsid w:val="007B7A88"/>
    <w:rsid w:val="007C1575"/>
    <w:rsid w:val="007C1ECD"/>
    <w:rsid w:val="007C32C2"/>
    <w:rsid w:val="007C331C"/>
    <w:rsid w:val="007C39F6"/>
    <w:rsid w:val="007C3F9D"/>
    <w:rsid w:val="007C475B"/>
    <w:rsid w:val="007C706F"/>
    <w:rsid w:val="007D04A7"/>
    <w:rsid w:val="007D2D54"/>
    <w:rsid w:val="007D5E8E"/>
    <w:rsid w:val="007D5F9C"/>
    <w:rsid w:val="007D7050"/>
    <w:rsid w:val="007E184F"/>
    <w:rsid w:val="007E25E3"/>
    <w:rsid w:val="007E3282"/>
    <w:rsid w:val="007E3983"/>
    <w:rsid w:val="007E476F"/>
    <w:rsid w:val="007E4C6B"/>
    <w:rsid w:val="007E538A"/>
    <w:rsid w:val="007E599C"/>
    <w:rsid w:val="007E665B"/>
    <w:rsid w:val="007E67D8"/>
    <w:rsid w:val="007E6BD1"/>
    <w:rsid w:val="007F0F15"/>
    <w:rsid w:val="007F19BD"/>
    <w:rsid w:val="007F35BC"/>
    <w:rsid w:val="007F3DDC"/>
    <w:rsid w:val="007F5CC7"/>
    <w:rsid w:val="007F66A4"/>
    <w:rsid w:val="007F6B71"/>
    <w:rsid w:val="007F6E82"/>
    <w:rsid w:val="007F790E"/>
    <w:rsid w:val="0080126C"/>
    <w:rsid w:val="008015FC"/>
    <w:rsid w:val="008026DB"/>
    <w:rsid w:val="0080405A"/>
    <w:rsid w:val="00804F8B"/>
    <w:rsid w:val="00805CC6"/>
    <w:rsid w:val="00806B77"/>
    <w:rsid w:val="008076C5"/>
    <w:rsid w:val="00807B26"/>
    <w:rsid w:val="00811239"/>
    <w:rsid w:val="00811E72"/>
    <w:rsid w:val="00812C88"/>
    <w:rsid w:val="008135D5"/>
    <w:rsid w:val="0081603A"/>
    <w:rsid w:val="0081792E"/>
    <w:rsid w:val="008209C5"/>
    <w:rsid w:val="00821688"/>
    <w:rsid w:val="008228A1"/>
    <w:rsid w:val="00824557"/>
    <w:rsid w:val="00824AE2"/>
    <w:rsid w:val="00825036"/>
    <w:rsid w:val="008305E2"/>
    <w:rsid w:val="00831D57"/>
    <w:rsid w:val="00833805"/>
    <w:rsid w:val="00833894"/>
    <w:rsid w:val="00834255"/>
    <w:rsid w:val="00834D5F"/>
    <w:rsid w:val="00834EF6"/>
    <w:rsid w:val="00835D74"/>
    <w:rsid w:val="00836D43"/>
    <w:rsid w:val="00836DF9"/>
    <w:rsid w:val="00840AC2"/>
    <w:rsid w:val="00841611"/>
    <w:rsid w:val="00842150"/>
    <w:rsid w:val="00842185"/>
    <w:rsid w:val="00846067"/>
    <w:rsid w:val="00847087"/>
    <w:rsid w:val="00847886"/>
    <w:rsid w:val="008502C0"/>
    <w:rsid w:val="008517EC"/>
    <w:rsid w:val="0085216B"/>
    <w:rsid w:val="00852237"/>
    <w:rsid w:val="00852723"/>
    <w:rsid w:val="00853676"/>
    <w:rsid w:val="00853877"/>
    <w:rsid w:val="00854C9B"/>
    <w:rsid w:val="00855080"/>
    <w:rsid w:val="0085572D"/>
    <w:rsid w:val="008563FC"/>
    <w:rsid w:val="00857DC9"/>
    <w:rsid w:val="00862341"/>
    <w:rsid w:val="008626D1"/>
    <w:rsid w:val="008635F4"/>
    <w:rsid w:val="00863B6C"/>
    <w:rsid w:val="00864985"/>
    <w:rsid w:val="00865457"/>
    <w:rsid w:val="00865AC5"/>
    <w:rsid w:val="00866160"/>
    <w:rsid w:val="0086669C"/>
    <w:rsid w:val="00870CD2"/>
    <w:rsid w:val="00871A0F"/>
    <w:rsid w:val="00872D4D"/>
    <w:rsid w:val="00872E6D"/>
    <w:rsid w:val="00874AD1"/>
    <w:rsid w:val="0087695B"/>
    <w:rsid w:val="00877857"/>
    <w:rsid w:val="008819D5"/>
    <w:rsid w:val="00882741"/>
    <w:rsid w:val="0088561D"/>
    <w:rsid w:val="00886E40"/>
    <w:rsid w:val="00887605"/>
    <w:rsid w:val="008879CC"/>
    <w:rsid w:val="008906E8"/>
    <w:rsid w:val="0089135C"/>
    <w:rsid w:val="00891FF5"/>
    <w:rsid w:val="00892EAB"/>
    <w:rsid w:val="008933E5"/>
    <w:rsid w:val="00894A1E"/>
    <w:rsid w:val="00895123"/>
    <w:rsid w:val="00896473"/>
    <w:rsid w:val="00896992"/>
    <w:rsid w:val="00896B3E"/>
    <w:rsid w:val="008970C4"/>
    <w:rsid w:val="0089710B"/>
    <w:rsid w:val="008971D1"/>
    <w:rsid w:val="008A2FAD"/>
    <w:rsid w:val="008A3F4C"/>
    <w:rsid w:val="008A63B2"/>
    <w:rsid w:val="008A6BE2"/>
    <w:rsid w:val="008A7F8F"/>
    <w:rsid w:val="008B1692"/>
    <w:rsid w:val="008B291E"/>
    <w:rsid w:val="008B343B"/>
    <w:rsid w:val="008B39BF"/>
    <w:rsid w:val="008B3E5E"/>
    <w:rsid w:val="008B53A4"/>
    <w:rsid w:val="008B6D00"/>
    <w:rsid w:val="008B6FC2"/>
    <w:rsid w:val="008B79E5"/>
    <w:rsid w:val="008B7D09"/>
    <w:rsid w:val="008C2056"/>
    <w:rsid w:val="008C32EB"/>
    <w:rsid w:val="008C39FE"/>
    <w:rsid w:val="008C4289"/>
    <w:rsid w:val="008C4736"/>
    <w:rsid w:val="008C4B96"/>
    <w:rsid w:val="008C59FC"/>
    <w:rsid w:val="008C6295"/>
    <w:rsid w:val="008C680C"/>
    <w:rsid w:val="008D0A69"/>
    <w:rsid w:val="008D12B6"/>
    <w:rsid w:val="008D1DF7"/>
    <w:rsid w:val="008D2004"/>
    <w:rsid w:val="008D20C6"/>
    <w:rsid w:val="008D2279"/>
    <w:rsid w:val="008D2296"/>
    <w:rsid w:val="008D25DD"/>
    <w:rsid w:val="008D2EB0"/>
    <w:rsid w:val="008D3589"/>
    <w:rsid w:val="008D3B62"/>
    <w:rsid w:val="008D4ABB"/>
    <w:rsid w:val="008D4D87"/>
    <w:rsid w:val="008D636D"/>
    <w:rsid w:val="008D660D"/>
    <w:rsid w:val="008E0637"/>
    <w:rsid w:val="008E0699"/>
    <w:rsid w:val="008E0FA3"/>
    <w:rsid w:val="008E3486"/>
    <w:rsid w:val="008E4F11"/>
    <w:rsid w:val="008F078B"/>
    <w:rsid w:val="008F17DF"/>
    <w:rsid w:val="008F1D38"/>
    <w:rsid w:val="008F3291"/>
    <w:rsid w:val="008F3C16"/>
    <w:rsid w:val="008F4148"/>
    <w:rsid w:val="008F5561"/>
    <w:rsid w:val="008F5FE0"/>
    <w:rsid w:val="008F733B"/>
    <w:rsid w:val="008F7646"/>
    <w:rsid w:val="008F7D28"/>
    <w:rsid w:val="009010A5"/>
    <w:rsid w:val="00902DA0"/>
    <w:rsid w:val="0090366C"/>
    <w:rsid w:val="009036D6"/>
    <w:rsid w:val="00904255"/>
    <w:rsid w:val="00904866"/>
    <w:rsid w:val="00905129"/>
    <w:rsid w:val="00905D89"/>
    <w:rsid w:val="00906EC4"/>
    <w:rsid w:val="00911550"/>
    <w:rsid w:val="009119A6"/>
    <w:rsid w:val="00912720"/>
    <w:rsid w:val="00912A2B"/>
    <w:rsid w:val="00914149"/>
    <w:rsid w:val="009169A1"/>
    <w:rsid w:val="00922FD4"/>
    <w:rsid w:val="009235DD"/>
    <w:rsid w:val="00923AC4"/>
    <w:rsid w:val="00923E0A"/>
    <w:rsid w:val="00925906"/>
    <w:rsid w:val="00925CFE"/>
    <w:rsid w:val="00927504"/>
    <w:rsid w:val="00927A9A"/>
    <w:rsid w:val="009313D1"/>
    <w:rsid w:val="00931DBF"/>
    <w:rsid w:val="00932967"/>
    <w:rsid w:val="00935172"/>
    <w:rsid w:val="009351A8"/>
    <w:rsid w:val="009363D3"/>
    <w:rsid w:val="009366DB"/>
    <w:rsid w:val="00936870"/>
    <w:rsid w:val="009369DF"/>
    <w:rsid w:val="00937A04"/>
    <w:rsid w:val="00940574"/>
    <w:rsid w:val="00942ABB"/>
    <w:rsid w:val="00942C1F"/>
    <w:rsid w:val="009445C8"/>
    <w:rsid w:val="009468B3"/>
    <w:rsid w:val="00950FD4"/>
    <w:rsid w:val="009514CD"/>
    <w:rsid w:val="00951E63"/>
    <w:rsid w:val="009523E4"/>
    <w:rsid w:val="00953333"/>
    <w:rsid w:val="009536B3"/>
    <w:rsid w:val="00953873"/>
    <w:rsid w:val="00955288"/>
    <w:rsid w:val="009553E2"/>
    <w:rsid w:val="00955969"/>
    <w:rsid w:val="00955C37"/>
    <w:rsid w:val="00956062"/>
    <w:rsid w:val="00956566"/>
    <w:rsid w:val="00956797"/>
    <w:rsid w:val="0096006B"/>
    <w:rsid w:val="00961312"/>
    <w:rsid w:val="00961B1D"/>
    <w:rsid w:val="00961CB0"/>
    <w:rsid w:val="00961FB5"/>
    <w:rsid w:val="00964CAB"/>
    <w:rsid w:val="0096513E"/>
    <w:rsid w:val="00965DDD"/>
    <w:rsid w:val="00966054"/>
    <w:rsid w:val="009707DF"/>
    <w:rsid w:val="0097311D"/>
    <w:rsid w:val="00973396"/>
    <w:rsid w:val="00973C61"/>
    <w:rsid w:val="009742BA"/>
    <w:rsid w:val="0097670D"/>
    <w:rsid w:val="009773F2"/>
    <w:rsid w:val="009803E6"/>
    <w:rsid w:val="00980800"/>
    <w:rsid w:val="00980B3E"/>
    <w:rsid w:val="00981E4A"/>
    <w:rsid w:val="00983A16"/>
    <w:rsid w:val="00984EB7"/>
    <w:rsid w:val="009865D2"/>
    <w:rsid w:val="0099012D"/>
    <w:rsid w:val="00991920"/>
    <w:rsid w:val="00991BAA"/>
    <w:rsid w:val="00992353"/>
    <w:rsid w:val="009923BD"/>
    <w:rsid w:val="00992458"/>
    <w:rsid w:val="00994FA4"/>
    <w:rsid w:val="00996754"/>
    <w:rsid w:val="00996ADA"/>
    <w:rsid w:val="009A00F9"/>
    <w:rsid w:val="009A0565"/>
    <w:rsid w:val="009A3C2D"/>
    <w:rsid w:val="009A4A44"/>
    <w:rsid w:val="009A529F"/>
    <w:rsid w:val="009A5941"/>
    <w:rsid w:val="009A5D7C"/>
    <w:rsid w:val="009A7531"/>
    <w:rsid w:val="009A7F5A"/>
    <w:rsid w:val="009B0381"/>
    <w:rsid w:val="009B24D2"/>
    <w:rsid w:val="009B3403"/>
    <w:rsid w:val="009B5D35"/>
    <w:rsid w:val="009B764E"/>
    <w:rsid w:val="009C070A"/>
    <w:rsid w:val="009C0FEE"/>
    <w:rsid w:val="009C177B"/>
    <w:rsid w:val="009C1FF6"/>
    <w:rsid w:val="009C5DFC"/>
    <w:rsid w:val="009C64E3"/>
    <w:rsid w:val="009C7EBE"/>
    <w:rsid w:val="009D0782"/>
    <w:rsid w:val="009D0883"/>
    <w:rsid w:val="009D17E7"/>
    <w:rsid w:val="009D285A"/>
    <w:rsid w:val="009D3C5D"/>
    <w:rsid w:val="009D4F7F"/>
    <w:rsid w:val="009D5189"/>
    <w:rsid w:val="009D6680"/>
    <w:rsid w:val="009D73EA"/>
    <w:rsid w:val="009E020A"/>
    <w:rsid w:val="009E39E4"/>
    <w:rsid w:val="009E3D7E"/>
    <w:rsid w:val="009E44F9"/>
    <w:rsid w:val="009E7D2C"/>
    <w:rsid w:val="009F0739"/>
    <w:rsid w:val="009F080D"/>
    <w:rsid w:val="009F1A52"/>
    <w:rsid w:val="009F2380"/>
    <w:rsid w:val="009F44A2"/>
    <w:rsid w:val="009F51C4"/>
    <w:rsid w:val="009F52CC"/>
    <w:rsid w:val="009F5677"/>
    <w:rsid w:val="009F6DC7"/>
    <w:rsid w:val="009F706D"/>
    <w:rsid w:val="00A01457"/>
    <w:rsid w:val="00A02C0E"/>
    <w:rsid w:val="00A03363"/>
    <w:rsid w:val="00A04192"/>
    <w:rsid w:val="00A0425B"/>
    <w:rsid w:val="00A0447E"/>
    <w:rsid w:val="00A06AB5"/>
    <w:rsid w:val="00A07DBC"/>
    <w:rsid w:val="00A1367C"/>
    <w:rsid w:val="00A13843"/>
    <w:rsid w:val="00A13D42"/>
    <w:rsid w:val="00A1421E"/>
    <w:rsid w:val="00A172E9"/>
    <w:rsid w:val="00A17E65"/>
    <w:rsid w:val="00A2108F"/>
    <w:rsid w:val="00A21AAD"/>
    <w:rsid w:val="00A21BEA"/>
    <w:rsid w:val="00A229BF"/>
    <w:rsid w:val="00A23479"/>
    <w:rsid w:val="00A2349B"/>
    <w:rsid w:val="00A239FE"/>
    <w:rsid w:val="00A243E2"/>
    <w:rsid w:val="00A24811"/>
    <w:rsid w:val="00A24B83"/>
    <w:rsid w:val="00A26AF9"/>
    <w:rsid w:val="00A30E96"/>
    <w:rsid w:val="00A30F65"/>
    <w:rsid w:val="00A32681"/>
    <w:rsid w:val="00A33AB8"/>
    <w:rsid w:val="00A33C76"/>
    <w:rsid w:val="00A3437C"/>
    <w:rsid w:val="00A346FE"/>
    <w:rsid w:val="00A3607A"/>
    <w:rsid w:val="00A37041"/>
    <w:rsid w:val="00A407D1"/>
    <w:rsid w:val="00A40AA0"/>
    <w:rsid w:val="00A41657"/>
    <w:rsid w:val="00A43036"/>
    <w:rsid w:val="00A445A4"/>
    <w:rsid w:val="00A454FD"/>
    <w:rsid w:val="00A45691"/>
    <w:rsid w:val="00A46FEA"/>
    <w:rsid w:val="00A47693"/>
    <w:rsid w:val="00A518CB"/>
    <w:rsid w:val="00A529DD"/>
    <w:rsid w:val="00A52B2F"/>
    <w:rsid w:val="00A5356A"/>
    <w:rsid w:val="00A538C2"/>
    <w:rsid w:val="00A54752"/>
    <w:rsid w:val="00A548AE"/>
    <w:rsid w:val="00A55571"/>
    <w:rsid w:val="00A55699"/>
    <w:rsid w:val="00A560E3"/>
    <w:rsid w:val="00A5631F"/>
    <w:rsid w:val="00A56C06"/>
    <w:rsid w:val="00A575D2"/>
    <w:rsid w:val="00A617C7"/>
    <w:rsid w:val="00A623D8"/>
    <w:rsid w:val="00A627EB"/>
    <w:rsid w:val="00A62DB8"/>
    <w:rsid w:val="00A66D72"/>
    <w:rsid w:val="00A67FBC"/>
    <w:rsid w:val="00A70B94"/>
    <w:rsid w:val="00A731F5"/>
    <w:rsid w:val="00A73812"/>
    <w:rsid w:val="00A73991"/>
    <w:rsid w:val="00A74A1D"/>
    <w:rsid w:val="00A8112F"/>
    <w:rsid w:val="00A817FB"/>
    <w:rsid w:val="00A81B78"/>
    <w:rsid w:val="00A81EED"/>
    <w:rsid w:val="00A83605"/>
    <w:rsid w:val="00A83DA9"/>
    <w:rsid w:val="00A85080"/>
    <w:rsid w:val="00A860F4"/>
    <w:rsid w:val="00A8613F"/>
    <w:rsid w:val="00A87D7A"/>
    <w:rsid w:val="00A924EC"/>
    <w:rsid w:val="00A9260E"/>
    <w:rsid w:val="00A93385"/>
    <w:rsid w:val="00A935D9"/>
    <w:rsid w:val="00A94072"/>
    <w:rsid w:val="00A947AE"/>
    <w:rsid w:val="00A95743"/>
    <w:rsid w:val="00A96F0E"/>
    <w:rsid w:val="00AA006C"/>
    <w:rsid w:val="00AA0E76"/>
    <w:rsid w:val="00AA139E"/>
    <w:rsid w:val="00AA24D1"/>
    <w:rsid w:val="00AA2C71"/>
    <w:rsid w:val="00AA3064"/>
    <w:rsid w:val="00AA45BD"/>
    <w:rsid w:val="00AA5A2C"/>
    <w:rsid w:val="00AA68F9"/>
    <w:rsid w:val="00AA712F"/>
    <w:rsid w:val="00AA7319"/>
    <w:rsid w:val="00AB0038"/>
    <w:rsid w:val="00AB10A6"/>
    <w:rsid w:val="00AB16B1"/>
    <w:rsid w:val="00AB1C4E"/>
    <w:rsid w:val="00AB21C9"/>
    <w:rsid w:val="00AB453C"/>
    <w:rsid w:val="00AB4F7E"/>
    <w:rsid w:val="00AB64A4"/>
    <w:rsid w:val="00AB6C08"/>
    <w:rsid w:val="00AB6E28"/>
    <w:rsid w:val="00AC13DF"/>
    <w:rsid w:val="00AC2809"/>
    <w:rsid w:val="00AC3751"/>
    <w:rsid w:val="00AC3AAF"/>
    <w:rsid w:val="00AC4643"/>
    <w:rsid w:val="00AC49DC"/>
    <w:rsid w:val="00AC59E5"/>
    <w:rsid w:val="00AD01CA"/>
    <w:rsid w:val="00AD0B5D"/>
    <w:rsid w:val="00AD1824"/>
    <w:rsid w:val="00AD2B0F"/>
    <w:rsid w:val="00AD3659"/>
    <w:rsid w:val="00AD3C67"/>
    <w:rsid w:val="00AD5BBF"/>
    <w:rsid w:val="00AD6013"/>
    <w:rsid w:val="00AD64F9"/>
    <w:rsid w:val="00AE0230"/>
    <w:rsid w:val="00AE0EE9"/>
    <w:rsid w:val="00AE1143"/>
    <w:rsid w:val="00AE1704"/>
    <w:rsid w:val="00AE1A84"/>
    <w:rsid w:val="00AE3214"/>
    <w:rsid w:val="00AE5421"/>
    <w:rsid w:val="00AE6252"/>
    <w:rsid w:val="00AE6A45"/>
    <w:rsid w:val="00AE7D07"/>
    <w:rsid w:val="00AF06B8"/>
    <w:rsid w:val="00AF0AF9"/>
    <w:rsid w:val="00AF0CAD"/>
    <w:rsid w:val="00AF0FFB"/>
    <w:rsid w:val="00AF3A1C"/>
    <w:rsid w:val="00AF3BEC"/>
    <w:rsid w:val="00AF4AE9"/>
    <w:rsid w:val="00AF4D92"/>
    <w:rsid w:val="00AF57CC"/>
    <w:rsid w:val="00AF61CF"/>
    <w:rsid w:val="00AF6882"/>
    <w:rsid w:val="00AF6A94"/>
    <w:rsid w:val="00AF6E45"/>
    <w:rsid w:val="00AF6EE6"/>
    <w:rsid w:val="00B006FD"/>
    <w:rsid w:val="00B012C0"/>
    <w:rsid w:val="00B01585"/>
    <w:rsid w:val="00B01DD0"/>
    <w:rsid w:val="00B02429"/>
    <w:rsid w:val="00B02B39"/>
    <w:rsid w:val="00B02C3F"/>
    <w:rsid w:val="00B03415"/>
    <w:rsid w:val="00B03D53"/>
    <w:rsid w:val="00B049E9"/>
    <w:rsid w:val="00B04A9E"/>
    <w:rsid w:val="00B053B7"/>
    <w:rsid w:val="00B059D3"/>
    <w:rsid w:val="00B05E64"/>
    <w:rsid w:val="00B05F43"/>
    <w:rsid w:val="00B061AF"/>
    <w:rsid w:val="00B07764"/>
    <w:rsid w:val="00B105A9"/>
    <w:rsid w:val="00B112C1"/>
    <w:rsid w:val="00B11B4E"/>
    <w:rsid w:val="00B11D45"/>
    <w:rsid w:val="00B13055"/>
    <w:rsid w:val="00B13E45"/>
    <w:rsid w:val="00B14395"/>
    <w:rsid w:val="00B15559"/>
    <w:rsid w:val="00B15B05"/>
    <w:rsid w:val="00B160A9"/>
    <w:rsid w:val="00B17517"/>
    <w:rsid w:val="00B17631"/>
    <w:rsid w:val="00B17E5B"/>
    <w:rsid w:val="00B2083B"/>
    <w:rsid w:val="00B20ABB"/>
    <w:rsid w:val="00B218AB"/>
    <w:rsid w:val="00B229C4"/>
    <w:rsid w:val="00B22EA3"/>
    <w:rsid w:val="00B244F5"/>
    <w:rsid w:val="00B25045"/>
    <w:rsid w:val="00B25656"/>
    <w:rsid w:val="00B2661B"/>
    <w:rsid w:val="00B2679A"/>
    <w:rsid w:val="00B267A1"/>
    <w:rsid w:val="00B27381"/>
    <w:rsid w:val="00B27F79"/>
    <w:rsid w:val="00B31481"/>
    <w:rsid w:val="00B317F6"/>
    <w:rsid w:val="00B318D7"/>
    <w:rsid w:val="00B31BCF"/>
    <w:rsid w:val="00B33093"/>
    <w:rsid w:val="00B33D0F"/>
    <w:rsid w:val="00B33D2E"/>
    <w:rsid w:val="00B33F81"/>
    <w:rsid w:val="00B35CBE"/>
    <w:rsid w:val="00B3605E"/>
    <w:rsid w:val="00B368FF"/>
    <w:rsid w:val="00B37E2E"/>
    <w:rsid w:val="00B4082A"/>
    <w:rsid w:val="00B40867"/>
    <w:rsid w:val="00B412D3"/>
    <w:rsid w:val="00B415D6"/>
    <w:rsid w:val="00B41D68"/>
    <w:rsid w:val="00B43CD1"/>
    <w:rsid w:val="00B44D7F"/>
    <w:rsid w:val="00B463AD"/>
    <w:rsid w:val="00B4683B"/>
    <w:rsid w:val="00B46F04"/>
    <w:rsid w:val="00B50563"/>
    <w:rsid w:val="00B50E27"/>
    <w:rsid w:val="00B51B97"/>
    <w:rsid w:val="00B51C90"/>
    <w:rsid w:val="00B520AD"/>
    <w:rsid w:val="00B54455"/>
    <w:rsid w:val="00B5595C"/>
    <w:rsid w:val="00B57D75"/>
    <w:rsid w:val="00B607B0"/>
    <w:rsid w:val="00B6122B"/>
    <w:rsid w:val="00B615D7"/>
    <w:rsid w:val="00B61775"/>
    <w:rsid w:val="00B61B14"/>
    <w:rsid w:val="00B624A1"/>
    <w:rsid w:val="00B625EF"/>
    <w:rsid w:val="00B639EA"/>
    <w:rsid w:val="00B64F7E"/>
    <w:rsid w:val="00B66689"/>
    <w:rsid w:val="00B67237"/>
    <w:rsid w:val="00B70604"/>
    <w:rsid w:val="00B74DDA"/>
    <w:rsid w:val="00B75445"/>
    <w:rsid w:val="00B7550E"/>
    <w:rsid w:val="00B75E74"/>
    <w:rsid w:val="00B76523"/>
    <w:rsid w:val="00B776CD"/>
    <w:rsid w:val="00B8047E"/>
    <w:rsid w:val="00B81C3E"/>
    <w:rsid w:val="00B83788"/>
    <w:rsid w:val="00B85E8B"/>
    <w:rsid w:val="00B871ED"/>
    <w:rsid w:val="00B878C6"/>
    <w:rsid w:val="00B87A1A"/>
    <w:rsid w:val="00B87F59"/>
    <w:rsid w:val="00B90E5D"/>
    <w:rsid w:val="00B91072"/>
    <w:rsid w:val="00B91769"/>
    <w:rsid w:val="00B9188D"/>
    <w:rsid w:val="00B9192F"/>
    <w:rsid w:val="00B91E84"/>
    <w:rsid w:val="00B925D6"/>
    <w:rsid w:val="00B92EAA"/>
    <w:rsid w:val="00B94C01"/>
    <w:rsid w:val="00B95796"/>
    <w:rsid w:val="00B960D8"/>
    <w:rsid w:val="00B97C82"/>
    <w:rsid w:val="00BA0171"/>
    <w:rsid w:val="00BA0B18"/>
    <w:rsid w:val="00BA14B9"/>
    <w:rsid w:val="00BA599C"/>
    <w:rsid w:val="00BA698B"/>
    <w:rsid w:val="00BA75E7"/>
    <w:rsid w:val="00BB0226"/>
    <w:rsid w:val="00BB0252"/>
    <w:rsid w:val="00BB0DAE"/>
    <w:rsid w:val="00BB0F15"/>
    <w:rsid w:val="00BB1569"/>
    <w:rsid w:val="00BB1753"/>
    <w:rsid w:val="00BB32D8"/>
    <w:rsid w:val="00BB420F"/>
    <w:rsid w:val="00BB556A"/>
    <w:rsid w:val="00BC0E96"/>
    <w:rsid w:val="00BC2550"/>
    <w:rsid w:val="00BC3AFE"/>
    <w:rsid w:val="00BC3C5E"/>
    <w:rsid w:val="00BC4642"/>
    <w:rsid w:val="00BC4CCB"/>
    <w:rsid w:val="00BC5594"/>
    <w:rsid w:val="00BC6BA5"/>
    <w:rsid w:val="00BD13AC"/>
    <w:rsid w:val="00BD22BC"/>
    <w:rsid w:val="00BD47ED"/>
    <w:rsid w:val="00BD56CB"/>
    <w:rsid w:val="00BD5AF3"/>
    <w:rsid w:val="00BD5BE4"/>
    <w:rsid w:val="00BD6086"/>
    <w:rsid w:val="00BD624F"/>
    <w:rsid w:val="00BD6CE8"/>
    <w:rsid w:val="00BD70D2"/>
    <w:rsid w:val="00BD74BF"/>
    <w:rsid w:val="00BD7679"/>
    <w:rsid w:val="00BD7E30"/>
    <w:rsid w:val="00BE0F81"/>
    <w:rsid w:val="00BE20CD"/>
    <w:rsid w:val="00BE212A"/>
    <w:rsid w:val="00BE21F0"/>
    <w:rsid w:val="00BE4449"/>
    <w:rsid w:val="00BE4A7D"/>
    <w:rsid w:val="00BE5002"/>
    <w:rsid w:val="00BE5FFF"/>
    <w:rsid w:val="00BE78C1"/>
    <w:rsid w:val="00BF07C2"/>
    <w:rsid w:val="00BF0953"/>
    <w:rsid w:val="00BF0ADE"/>
    <w:rsid w:val="00BF0E06"/>
    <w:rsid w:val="00BF1C5E"/>
    <w:rsid w:val="00BF326A"/>
    <w:rsid w:val="00BF3967"/>
    <w:rsid w:val="00BF3D93"/>
    <w:rsid w:val="00BF558C"/>
    <w:rsid w:val="00BF57C8"/>
    <w:rsid w:val="00BF606E"/>
    <w:rsid w:val="00BF61EF"/>
    <w:rsid w:val="00BF62D2"/>
    <w:rsid w:val="00BF702D"/>
    <w:rsid w:val="00BF711B"/>
    <w:rsid w:val="00BF7AB2"/>
    <w:rsid w:val="00BF7C38"/>
    <w:rsid w:val="00BF7D7A"/>
    <w:rsid w:val="00C0037C"/>
    <w:rsid w:val="00C01718"/>
    <w:rsid w:val="00C01B4A"/>
    <w:rsid w:val="00C020B0"/>
    <w:rsid w:val="00C02A78"/>
    <w:rsid w:val="00C0308E"/>
    <w:rsid w:val="00C04D66"/>
    <w:rsid w:val="00C064A4"/>
    <w:rsid w:val="00C06E5D"/>
    <w:rsid w:val="00C10F80"/>
    <w:rsid w:val="00C123EB"/>
    <w:rsid w:val="00C1363E"/>
    <w:rsid w:val="00C1596C"/>
    <w:rsid w:val="00C15C12"/>
    <w:rsid w:val="00C15DA1"/>
    <w:rsid w:val="00C15DE8"/>
    <w:rsid w:val="00C15E6B"/>
    <w:rsid w:val="00C17573"/>
    <w:rsid w:val="00C20479"/>
    <w:rsid w:val="00C20E6E"/>
    <w:rsid w:val="00C21B54"/>
    <w:rsid w:val="00C223B5"/>
    <w:rsid w:val="00C223F2"/>
    <w:rsid w:val="00C2243D"/>
    <w:rsid w:val="00C2377D"/>
    <w:rsid w:val="00C23FE3"/>
    <w:rsid w:val="00C2581F"/>
    <w:rsid w:val="00C26260"/>
    <w:rsid w:val="00C30744"/>
    <w:rsid w:val="00C3136E"/>
    <w:rsid w:val="00C318CE"/>
    <w:rsid w:val="00C3288E"/>
    <w:rsid w:val="00C3396F"/>
    <w:rsid w:val="00C33E7E"/>
    <w:rsid w:val="00C33FF9"/>
    <w:rsid w:val="00C3455A"/>
    <w:rsid w:val="00C3504E"/>
    <w:rsid w:val="00C36054"/>
    <w:rsid w:val="00C3728B"/>
    <w:rsid w:val="00C37361"/>
    <w:rsid w:val="00C374CC"/>
    <w:rsid w:val="00C4215D"/>
    <w:rsid w:val="00C4326D"/>
    <w:rsid w:val="00C4397C"/>
    <w:rsid w:val="00C4437C"/>
    <w:rsid w:val="00C450BB"/>
    <w:rsid w:val="00C469B7"/>
    <w:rsid w:val="00C47E11"/>
    <w:rsid w:val="00C50F8B"/>
    <w:rsid w:val="00C51AC6"/>
    <w:rsid w:val="00C52E3A"/>
    <w:rsid w:val="00C53C9A"/>
    <w:rsid w:val="00C54038"/>
    <w:rsid w:val="00C54BD5"/>
    <w:rsid w:val="00C5571D"/>
    <w:rsid w:val="00C55C85"/>
    <w:rsid w:val="00C55E47"/>
    <w:rsid w:val="00C5646F"/>
    <w:rsid w:val="00C56B67"/>
    <w:rsid w:val="00C621F7"/>
    <w:rsid w:val="00C65ED9"/>
    <w:rsid w:val="00C66B2E"/>
    <w:rsid w:val="00C67AD2"/>
    <w:rsid w:val="00C7099E"/>
    <w:rsid w:val="00C71D5A"/>
    <w:rsid w:val="00C72CF8"/>
    <w:rsid w:val="00C73BEB"/>
    <w:rsid w:val="00C751D7"/>
    <w:rsid w:val="00C75D2F"/>
    <w:rsid w:val="00C76498"/>
    <w:rsid w:val="00C77B2C"/>
    <w:rsid w:val="00C835FF"/>
    <w:rsid w:val="00C850B5"/>
    <w:rsid w:val="00C863EB"/>
    <w:rsid w:val="00C86E5E"/>
    <w:rsid w:val="00C87475"/>
    <w:rsid w:val="00C90BDD"/>
    <w:rsid w:val="00C91836"/>
    <w:rsid w:val="00C91982"/>
    <w:rsid w:val="00C925D9"/>
    <w:rsid w:val="00C943BD"/>
    <w:rsid w:val="00C9463D"/>
    <w:rsid w:val="00C9465B"/>
    <w:rsid w:val="00C95C78"/>
    <w:rsid w:val="00C95F9F"/>
    <w:rsid w:val="00C976B6"/>
    <w:rsid w:val="00C97F9F"/>
    <w:rsid w:val="00CA0271"/>
    <w:rsid w:val="00CA05DA"/>
    <w:rsid w:val="00CA23EE"/>
    <w:rsid w:val="00CA24DC"/>
    <w:rsid w:val="00CA26DF"/>
    <w:rsid w:val="00CA27B3"/>
    <w:rsid w:val="00CA2A55"/>
    <w:rsid w:val="00CA317A"/>
    <w:rsid w:val="00CA4BD0"/>
    <w:rsid w:val="00CA5362"/>
    <w:rsid w:val="00CA6221"/>
    <w:rsid w:val="00CA75D4"/>
    <w:rsid w:val="00CA779F"/>
    <w:rsid w:val="00CB0735"/>
    <w:rsid w:val="00CB11BE"/>
    <w:rsid w:val="00CB155B"/>
    <w:rsid w:val="00CB18CA"/>
    <w:rsid w:val="00CB2F5D"/>
    <w:rsid w:val="00CB382F"/>
    <w:rsid w:val="00CB40F4"/>
    <w:rsid w:val="00CB544E"/>
    <w:rsid w:val="00CB6095"/>
    <w:rsid w:val="00CB6DF3"/>
    <w:rsid w:val="00CB7603"/>
    <w:rsid w:val="00CC0A0C"/>
    <w:rsid w:val="00CC0D0F"/>
    <w:rsid w:val="00CC49A1"/>
    <w:rsid w:val="00CC4BF3"/>
    <w:rsid w:val="00CD1EBE"/>
    <w:rsid w:val="00CD37ED"/>
    <w:rsid w:val="00CD3B33"/>
    <w:rsid w:val="00CD4077"/>
    <w:rsid w:val="00CD4382"/>
    <w:rsid w:val="00CD451A"/>
    <w:rsid w:val="00CD5416"/>
    <w:rsid w:val="00CD5FF2"/>
    <w:rsid w:val="00CD72F2"/>
    <w:rsid w:val="00CD7569"/>
    <w:rsid w:val="00CD7C61"/>
    <w:rsid w:val="00CE17FE"/>
    <w:rsid w:val="00CE29D6"/>
    <w:rsid w:val="00CE2FAE"/>
    <w:rsid w:val="00CE3037"/>
    <w:rsid w:val="00CE4E8D"/>
    <w:rsid w:val="00CE5F66"/>
    <w:rsid w:val="00CE603E"/>
    <w:rsid w:val="00CE61A0"/>
    <w:rsid w:val="00CE6CEA"/>
    <w:rsid w:val="00CF0E43"/>
    <w:rsid w:val="00CF0F54"/>
    <w:rsid w:val="00CF15BE"/>
    <w:rsid w:val="00CF17CA"/>
    <w:rsid w:val="00CF1944"/>
    <w:rsid w:val="00CF1A73"/>
    <w:rsid w:val="00CF67B4"/>
    <w:rsid w:val="00CF725C"/>
    <w:rsid w:val="00D02725"/>
    <w:rsid w:val="00D02A3D"/>
    <w:rsid w:val="00D03BCF"/>
    <w:rsid w:val="00D043FB"/>
    <w:rsid w:val="00D048C7"/>
    <w:rsid w:val="00D056B5"/>
    <w:rsid w:val="00D05B3C"/>
    <w:rsid w:val="00D06152"/>
    <w:rsid w:val="00D10F53"/>
    <w:rsid w:val="00D1163E"/>
    <w:rsid w:val="00D127C6"/>
    <w:rsid w:val="00D12E9E"/>
    <w:rsid w:val="00D13BD9"/>
    <w:rsid w:val="00D1430F"/>
    <w:rsid w:val="00D1593C"/>
    <w:rsid w:val="00D15D2C"/>
    <w:rsid w:val="00D15D43"/>
    <w:rsid w:val="00D16E34"/>
    <w:rsid w:val="00D20F44"/>
    <w:rsid w:val="00D2263E"/>
    <w:rsid w:val="00D2310F"/>
    <w:rsid w:val="00D23601"/>
    <w:rsid w:val="00D244E4"/>
    <w:rsid w:val="00D246DD"/>
    <w:rsid w:val="00D2481C"/>
    <w:rsid w:val="00D250E5"/>
    <w:rsid w:val="00D268E3"/>
    <w:rsid w:val="00D26A4E"/>
    <w:rsid w:val="00D26FE1"/>
    <w:rsid w:val="00D27A21"/>
    <w:rsid w:val="00D27D21"/>
    <w:rsid w:val="00D308A9"/>
    <w:rsid w:val="00D30B17"/>
    <w:rsid w:val="00D316C8"/>
    <w:rsid w:val="00D3178B"/>
    <w:rsid w:val="00D31799"/>
    <w:rsid w:val="00D32814"/>
    <w:rsid w:val="00D32E68"/>
    <w:rsid w:val="00D338FB"/>
    <w:rsid w:val="00D34225"/>
    <w:rsid w:val="00D35716"/>
    <w:rsid w:val="00D35B54"/>
    <w:rsid w:val="00D36CF9"/>
    <w:rsid w:val="00D41464"/>
    <w:rsid w:val="00D417FA"/>
    <w:rsid w:val="00D41EDD"/>
    <w:rsid w:val="00D433C1"/>
    <w:rsid w:val="00D43515"/>
    <w:rsid w:val="00D44E37"/>
    <w:rsid w:val="00D461BD"/>
    <w:rsid w:val="00D47C26"/>
    <w:rsid w:val="00D47DAA"/>
    <w:rsid w:val="00D508E4"/>
    <w:rsid w:val="00D50DA6"/>
    <w:rsid w:val="00D512F0"/>
    <w:rsid w:val="00D51752"/>
    <w:rsid w:val="00D540CD"/>
    <w:rsid w:val="00D54662"/>
    <w:rsid w:val="00D547F3"/>
    <w:rsid w:val="00D5587C"/>
    <w:rsid w:val="00D562DA"/>
    <w:rsid w:val="00D57C4C"/>
    <w:rsid w:val="00D60069"/>
    <w:rsid w:val="00D618C6"/>
    <w:rsid w:val="00D625B3"/>
    <w:rsid w:val="00D62C3E"/>
    <w:rsid w:val="00D645AE"/>
    <w:rsid w:val="00D648B6"/>
    <w:rsid w:val="00D65553"/>
    <w:rsid w:val="00D6654C"/>
    <w:rsid w:val="00D67D12"/>
    <w:rsid w:val="00D7119C"/>
    <w:rsid w:val="00D72109"/>
    <w:rsid w:val="00D723FD"/>
    <w:rsid w:val="00D72A3B"/>
    <w:rsid w:val="00D73199"/>
    <w:rsid w:val="00D73986"/>
    <w:rsid w:val="00D745D9"/>
    <w:rsid w:val="00D76429"/>
    <w:rsid w:val="00D7758B"/>
    <w:rsid w:val="00D80DA5"/>
    <w:rsid w:val="00D81881"/>
    <w:rsid w:val="00D82028"/>
    <w:rsid w:val="00D83047"/>
    <w:rsid w:val="00D86373"/>
    <w:rsid w:val="00D8680C"/>
    <w:rsid w:val="00D87482"/>
    <w:rsid w:val="00D87D98"/>
    <w:rsid w:val="00D9072E"/>
    <w:rsid w:val="00D9206B"/>
    <w:rsid w:val="00D9367F"/>
    <w:rsid w:val="00D950A6"/>
    <w:rsid w:val="00D95F93"/>
    <w:rsid w:val="00D9684B"/>
    <w:rsid w:val="00D96C95"/>
    <w:rsid w:val="00D96D42"/>
    <w:rsid w:val="00D972B4"/>
    <w:rsid w:val="00DA0442"/>
    <w:rsid w:val="00DA0C11"/>
    <w:rsid w:val="00DA0F5D"/>
    <w:rsid w:val="00DA21D7"/>
    <w:rsid w:val="00DA5347"/>
    <w:rsid w:val="00DA5A37"/>
    <w:rsid w:val="00DA6EA0"/>
    <w:rsid w:val="00DB046F"/>
    <w:rsid w:val="00DB0C8C"/>
    <w:rsid w:val="00DB1148"/>
    <w:rsid w:val="00DB1567"/>
    <w:rsid w:val="00DB20DA"/>
    <w:rsid w:val="00DB2A7B"/>
    <w:rsid w:val="00DB2CD9"/>
    <w:rsid w:val="00DB3776"/>
    <w:rsid w:val="00DB378F"/>
    <w:rsid w:val="00DB434A"/>
    <w:rsid w:val="00DB46AC"/>
    <w:rsid w:val="00DB4A36"/>
    <w:rsid w:val="00DB5178"/>
    <w:rsid w:val="00DB54AB"/>
    <w:rsid w:val="00DB597E"/>
    <w:rsid w:val="00DB61F8"/>
    <w:rsid w:val="00DB7370"/>
    <w:rsid w:val="00DB7612"/>
    <w:rsid w:val="00DB765A"/>
    <w:rsid w:val="00DB7D5D"/>
    <w:rsid w:val="00DC1564"/>
    <w:rsid w:val="00DC196B"/>
    <w:rsid w:val="00DC199C"/>
    <w:rsid w:val="00DC1BD4"/>
    <w:rsid w:val="00DC2024"/>
    <w:rsid w:val="00DC20F7"/>
    <w:rsid w:val="00DC3108"/>
    <w:rsid w:val="00DC33A7"/>
    <w:rsid w:val="00DC46C8"/>
    <w:rsid w:val="00DC47C5"/>
    <w:rsid w:val="00DC51AE"/>
    <w:rsid w:val="00DC5336"/>
    <w:rsid w:val="00DC6795"/>
    <w:rsid w:val="00DC7F1A"/>
    <w:rsid w:val="00DD00CD"/>
    <w:rsid w:val="00DD0870"/>
    <w:rsid w:val="00DD1EE3"/>
    <w:rsid w:val="00DD2FCB"/>
    <w:rsid w:val="00DD32C7"/>
    <w:rsid w:val="00DD3FDF"/>
    <w:rsid w:val="00DD539C"/>
    <w:rsid w:val="00DD55D6"/>
    <w:rsid w:val="00DD5FF1"/>
    <w:rsid w:val="00DD7340"/>
    <w:rsid w:val="00DD7A1F"/>
    <w:rsid w:val="00DE124E"/>
    <w:rsid w:val="00DE158C"/>
    <w:rsid w:val="00DE1955"/>
    <w:rsid w:val="00DE1BF5"/>
    <w:rsid w:val="00DE1C09"/>
    <w:rsid w:val="00DE2C62"/>
    <w:rsid w:val="00DE6C99"/>
    <w:rsid w:val="00DE6E68"/>
    <w:rsid w:val="00DE7285"/>
    <w:rsid w:val="00DE78CB"/>
    <w:rsid w:val="00DE79D0"/>
    <w:rsid w:val="00DE7F70"/>
    <w:rsid w:val="00DF0408"/>
    <w:rsid w:val="00DF16D3"/>
    <w:rsid w:val="00DF2C71"/>
    <w:rsid w:val="00DF4419"/>
    <w:rsid w:val="00DF4AFA"/>
    <w:rsid w:val="00DF602A"/>
    <w:rsid w:val="00DF763D"/>
    <w:rsid w:val="00DF7A33"/>
    <w:rsid w:val="00DF7DFB"/>
    <w:rsid w:val="00E01A1D"/>
    <w:rsid w:val="00E02246"/>
    <w:rsid w:val="00E04484"/>
    <w:rsid w:val="00E05915"/>
    <w:rsid w:val="00E05B90"/>
    <w:rsid w:val="00E07DB1"/>
    <w:rsid w:val="00E07F6A"/>
    <w:rsid w:val="00E1094F"/>
    <w:rsid w:val="00E10C60"/>
    <w:rsid w:val="00E1192D"/>
    <w:rsid w:val="00E119BF"/>
    <w:rsid w:val="00E11D3A"/>
    <w:rsid w:val="00E12D2D"/>
    <w:rsid w:val="00E14749"/>
    <w:rsid w:val="00E158E1"/>
    <w:rsid w:val="00E17CBC"/>
    <w:rsid w:val="00E209C6"/>
    <w:rsid w:val="00E20D70"/>
    <w:rsid w:val="00E2102C"/>
    <w:rsid w:val="00E21751"/>
    <w:rsid w:val="00E24B87"/>
    <w:rsid w:val="00E24D34"/>
    <w:rsid w:val="00E26DD5"/>
    <w:rsid w:val="00E3169F"/>
    <w:rsid w:val="00E31925"/>
    <w:rsid w:val="00E32155"/>
    <w:rsid w:val="00E32C6B"/>
    <w:rsid w:val="00E34CF3"/>
    <w:rsid w:val="00E35EF0"/>
    <w:rsid w:val="00E37195"/>
    <w:rsid w:val="00E3745D"/>
    <w:rsid w:val="00E37A3D"/>
    <w:rsid w:val="00E40720"/>
    <w:rsid w:val="00E41614"/>
    <w:rsid w:val="00E41FC4"/>
    <w:rsid w:val="00E42C90"/>
    <w:rsid w:val="00E431C6"/>
    <w:rsid w:val="00E433C2"/>
    <w:rsid w:val="00E44656"/>
    <w:rsid w:val="00E4641D"/>
    <w:rsid w:val="00E521A2"/>
    <w:rsid w:val="00E528A1"/>
    <w:rsid w:val="00E53B02"/>
    <w:rsid w:val="00E5435B"/>
    <w:rsid w:val="00E548B5"/>
    <w:rsid w:val="00E55CE2"/>
    <w:rsid w:val="00E56223"/>
    <w:rsid w:val="00E56676"/>
    <w:rsid w:val="00E56C4F"/>
    <w:rsid w:val="00E601E7"/>
    <w:rsid w:val="00E6080D"/>
    <w:rsid w:val="00E6220E"/>
    <w:rsid w:val="00E636D2"/>
    <w:rsid w:val="00E639B3"/>
    <w:rsid w:val="00E657D1"/>
    <w:rsid w:val="00E66531"/>
    <w:rsid w:val="00E665EF"/>
    <w:rsid w:val="00E6689C"/>
    <w:rsid w:val="00E66B8B"/>
    <w:rsid w:val="00E7005E"/>
    <w:rsid w:val="00E7008A"/>
    <w:rsid w:val="00E70894"/>
    <w:rsid w:val="00E71860"/>
    <w:rsid w:val="00E734EB"/>
    <w:rsid w:val="00E73C87"/>
    <w:rsid w:val="00E7406A"/>
    <w:rsid w:val="00E770BB"/>
    <w:rsid w:val="00E77C8B"/>
    <w:rsid w:val="00E8082D"/>
    <w:rsid w:val="00E82D37"/>
    <w:rsid w:val="00E83306"/>
    <w:rsid w:val="00E868F0"/>
    <w:rsid w:val="00E869E9"/>
    <w:rsid w:val="00E87FE0"/>
    <w:rsid w:val="00E90A82"/>
    <w:rsid w:val="00E90BDF"/>
    <w:rsid w:val="00E90D53"/>
    <w:rsid w:val="00E912D8"/>
    <w:rsid w:val="00E93916"/>
    <w:rsid w:val="00E939B6"/>
    <w:rsid w:val="00E949C4"/>
    <w:rsid w:val="00E94D32"/>
    <w:rsid w:val="00E95BED"/>
    <w:rsid w:val="00E96075"/>
    <w:rsid w:val="00E96664"/>
    <w:rsid w:val="00E9691C"/>
    <w:rsid w:val="00EA01BA"/>
    <w:rsid w:val="00EA0CD9"/>
    <w:rsid w:val="00EA119B"/>
    <w:rsid w:val="00EA1849"/>
    <w:rsid w:val="00EA1BFA"/>
    <w:rsid w:val="00EA2B44"/>
    <w:rsid w:val="00EA34D5"/>
    <w:rsid w:val="00EA68F3"/>
    <w:rsid w:val="00EA7C39"/>
    <w:rsid w:val="00EB0AAE"/>
    <w:rsid w:val="00EB1B20"/>
    <w:rsid w:val="00EB1C4C"/>
    <w:rsid w:val="00EB2105"/>
    <w:rsid w:val="00EB4EE3"/>
    <w:rsid w:val="00EB50C2"/>
    <w:rsid w:val="00EB600B"/>
    <w:rsid w:val="00EB6DAE"/>
    <w:rsid w:val="00EB7472"/>
    <w:rsid w:val="00EC1A6D"/>
    <w:rsid w:val="00EC4C93"/>
    <w:rsid w:val="00EC5121"/>
    <w:rsid w:val="00EC5825"/>
    <w:rsid w:val="00EC60DB"/>
    <w:rsid w:val="00EC6825"/>
    <w:rsid w:val="00EC7770"/>
    <w:rsid w:val="00EC797D"/>
    <w:rsid w:val="00EC7C6A"/>
    <w:rsid w:val="00ED0761"/>
    <w:rsid w:val="00ED41C8"/>
    <w:rsid w:val="00ED4403"/>
    <w:rsid w:val="00ED5ACD"/>
    <w:rsid w:val="00ED5E11"/>
    <w:rsid w:val="00ED7A5E"/>
    <w:rsid w:val="00EE00AC"/>
    <w:rsid w:val="00EE04ED"/>
    <w:rsid w:val="00EE20AA"/>
    <w:rsid w:val="00EE253A"/>
    <w:rsid w:val="00EE4739"/>
    <w:rsid w:val="00EE489B"/>
    <w:rsid w:val="00EE5B12"/>
    <w:rsid w:val="00EE6F38"/>
    <w:rsid w:val="00EF12F8"/>
    <w:rsid w:val="00EF14B1"/>
    <w:rsid w:val="00EF4536"/>
    <w:rsid w:val="00EF4684"/>
    <w:rsid w:val="00EF4CB4"/>
    <w:rsid w:val="00EF6C9E"/>
    <w:rsid w:val="00EF7942"/>
    <w:rsid w:val="00F011F2"/>
    <w:rsid w:val="00F0171F"/>
    <w:rsid w:val="00F019A0"/>
    <w:rsid w:val="00F031A7"/>
    <w:rsid w:val="00F044DF"/>
    <w:rsid w:val="00F05205"/>
    <w:rsid w:val="00F05834"/>
    <w:rsid w:val="00F05FDE"/>
    <w:rsid w:val="00F076A0"/>
    <w:rsid w:val="00F104A8"/>
    <w:rsid w:val="00F10B92"/>
    <w:rsid w:val="00F12501"/>
    <w:rsid w:val="00F130CF"/>
    <w:rsid w:val="00F131FF"/>
    <w:rsid w:val="00F133A4"/>
    <w:rsid w:val="00F13B38"/>
    <w:rsid w:val="00F13DDC"/>
    <w:rsid w:val="00F13E64"/>
    <w:rsid w:val="00F143A6"/>
    <w:rsid w:val="00F14826"/>
    <w:rsid w:val="00F15623"/>
    <w:rsid w:val="00F1696C"/>
    <w:rsid w:val="00F169B9"/>
    <w:rsid w:val="00F17461"/>
    <w:rsid w:val="00F20854"/>
    <w:rsid w:val="00F21DFD"/>
    <w:rsid w:val="00F21E2A"/>
    <w:rsid w:val="00F2210B"/>
    <w:rsid w:val="00F22A16"/>
    <w:rsid w:val="00F243B3"/>
    <w:rsid w:val="00F2472E"/>
    <w:rsid w:val="00F26562"/>
    <w:rsid w:val="00F269A4"/>
    <w:rsid w:val="00F26DC2"/>
    <w:rsid w:val="00F27059"/>
    <w:rsid w:val="00F31977"/>
    <w:rsid w:val="00F323E7"/>
    <w:rsid w:val="00F34321"/>
    <w:rsid w:val="00F36086"/>
    <w:rsid w:val="00F36557"/>
    <w:rsid w:val="00F3726F"/>
    <w:rsid w:val="00F40145"/>
    <w:rsid w:val="00F41134"/>
    <w:rsid w:val="00F411B9"/>
    <w:rsid w:val="00F433E8"/>
    <w:rsid w:val="00F47281"/>
    <w:rsid w:val="00F550D9"/>
    <w:rsid w:val="00F61D13"/>
    <w:rsid w:val="00F623DF"/>
    <w:rsid w:val="00F62859"/>
    <w:rsid w:val="00F6304A"/>
    <w:rsid w:val="00F64490"/>
    <w:rsid w:val="00F64651"/>
    <w:rsid w:val="00F65874"/>
    <w:rsid w:val="00F65B9F"/>
    <w:rsid w:val="00F67011"/>
    <w:rsid w:val="00F70C57"/>
    <w:rsid w:val="00F71898"/>
    <w:rsid w:val="00F722CF"/>
    <w:rsid w:val="00F72357"/>
    <w:rsid w:val="00F723BE"/>
    <w:rsid w:val="00F72B4B"/>
    <w:rsid w:val="00F72BDB"/>
    <w:rsid w:val="00F7310F"/>
    <w:rsid w:val="00F752C2"/>
    <w:rsid w:val="00F76334"/>
    <w:rsid w:val="00F77E67"/>
    <w:rsid w:val="00F8061A"/>
    <w:rsid w:val="00F80B69"/>
    <w:rsid w:val="00F80D24"/>
    <w:rsid w:val="00F80F75"/>
    <w:rsid w:val="00F8172F"/>
    <w:rsid w:val="00F81947"/>
    <w:rsid w:val="00F82962"/>
    <w:rsid w:val="00F842BC"/>
    <w:rsid w:val="00F84C5F"/>
    <w:rsid w:val="00F84CFA"/>
    <w:rsid w:val="00F85D40"/>
    <w:rsid w:val="00F871CA"/>
    <w:rsid w:val="00F94194"/>
    <w:rsid w:val="00F94375"/>
    <w:rsid w:val="00F94CFB"/>
    <w:rsid w:val="00F94D58"/>
    <w:rsid w:val="00F953B2"/>
    <w:rsid w:val="00F95BE4"/>
    <w:rsid w:val="00F96A6F"/>
    <w:rsid w:val="00F9708B"/>
    <w:rsid w:val="00F97245"/>
    <w:rsid w:val="00F97311"/>
    <w:rsid w:val="00FA1472"/>
    <w:rsid w:val="00FA355A"/>
    <w:rsid w:val="00FA38C9"/>
    <w:rsid w:val="00FA47CA"/>
    <w:rsid w:val="00FA5D44"/>
    <w:rsid w:val="00FA610C"/>
    <w:rsid w:val="00FA7606"/>
    <w:rsid w:val="00FB0FF7"/>
    <w:rsid w:val="00FB1263"/>
    <w:rsid w:val="00FB1599"/>
    <w:rsid w:val="00FB28C2"/>
    <w:rsid w:val="00FB2DB7"/>
    <w:rsid w:val="00FB318B"/>
    <w:rsid w:val="00FB46CE"/>
    <w:rsid w:val="00FB48E8"/>
    <w:rsid w:val="00FB4BDF"/>
    <w:rsid w:val="00FB5332"/>
    <w:rsid w:val="00FB5A9D"/>
    <w:rsid w:val="00FB63EC"/>
    <w:rsid w:val="00FB6641"/>
    <w:rsid w:val="00FC0EDF"/>
    <w:rsid w:val="00FC1A0D"/>
    <w:rsid w:val="00FC1A60"/>
    <w:rsid w:val="00FC2253"/>
    <w:rsid w:val="00FC302E"/>
    <w:rsid w:val="00FC4A5D"/>
    <w:rsid w:val="00FC5639"/>
    <w:rsid w:val="00FC575F"/>
    <w:rsid w:val="00FC5AF5"/>
    <w:rsid w:val="00FC6ADB"/>
    <w:rsid w:val="00FD40CE"/>
    <w:rsid w:val="00FD477B"/>
    <w:rsid w:val="00FD609E"/>
    <w:rsid w:val="00FD6B76"/>
    <w:rsid w:val="00FE0409"/>
    <w:rsid w:val="00FE0A10"/>
    <w:rsid w:val="00FE10D2"/>
    <w:rsid w:val="00FE1410"/>
    <w:rsid w:val="00FE3063"/>
    <w:rsid w:val="00FE37D5"/>
    <w:rsid w:val="00FE3B20"/>
    <w:rsid w:val="00FE3C59"/>
    <w:rsid w:val="00FE4E8C"/>
    <w:rsid w:val="00FE5210"/>
    <w:rsid w:val="00FE7563"/>
    <w:rsid w:val="00FF0DFF"/>
    <w:rsid w:val="00FF1486"/>
    <w:rsid w:val="00FF1657"/>
    <w:rsid w:val="00FF1CA9"/>
    <w:rsid w:val="00FF3092"/>
    <w:rsid w:val="00FF35BE"/>
    <w:rsid w:val="00FF474D"/>
    <w:rsid w:val="00FF4B16"/>
    <w:rsid w:val="00FF56F9"/>
    <w:rsid w:val="00FF5BC9"/>
    <w:rsid w:val="00FF5D82"/>
    <w:rsid w:val="00FF61EA"/>
    <w:rsid w:val="00FF6B5D"/>
    <w:rsid w:val="00FF7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866"/>
    <w:pPr>
      <w:widowControl w:val="0"/>
      <w:jc w:val="both"/>
    </w:pPr>
    <w:rPr>
      <w:rFonts w:ascii="Arial" w:hAnsi="Arial"/>
      <w:kern w:val="2"/>
      <w:sz w:val="21"/>
      <w:szCs w:val="24"/>
    </w:rPr>
  </w:style>
  <w:style w:type="paragraph" w:styleId="11">
    <w:name w:val="heading 1"/>
    <w:basedOn w:val="a0"/>
    <w:autoRedefine/>
    <w:qFormat/>
    <w:rsid w:val="00213420"/>
    <w:pPr>
      <w:outlineLvl w:val="0"/>
    </w:pPr>
    <w:rPr>
      <w:b/>
      <w:sz w:val="32"/>
    </w:rPr>
  </w:style>
  <w:style w:type="paragraph" w:styleId="21">
    <w:name w:val="heading 2"/>
    <w:basedOn w:val="a0"/>
    <w:next w:val="a0"/>
    <w:autoRedefine/>
    <w:qFormat/>
    <w:rsid w:val="00213420"/>
    <w:pPr>
      <w:keepNext/>
      <w:keepLines/>
      <w:spacing w:before="260" w:after="260" w:line="416" w:lineRule="auto"/>
      <w:outlineLvl w:val="1"/>
    </w:pPr>
    <w:rPr>
      <w:b/>
      <w:bCs/>
      <w:sz w:val="28"/>
      <w:szCs w:val="32"/>
    </w:rPr>
  </w:style>
  <w:style w:type="paragraph" w:styleId="30">
    <w:name w:val="heading 3"/>
    <w:basedOn w:val="a0"/>
    <w:next w:val="a0"/>
    <w:qFormat/>
    <w:rsid w:val="004A693F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F07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0"/>
    <w:rsid w:val="00F07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正文标题1"/>
    <w:basedOn w:val="a0"/>
    <w:autoRedefine/>
    <w:rsid w:val="00AA006C"/>
    <w:pPr>
      <w:numPr>
        <w:numId w:val="35"/>
      </w:numPr>
      <w:spacing w:before="120" w:after="120"/>
      <w:outlineLvl w:val="0"/>
    </w:pPr>
    <w:rPr>
      <w:b/>
      <w:sz w:val="32"/>
    </w:rPr>
  </w:style>
  <w:style w:type="paragraph" w:customStyle="1" w:styleId="2">
    <w:name w:val="正文标题2"/>
    <w:basedOn w:val="a0"/>
    <w:autoRedefine/>
    <w:rsid w:val="00264500"/>
    <w:pPr>
      <w:numPr>
        <w:ilvl w:val="1"/>
        <w:numId w:val="35"/>
      </w:numPr>
      <w:spacing w:before="120" w:after="120"/>
      <w:outlineLvl w:val="1"/>
    </w:pPr>
    <w:rPr>
      <w:b/>
      <w:sz w:val="28"/>
    </w:rPr>
  </w:style>
  <w:style w:type="paragraph" w:customStyle="1" w:styleId="3">
    <w:name w:val="正文标题3"/>
    <w:basedOn w:val="a0"/>
    <w:autoRedefine/>
    <w:rsid w:val="00264500"/>
    <w:pPr>
      <w:numPr>
        <w:ilvl w:val="2"/>
        <w:numId w:val="35"/>
      </w:numPr>
      <w:spacing w:before="120" w:after="120"/>
      <w:outlineLvl w:val="2"/>
    </w:pPr>
    <w:rPr>
      <w:b/>
      <w:sz w:val="24"/>
    </w:rPr>
  </w:style>
  <w:style w:type="paragraph" w:customStyle="1" w:styleId="4">
    <w:name w:val="正文标题4"/>
    <w:basedOn w:val="a0"/>
    <w:autoRedefine/>
    <w:rsid w:val="00264500"/>
    <w:pPr>
      <w:numPr>
        <w:ilvl w:val="3"/>
        <w:numId w:val="35"/>
      </w:numPr>
      <w:spacing w:before="120" w:after="120"/>
      <w:outlineLvl w:val="3"/>
    </w:pPr>
    <w:rPr>
      <w:b/>
    </w:rPr>
  </w:style>
  <w:style w:type="paragraph" w:customStyle="1" w:styleId="5">
    <w:name w:val="正文标题5"/>
    <w:basedOn w:val="a0"/>
    <w:autoRedefine/>
    <w:rsid w:val="00264500"/>
    <w:pPr>
      <w:numPr>
        <w:ilvl w:val="4"/>
        <w:numId w:val="35"/>
      </w:numPr>
      <w:spacing w:before="120" w:after="120"/>
      <w:outlineLvl w:val="4"/>
    </w:pPr>
    <w:rPr>
      <w:b/>
    </w:rPr>
  </w:style>
  <w:style w:type="paragraph" w:customStyle="1" w:styleId="a">
    <w:name w:val="图表标题"/>
    <w:basedOn w:val="a0"/>
    <w:autoRedefine/>
    <w:rsid w:val="003F6A97"/>
    <w:pPr>
      <w:keepNext/>
      <w:numPr>
        <w:numId w:val="36"/>
      </w:numPr>
      <w:spacing w:before="120"/>
    </w:pPr>
    <w:rPr>
      <w:b/>
    </w:rPr>
  </w:style>
  <w:style w:type="paragraph" w:customStyle="1" w:styleId="a6">
    <w:name w:val="报告正文"/>
    <w:basedOn w:val="a0"/>
    <w:autoRedefine/>
    <w:uiPriority w:val="99"/>
    <w:rsid w:val="00C1596C"/>
    <w:pPr>
      <w:snapToGrid w:val="0"/>
      <w:spacing w:before="120" w:after="120" w:line="360" w:lineRule="auto"/>
      <w:ind w:firstLineChars="200" w:firstLine="420"/>
    </w:pPr>
    <w:rPr>
      <w:rFonts w:ascii="微软雅黑" w:eastAsia="微软雅黑" w:hAnsi="微软雅黑"/>
      <w:color w:val="0A4058"/>
    </w:rPr>
  </w:style>
  <w:style w:type="paragraph" w:customStyle="1" w:styleId="a7">
    <w:name w:val="表格落款"/>
    <w:basedOn w:val="a0"/>
    <w:autoRedefine/>
    <w:rsid w:val="00D86373"/>
    <w:pPr>
      <w:spacing w:after="120"/>
    </w:pPr>
    <w:rPr>
      <w:sz w:val="18"/>
    </w:rPr>
  </w:style>
  <w:style w:type="paragraph" w:customStyle="1" w:styleId="a8">
    <w:name w:val="表格文字"/>
    <w:basedOn w:val="a0"/>
    <w:autoRedefine/>
    <w:rsid w:val="003E2E1D"/>
    <w:pPr>
      <w:spacing w:before="120" w:after="120"/>
    </w:pPr>
  </w:style>
  <w:style w:type="paragraph" w:customStyle="1" w:styleId="10">
    <w:name w:val="报告正文1"/>
    <w:basedOn w:val="a0"/>
    <w:rsid w:val="004B6363"/>
    <w:pPr>
      <w:numPr>
        <w:numId w:val="37"/>
      </w:numPr>
      <w:spacing w:before="120" w:after="120"/>
    </w:pPr>
  </w:style>
  <w:style w:type="paragraph" w:customStyle="1" w:styleId="20">
    <w:name w:val="报告正文2"/>
    <w:basedOn w:val="a0"/>
    <w:autoRedefine/>
    <w:rsid w:val="004B6363"/>
    <w:pPr>
      <w:numPr>
        <w:numId w:val="39"/>
      </w:numPr>
      <w:spacing w:before="120" w:after="120"/>
    </w:pPr>
  </w:style>
  <w:style w:type="paragraph" w:customStyle="1" w:styleId="a9">
    <w:name w:val="摘要标题"/>
    <w:basedOn w:val="a0"/>
    <w:autoRedefine/>
    <w:rsid w:val="00923AC4"/>
    <w:pPr>
      <w:spacing w:before="120" w:after="120"/>
    </w:pPr>
    <w:rPr>
      <w:rFonts w:ascii="微软雅黑" w:eastAsia="微软雅黑" w:hAnsi="微软雅黑"/>
      <w:b/>
      <w:color w:val="0A4058"/>
      <w:sz w:val="32"/>
      <w:szCs w:val="32"/>
    </w:rPr>
  </w:style>
  <w:style w:type="character" w:styleId="aa">
    <w:name w:val="Hyperlink"/>
    <w:rsid w:val="00E07DB1"/>
    <w:rPr>
      <w:color w:val="0000FF"/>
      <w:u w:val="single"/>
    </w:rPr>
  </w:style>
  <w:style w:type="paragraph" w:customStyle="1" w:styleId="ab">
    <w:name w:val="研究中心联系方式"/>
    <w:basedOn w:val="a0"/>
    <w:autoRedefine/>
    <w:rsid w:val="00E07DB1"/>
    <w:pPr>
      <w:spacing w:before="156" w:after="156"/>
    </w:pPr>
  </w:style>
  <w:style w:type="paragraph" w:customStyle="1" w:styleId="ac">
    <w:name w:val="目录标题"/>
    <w:basedOn w:val="a9"/>
    <w:autoRedefine/>
    <w:rsid w:val="00AA006C"/>
    <w:pPr>
      <w:spacing w:before="360" w:after="360"/>
      <w:jc w:val="center"/>
    </w:pPr>
    <w:rPr>
      <w:sz w:val="44"/>
    </w:rPr>
  </w:style>
  <w:style w:type="paragraph" w:styleId="12">
    <w:name w:val="toc 1"/>
    <w:basedOn w:val="a0"/>
    <w:next w:val="a0"/>
    <w:autoRedefine/>
    <w:semiHidden/>
    <w:rsid w:val="00A21AAD"/>
  </w:style>
  <w:style w:type="paragraph" w:styleId="22">
    <w:name w:val="toc 2"/>
    <w:basedOn w:val="a0"/>
    <w:next w:val="a0"/>
    <w:autoRedefine/>
    <w:semiHidden/>
    <w:rsid w:val="004B6363"/>
    <w:pPr>
      <w:ind w:leftChars="200" w:left="200"/>
    </w:pPr>
  </w:style>
  <w:style w:type="paragraph" w:styleId="ad">
    <w:name w:val="table of figures"/>
    <w:basedOn w:val="a0"/>
    <w:next w:val="a0"/>
    <w:semiHidden/>
    <w:rsid w:val="004B6363"/>
    <w:pPr>
      <w:ind w:leftChars="200" w:left="200" w:hangingChars="200" w:hanging="200"/>
    </w:pPr>
  </w:style>
  <w:style w:type="table" w:styleId="13">
    <w:name w:val="Table Simple 1"/>
    <w:basedOn w:val="a2"/>
    <w:rsid w:val="003C3F8A"/>
    <w:pPr>
      <w:widowControl w:val="0"/>
      <w:jc w:val="both"/>
    </w:pPr>
    <w:tblPr>
      <w:tblInd w:w="0" w:type="dxa"/>
      <w:tblBorders>
        <w:top w:val="single" w:sz="12" w:space="0" w:color="003366"/>
        <w:bottom w:val="single" w:sz="12" w:space="0" w:color="0033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line="240" w:lineRule="auto"/>
      </w:pPr>
      <w:rPr>
        <w:rFonts w:eastAsia="宋体"/>
        <w:b/>
        <w:sz w:val="21"/>
      </w:rPr>
      <w:tblPr/>
      <w:tcPr>
        <w:tcBorders>
          <w:bottom w:val="single" w:sz="6" w:space="0" w:color="003366"/>
        </w:tcBorders>
        <w:vAlign w:val="center"/>
      </w:tcPr>
    </w:tblStylePr>
    <w:tblStylePr w:type="lastRow">
      <w:rPr>
        <w:rFonts w:ascii="Arial" w:eastAsia="宋体" w:hAnsi="Arial"/>
        <w:b/>
        <w:sz w:val="21"/>
      </w:rPr>
      <w:tblPr/>
      <w:tcPr>
        <w:tcBorders>
          <w:top w:val="single" w:sz="6" w:space="0" w:color="003366"/>
        </w:tcBorders>
        <w:shd w:val="clear" w:color="auto" w:fill="auto"/>
      </w:tcPr>
    </w:tblStylePr>
  </w:style>
  <w:style w:type="table" w:styleId="ae">
    <w:name w:val="Table Professional"/>
    <w:basedOn w:val="a2"/>
    <w:rsid w:val="003F6A97"/>
    <w:pPr>
      <w:widowControl w:val="0"/>
      <w:spacing w:line="360" w:lineRule="auto"/>
      <w:jc w:val="both"/>
    </w:pPr>
    <w:rPr>
      <w:sz w:val="21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line="240" w:lineRule="auto"/>
      </w:pPr>
      <w:rPr>
        <w:rFonts w:ascii="Arial" w:eastAsia="宋体" w:hAnsi="Arial"/>
        <w:b/>
        <w:bCs/>
        <w:color w:val="auto"/>
        <w:sz w:val="21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solid" w:color="000080" w:fill="000080"/>
      </w:tcPr>
    </w:tblStylePr>
    <w:tblStylePr w:type="lastRow">
      <w:rPr>
        <w:rFonts w:ascii="Arial" w:eastAsia="宋体" w:hAnsi="Arial"/>
        <w:b/>
        <w:sz w:val="21"/>
      </w:rPr>
    </w:tblStylePr>
  </w:style>
  <w:style w:type="paragraph" w:styleId="af">
    <w:name w:val="Document Map"/>
    <w:basedOn w:val="a0"/>
    <w:semiHidden/>
    <w:rsid w:val="00B70604"/>
    <w:pPr>
      <w:shd w:val="clear" w:color="auto" w:fill="000080"/>
    </w:pPr>
  </w:style>
  <w:style w:type="character" w:styleId="af0">
    <w:name w:val="page number"/>
    <w:basedOn w:val="a1"/>
    <w:rsid w:val="00A93385"/>
  </w:style>
  <w:style w:type="paragraph" w:styleId="31">
    <w:name w:val="toc 3"/>
    <w:basedOn w:val="a0"/>
    <w:next w:val="a0"/>
    <w:autoRedefine/>
    <w:semiHidden/>
    <w:rsid w:val="005F00DF"/>
    <w:pPr>
      <w:ind w:leftChars="400" w:left="840"/>
    </w:pPr>
  </w:style>
  <w:style w:type="character" w:customStyle="1" w:styleId="Char">
    <w:name w:val="脚注文本 Char"/>
    <w:link w:val="af1"/>
    <w:semiHidden/>
    <w:locked/>
    <w:rsid w:val="00AF4D92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styleId="af1">
    <w:name w:val="footnote text"/>
    <w:basedOn w:val="a0"/>
    <w:link w:val="Char"/>
    <w:semiHidden/>
    <w:rsid w:val="00AF4D92"/>
    <w:pPr>
      <w:snapToGrid w:val="0"/>
      <w:jc w:val="left"/>
    </w:pPr>
    <w:rPr>
      <w:rFonts w:ascii="宋体" w:hAnsi="宋体"/>
      <w:sz w:val="18"/>
      <w:szCs w:val="18"/>
    </w:rPr>
  </w:style>
  <w:style w:type="paragraph" w:customStyle="1" w:styleId="23">
    <w:name w:val="标题 2 + 黑体"/>
    <w:aliases w:val="(符号) 宋体,小三,段前: 6 磅,段后: 6 磅,行距: 单倍行距 + Arial,标题 3 + 黑体,行距: 单倍行距"/>
    <w:basedOn w:val="30"/>
    <w:rsid w:val="00AF4D92"/>
    <w:pPr>
      <w:spacing w:before="120" w:after="120" w:line="240" w:lineRule="auto"/>
    </w:pPr>
    <w:rPr>
      <w:rFonts w:ascii="黑体" w:eastAsia="黑体" w:hAnsi="宋体"/>
      <w:sz w:val="30"/>
      <w:szCs w:val="30"/>
    </w:rPr>
  </w:style>
  <w:style w:type="character" w:styleId="af2">
    <w:name w:val="footnote reference"/>
    <w:semiHidden/>
    <w:rsid w:val="00AF4D92"/>
    <w:rPr>
      <w:vertAlign w:val="superscript"/>
    </w:rPr>
  </w:style>
  <w:style w:type="character" w:customStyle="1" w:styleId="apple-style-span">
    <w:name w:val="apple-style-span"/>
    <w:basedOn w:val="a1"/>
    <w:rsid w:val="00AF4D92"/>
  </w:style>
  <w:style w:type="table" w:styleId="af3">
    <w:name w:val="Table Grid"/>
    <w:basedOn w:val="a2"/>
    <w:rsid w:val="00AF4D92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0"/>
    <w:uiPriority w:val="99"/>
    <w:rsid w:val="00085B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5">
    <w:name w:val="Strong"/>
    <w:uiPriority w:val="22"/>
    <w:qFormat/>
    <w:rsid w:val="00085BDB"/>
    <w:rPr>
      <w:b/>
      <w:bCs/>
    </w:rPr>
  </w:style>
  <w:style w:type="character" w:styleId="af6">
    <w:name w:val="annotation reference"/>
    <w:rsid w:val="003F2689"/>
    <w:rPr>
      <w:sz w:val="21"/>
      <w:szCs w:val="21"/>
    </w:rPr>
  </w:style>
  <w:style w:type="paragraph" w:styleId="af7">
    <w:name w:val="annotation text"/>
    <w:basedOn w:val="a0"/>
    <w:link w:val="Char0"/>
    <w:rsid w:val="003F2689"/>
    <w:pPr>
      <w:jc w:val="left"/>
    </w:pPr>
  </w:style>
  <w:style w:type="character" w:customStyle="1" w:styleId="Char0">
    <w:name w:val="批注文字 Char"/>
    <w:link w:val="af7"/>
    <w:rsid w:val="003F2689"/>
    <w:rPr>
      <w:rFonts w:ascii="Arial" w:hAnsi="Arial"/>
      <w:kern w:val="2"/>
      <w:sz w:val="21"/>
      <w:szCs w:val="24"/>
    </w:rPr>
  </w:style>
  <w:style w:type="paragraph" w:styleId="af8">
    <w:name w:val="annotation subject"/>
    <w:basedOn w:val="af7"/>
    <w:next w:val="af7"/>
    <w:link w:val="Char1"/>
    <w:rsid w:val="003F2689"/>
    <w:rPr>
      <w:b/>
      <w:bCs/>
    </w:rPr>
  </w:style>
  <w:style w:type="character" w:customStyle="1" w:styleId="Char1">
    <w:name w:val="批注主题 Char"/>
    <w:link w:val="af8"/>
    <w:rsid w:val="003F2689"/>
    <w:rPr>
      <w:rFonts w:ascii="Arial" w:hAnsi="Arial"/>
      <w:b/>
      <w:bCs/>
      <w:kern w:val="2"/>
      <w:sz w:val="21"/>
      <w:szCs w:val="24"/>
    </w:rPr>
  </w:style>
  <w:style w:type="paragraph" w:styleId="af9">
    <w:name w:val="Balloon Text"/>
    <w:basedOn w:val="a0"/>
    <w:link w:val="Char2"/>
    <w:rsid w:val="003F2689"/>
    <w:rPr>
      <w:sz w:val="18"/>
      <w:szCs w:val="18"/>
    </w:rPr>
  </w:style>
  <w:style w:type="character" w:customStyle="1" w:styleId="Char2">
    <w:name w:val="批注框文本 Char"/>
    <w:link w:val="af9"/>
    <w:rsid w:val="003F2689"/>
    <w:rPr>
      <w:rFonts w:ascii="Arial" w:hAnsi="Arial"/>
      <w:kern w:val="2"/>
      <w:sz w:val="18"/>
      <w:szCs w:val="18"/>
    </w:rPr>
  </w:style>
  <w:style w:type="character" w:styleId="afa">
    <w:name w:val="FollowedHyperlink"/>
    <w:rsid w:val="00FB48E8"/>
    <w:rPr>
      <w:color w:val="800080"/>
      <w:u w:val="single"/>
    </w:rPr>
  </w:style>
  <w:style w:type="paragraph" w:customStyle="1" w:styleId="Default">
    <w:name w:val="Default"/>
    <w:rsid w:val="007D705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b">
    <w:name w:val="caption"/>
    <w:basedOn w:val="a0"/>
    <w:next w:val="a0"/>
    <w:unhideWhenUsed/>
    <w:qFormat/>
    <w:rsid w:val="000236A2"/>
    <w:rPr>
      <w:rFonts w:asciiTheme="majorHAnsi" w:eastAsia="黑体" w:hAnsiTheme="majorHAnsi" w:cstheme="majorBidi"/>
      <w:sz w:val="20"/>
      <w:szCs w:val="20"/>
    </w:rPr>
  </w:style>
  <w:style w:type="character" w:customStyle="1" w:styleId="16">
    <w:name w:val="16"/>
    <w:basedOn w:val="a1"/>
    <w:rsid w:val="00B2679A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866"/>
    <w:pPr>
      <w:widowControl w:val="0"/>
      <w:jc w:val="both"/>
    </w:pPr>
    <w:rPr>
      <w:rFonts w:ascii="Arial" w:hAnsi="Arial"/>
      <w:kern w:val="2"/>
      <w:sz w:val="21"/>
      <w:szCs w:val="24"/>
    </w:rPr>
  </w:style>
  <w:style w:type="paragraph" w:styleId="11">
    <w:name w:val="heading 1"/>
    <w:basedOn w:val="a0"/>
    <w:autoRedefine/>
    <w:qFormat/>
    <w:rsid w:val="00213420"/>
    <w:pPr>
      <w:outlineLvl w:val="0"/>
    </w:pPr>
    <w:rPr>
      <w:b/>
      <w:sz w:val="32"/>
    </w:rPr>
  </w:style>
  <w:style w:type="paragraph" w:styleId="21">
    <w:name w:val="heading 2"/>
    <w:basedOn w:val="a0"/>
    <w:next w:val="a0"/>
    <w:autoRedefine/>
    <w:qFormat/>
    <w:rsid w:val="00213420"/>
    <w:pPr>
      <w:keepNext/>
      <w:keepLines/>
      <w:spacing w:before="260" w:after="260" w:line="416" w:lineRule="auto"/>
      <w:outlineLvl w:val="1"/>
    </w:pPr>
    <w:rPr>
      <w:b/>
      <w:bCs/>
      <w:sz w:val="28"/>
      <w:szCs w:val="32"/>
    </w:rPr>
  </w:style>
  <w:style w:type="paragraph" w:styleId="30">
    <w:name w:val="heading 3"/>
    <w:basedOn w:val="a0"/>
    <w:next w:val="a0"/>
    <w:qFormat/>
    <w:rsid w:val="004A693F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F07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0"/>
    <w:rsid w:val="00F07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正文标题1"/>
    <w:basedOn w:val="a0"/>
    <w:autoRedefine/>
    <w:rsid w:val="00AA006C"/>
    <w:pPr>
      <w:numPr>
        <w:numId w:val="35"/>
      </w:numPr>
      <w:spacing w:before="120" w:after="120"/>
      <w:outlineLvl w:val="0"/>
    </w:pPr>
    <w:rPr>
      <w:b/>
      <w:sz w:val="32"/>
    </w:rPr>
  </w:style>
  <w:style w:type="paragraph" w:customStyle="1" w:styleId="2">
    <w:name w:val="正文标题2"/>
    <w:basedOn w:val="a0"/>
    <w:autoRedefine/>
    <w:rsid w:val="00264500"/>
    <w:pPr>
      <w:numPr>
        <w:ilvl w:val="1"/>
        <w:numId w:val="35"/>
      </w:numPr>
      <w:spacing w:before="120" w:after="120"/>
      <w:outlineLvl w:val="1"/>
    </w:pPr>
    <w:rPr>
      <w:b/>
      <w:sz w:val="28"/>
    </w:rPr>
  </w:style>
  <w:style w:type="paragraph" w:customStyle="1" w:styleId="3">
    <w:name w:val="正文标题3"/>
    <w:basedOn w:val="a0"/>
    <w:autoRedefine/>
    <w:rsid w:val="00264500"/>
    <w:pPr>
      <w:numPr>
        <w:ilvl w:val="2"/>
        <w:numId w:val="35"/>
      </w:numPr>
      <w:spacing w:before="120" w:after="120"/>
      <w:outlineLvl w:val="2"/>
    </w:pPr>
    <w:rPr>
      <w:b/>
      <w:sz w:val="24"/>
    </w:rPr>
  </w:style>
  <w:style w:type="paragraph" w:customStyle="1" w:styleId="4">
    <w:name w:val="正文标题4"/>
    <w:basedOn w:val="a0"/>
    <w:autoRedefine/>
    <w:rsid w:val="00264500"/>
    <w:pPr>
      <w:numPr>
        <w:ilvl w:val="3"/>
        <w:numId w:val="35"/>
      </w:numPr>
      <w:spacing w:before="120" w:after="120"/>
      <w:outlineLvl w:val="3"/>
    </w:pPr>
    <w:rPr>
      <w:b/>
    </w:rPr>
  </w:style>
  <w:style w:type="paragraph" w:customStyle="1" w:styleId="5">
    <w:name w:val="正文标题5"/>
    <w:basedOn w:val="a0"/>
    <w:autoRedefine/>
    <w:rsid w:val="00264500"/>
    <w:pPr>
      <w:numPr>
        <w:ilvl w:val="4"/>
        <w:numId w:val="35"/>
      </w:numPr>
      <w:spacing w:before="120" w:after="120"/>
      <w:outlineLvl w:val="4"/>
    </w:pPr>
    <w:rPr>
      <w:b/>
    </w:rPr>
  </w:style>
  <w:style w:type="paragraph" w:customStyle="1" w:styleId="a">
    <w:name w:val="图表标题"/>
    <w:basedOn w:val="a0"/>
    <w:autoRedefine/>
    <w:rsid w:val="003F6A97"/>
    <w:pPr>
      <w:keepNext/>
      <w:numPr>
        <w:numId w:val="36"/>
      </w:numPr>
      <w:spacing w:before="120"/>
    </w:pPr>
    <w:rPr>
      <w:b/>
    </w:rPr>
  </w:style>
  <w:style w:type="paragraph" w:customStyle="1" w:styleId="a6">
    <w:name w:val="报告正文"/>
    <w:basedOn w:val="a0"/>
    <w:autoRedefine/>
    <w:uiPriority w:val="99"/>
    <w:rsid w:val="00C1596C"/>
    <w:pPr>
      <w:snapToGrid w:val="0"/>
      <w:spacing w:before="120" w:after="120" w:line="360" w:lineRule="auto"/>
      <w:ind w:firstLineChars="200" w:firstLine="420"/>
    </w:pPr>
    <w:rPr>
      <w:rFonts w:ascii="微软雅黑" w:eastAsia="微软雅黑" w:hAnsi="微软雅黑"/>
      <w:color w:val="0A4058"/>
    </w:rPr>
  </w:style>
  <w:style w:type="paragraph" w:customStyle="1" w:styleId="a7">
    <w:name w:val="表格落款"/>
    <w:basedOn w:val="a0"/>
    <w:autoRedefine/>
    <w:rsid w:val="00D86373"/>
    <w:pPr>
      <w:spacing w:after="120"/>
    </w:pPr>
    <w:rPr>
      <w:sz w:val="18"/>
    </w:rPr>
  </w:style>
  <w:style w:type="paragraph" w:customStyle="1" w:styleId="a8">
    <w:name w:val="表格文字"/>
    <w:basedOn w:val="a0"/>
    <w:autoRedefine/>
    <w:rsid w:val="003E2E1D"/>
    <w:pPr>
      <w:spacing w:before="120" w:after="120"/>
    </w:pPr>
  </w:style>
  <w:style w:type="paragraph" w:customStyle="1" w:styleId="10">
    <w:name w:val="报告正文1"/>
    <w:basedOn w:val="a0"/>
    <w:rsid w:val="004B6363"/>
    <w:pPr>
      <w:numPr>
        <w:numId w:val="37"/>
      </w:numPr>
      <w:spacing w:before="120" w:after="120"/>
    </w:pPr>
  </w:style>
  <w:style w:type="paragraph" w:customStyle="1" w:styleId="20">
    <w:name w:val="报告正文2"/>
    <w:basedOn w:val="a0"/>
    <w:autoRedefine/>
    <w:rsid w:val="004B6363"/>
    <w:pPr>
      <w:numPr>
        <w:numId w:val="39"/>
      </w:numPr>
      <w:spacing w:before="120" w:after="120"/>
    </w:pPr>
  </w:style>
  <w:style w:type="paragraph" w:customStyle="1" w:styleId="a9">
    <w:name w:val="摘要标题"/>
    <w:basedOn w:val="a0"/>
    <w:autoRedefine/>
    <w:rsid w:val="00923AC4"/>
    <w:pPr>
      <w:spacing w:before="120" w:after="120"/>
    </w:pPr>
    <w:rPr>
      <w:rFonts w:ascii="微软雅黑" w:eastAsia="微软雅黑" w:hAnsi="微软雅黑"/>
      <w:b/>
      <w:color w:val="0A4058"/>
      <w:sz w:val="32"/>
      <w:szCs w:val="32"/>
    </w:rPr>
  </w:style>
  <w:style w:type="character" w:styleId="aa">
    <w:name w:val="Hyperlink"/>
    <w:rsid w:val="00E07DB1"/>
    <w:rPr>
      <w:color w:val="0000FF"/>
      <w:u w:val="single"/>
    </w:rPr>
  </w:style>
  <w:style w:type="paragraph" w:customStyle="1" w:styleId="ab">
    <w:name w:val="研究中心联系方式"/>
    <w:basedOn w:val="a0"/>
    <w:autoRedefine/>
    <w:rsid w:val="00E07DB1"/>
    <w:pPr>
      <w:spacing w:before="156" w:after="156"/>
    </w:pPr>
  </w:style>
  <w:style w:type="paragraph" w:customStyle="1" w:styleId="ac">
    <w:name w:val="目录标题"/>
    <w:basedOn w:val="a9"/>
    <w:autoRedefine/>
    <w:rsid w:val="00AA006C"/>
    <w:pPr>
      <w:spacing w:before="360" w:after="360"/>
      <w:jc w:val="center"/>
    </w:pPr>
    <w:rPr>
      <w:sz w:val="44"/>
    </w:rPr>
  </w:style>
  <w:style w:type="paragraph" w:styleId="12">
    <w:name w:val="toc 1"/>
    <w:basedOn w:val="a0"/>
    <w:next w:val="a0"/>
    <w:autoRedefine/>
    <w:semiHidden/>
    <w:rsid w:val="00A21AAD"/>
  </w:style>
  <w:style w:type="paragraph" w:styleId="22">
    <w:name w:val="toc 2"/>
    <w:basedOn w:val="a0"/>
    <w:next w:val="a0"/>
    <w:autoRedefine/>
    <w:semiHidden/>
    <w:rsid w:val="004B6363"/>
    <w:pPr>
      <w:ind w:leftChars="200" w:left="200"/>
    </w:pPr>
  </w:style>
  <w:style w:type="paragraph" w:styleId="ad">
    <w:name w:val="table of figures"/>
    <w:basedOn w:val="a0"/>
    <w:next w:val="a0"/>
    <w:semiHidden/>
    <w:rsid w:val="004B6363"/>
    <w:pPr>
      <w:ind w:leftChars="200" w:left="200" w:hangingChars="200" w:hanging="200"/>
    </w:pPr>
  </w:style>
  <w:style w:type="table" w:styleId="13">
    <w:name w:val="Table Simple 1"/>
    <w:basedOn w:val="a2"/>
    <w:rsid w:val="003C3F8A"/>
    <w:pPr>
      <w:widowControl w:val="0"/>
      <w:jc w:val="both"/>
    </w:pPr>
    <w:tblPr>
      <w:tblInd w:w="0" w:type="dxa"/>
      <w:tblBorders>
        <w:top w:val="single" w:sz="12" w:space="0" w:color="003366"/>
        <w:bottom w:val="single" w:sz="12" w:space="0" w:color="0033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line="240" w:lineRule="auto"/>
      </w:pPr>
      <w:rPr>
        <w:rFonts w:eastAsia="宋体"/>
        <w:b/>
        <w:sz w:val="21"/>
      </w:rPr>
      <w:tblPr/>
      <w:tcPr>
        <w:tcBorders>
          <w:bottom w:val="single" w:sz="6" w:space="0" w:color="003366"/>
        </w:tcBorders>
        <w:vAlign w:val="center"/>
      </w:tcPr>
    </w:tblStylePr>
    <w:tblStylePr w:type="lastRow">
      <w:rPr>
        <w:rFonts w:ascii="Arial" w:eastAsia="宋体" w:hAnsi="Arial"/>
        <w:b/>
        <w:sz w:val="21"/>
      </w:rPr>
      <w:tblPr/>
      <w:tcPr>
        <w:tcBorders>
          <w:top w:val="single" w:sz="6" w:space="0" w:color="003366"/>
        </w:tcBorders>
        <w:shd w:val="clear" w:color="auto" w:fill="auto"/>
      </w:tcPr>
    </w:tblStylePr>
  </w:style>
  <w:style w:type="table" w:styleId="ae">
    <w:name w:val="Table Professional"/>
    <w:basedOn w:val="a2"/>
    <w:rsid w:val="003F6A97"/>
    <w:pPr>
      <w:widowControl w:val="0"/>
      <w:spacing w:line="360" w:lineRule="auto"/>
      <w:jc w:val="both"/>
    </w:pPr>
    <w:rPr>
      <w:sz w:val="21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line="240" w:lineRule="auto"/>
      </w:pPr>
      <w:rPr>
        <w:rFonts w:ascii="Arial" w:eastAsia="宋体" w:hAnsi="Arial"/>
        <w:b/>
        <w:bCs/>
        <w:color w:val="auto"/>
        <w:sz w:val="21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solid" w:color="000080" w:fill="000080"/>
      </w:tcPr>
    </w:tblStylePr>
    <w:tblStylePr w:type="lastRow">
      <w:rPr>
        <w:rFonts w:ascii="Arial" w:eastAsia="宋体" w:hAnsi="Arial"/>
        <w:b/>
        <w:sz w:val="21"/>
      </w:rPr>
    </w:tblStylePr>
  </w:style>
  <w:style w:type="paragraph" w:styleId="af">
    <w:name w:val="Document Map"/>
    <w:basedOn w:val="a0"/>
    <w:semiHidden/>
    <w:rsid w:val="00B70604"/>
    <w:pPr>
      <w:shd w:val="clear" w:color="auto" w:fill="000080"/>
    </w:pPr>
  </w:style>
  <w:style w:type="character" w:styleId="af0">
    <w:name w:val="page number"/>
    <w:basedOn w:val="a1"/>
    <w:rsid w:val="00A93385"/>
  </w:style>
  <w:style w:type="paragraph" w:styleId="31">
    <w:name w:val="toc 3"/>
    <w:basedOn w:val="a0"/>
    <w:next w:val="a0"/>
    <w:autoRedefine/>
    <w:semiHidden/>
    <w:rsid w:val="005F00DF"/>
    <w:pPr>
      <w:ind w:leftChars="400" w:left="840"/>
    </w:pPr>
  </w:style>
  <w:style w:type="character" w:customStyle="1" w:styleId="Char">
    <w:name w:val="脚注文本 Char"/>
    <w:link w:val="af1"/>
    <w:semiHidden/>
    <w:locked/>
    <w:rsid w:val="00AF4D92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styleId="af1">
    <w:name w:val="footnote text"/>
    <w:basedOn w:val="a0"/>
    <w:link w:val="Char"/>
    <w:semiHidden/>
    <w:rsid w:val="00AF4D92"/>
    <w:pPr>
      <w:snapToGrid w:val="0"/>
      <w:jc w:val="left"/>
    </w:pPr>
    <w:rPr>
      <w:rFonts w:ascii="宋体" w:hAnsi="宋体"/>
      <w:sz w:val="18"/>
      <w:szCs w:val="18"/>
    </w:rPr>
  </w:style>
  <w:style w:type="paragraph" w:customStyle="1" w:styleId="23">
    <w:name w:val="标题 2 + 黑体"/>
    <w:aliases w:val="(符号) 宋体,小三,段前: 6 磅,段后: 6 磅,行距: 单倍行距 + Arial,标题 3 + 黑体,行距: 单倍行距"/>
    <w:basedOn w:val="30"/>
    <w:rsid w:val="00AF4D92"/>
    <w:pPr>
      <w:spacing w:before="120" w:after="120" w:line="240" w:lineRule="auto"/>
    </w:pPr>
    <w:rPr>
      <w:rFonts w:ascii="黑体" w:eastAsia="黑体" w:hAnsi="宋体"/>
      <w:sz w:val="30"/>
      <w:szCs w:val="30"/>
    </w:rPr>
  </w:style>
  <w:style w:type="character" w:styleId="af2">
    <w:name w:val="footnote reference"/>
    <w:semiHidden/>
    <w:rsid w:val="00AF4D92"/>
    <w:rPr>
      <w:vertAlign w:val="superscript"/>
    </w:rPr>
  </w:style>
  <w:style w:type="character" w:customStyle="1" w:styleId="apple-style-span">
    <w:name w:val="apple-style-span"/>
    <w:basedOn w:val="a1"/>
    <w:rsid w:val="00AF4D92"/>
  </w:style>
  <w:style w:type="table" w:styleId="af3">
    <w:name w:val="Table Grid"/>
    <w:basedOn w:val="a2"/>
    <w:rsid w:val="00AF4D92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0"/>
    <w:uiPriority w:val="99"/>
    <w:rsid w:val="00085B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5">
    <w:name w:val="Strong"/>
    <w:uiPriority w:val="22"/>
    <w:qFormat/>
    <w:rsid w:val="00085BDB"/>
    <w:rPr>
      <w:b/>
      <w:bCs/>
    </w:rPr>
  </w:style>
  <w:style w:type="character" w:styleId="af6">
    <w:name w:val="annotation reference"/>
    <w:rsid w:val="003F2689"/>
    <w:rPr>
      <w:sz w:val="21"/>
      <w:szCs w:val="21"/>
    </w:rPr>
  </w:style>
  <w:style w:type="paragraph" w:styleId="af7">
    <w:name w:val="annotation text"/>
    <w:basedOn w:val="a0"/>
    <w:link w:val="Char0"/>
    <w:rsid w:val="003F2689"/>
    <w:pPr>
      <w:jc w:val="left"/>
    </w:pPr>
  </w:style>
  <w:style w:type="character" w:customStyle="1" w:styleId="Char0">
    <w:name w:val="批注文字 Char"/>
    <w:link w:val="af7"/>
    <w:rsid w:val="003F2689"/>
    <w:rPr>
      <w:rFonts w:ascii="Arial" w:hAnsi="Arial"/>
      <w:kern w:val="2"/>
      <w:sz w:val="21"/>
      <w:szCs w:val="24"/>
    </w:rPr>
  </w:style>
  <w:style w:type="paragraph" w:styleId="af8">
    <w:name w:val="annotation subject"/>
    <w:basedOn w:val="af7"/>
    <w:next w:val="af7"/>
    <w:link w:val="Char1"/>
    <w:rsid w:val="003F2689"/>
    <w:rPr>
      <w:b/>
      <w:bCs/>
    </w:rPr>
  </w:style>
  <w:style w:type="character" w:customStyle="1" w:styleId="Char1">
    <w:name w:val="批注主题 Char"/>
    <w:link w:val="af8"/>
    <w:rsid w:val="003F2689"/>
    <w:rPr>
      <w:rFonts w:ascii="Arial" w:hAnsi="Arial"/>
      <w:b/>
      <w:bCs/>
      <w:kern w:val="2"/>
      <w:sz w:val="21"/>
      <w:szCs w:val="24"/>
    </w:rPr>
  </w:style>
  <w:style w:type="paragraph" w:styleId="af9">
    <w:name w:val="Balloon Text"/>
    <w:basedOn w:val="a0"/>
    <w:link w:val="Char2"/>
    <w:rsid w:val="003F2689"/>
    <w:rPr>
      <w:sz w:val="18"/>
      <w:szCs w:val="18"/>
    </w:rPr>
  </w:style>
  <w:style w:type="character" w:customStyle="1" w:styleId="Char2">
    <w:name w:val="批注框文本 Char"/>
    <w:link w:val="af9"/>
    <w:rsid w:val="003F2689"/>
    <w:rPr>
      <w:rFonts w:ascii="Arial" w:hAnsi="Arial"/>
      <w:kern w:val="2"/>
      <w:sz w:val="18"/>
      <w:szCs w:val="18"/>
    </w:rPr>
  </w:style>
  <w:style w:type="character" w:styleId="afa">
    <w:name w:val="FollowedHyperlink"/>
    <w:rsid w:val="00FB48E8"/>
    <w:rPr>
      <w:color w:val="800080"/>
      <w:u w:val="single"/>
    </w:rPr>
  </w:style>
  <w:style w:type="paragraph" w:customStyle="1" w:styleId="Default">
    <w:name w:val="Default"/>
    <w:rsid w:val="007D705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b">
    <w:name w:val="caption"/>
    <w:basedOn w:val="a0"/>
    <w:next w:val="a0"/>
    <w:unhideWhenUsed/>
    <w:qFormat/>
    <w:rsid w:val="000236A2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39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8165;&#31185;\&#27169;&#26495;\&#28165;&#31185;&#25253;&#21578;&#27169;&#26495;SX-&#26368;&#26032;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bellali\Bella\&#24182;&#36141;&#26032;&#38395;&#31295;\2015&#24180;1&#26376;&#24182;&#36141;&#32479;&#35745;&#25253;&#21578;&#21450;&#24213;&#34920;\1&#26376;&#24182;&#36141;&#22270;&#3492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bellali\Bella\&#24182;&#36141;&#26032;&#38395;&#31295;\2015&#24180;1&#26376;&#24182;&#36141;&#32479;&#35745;&#25253;&#21578;&#21450;&#24213;&#34920;\1&#26376;&#24182;&#36141;&#22270;&#34920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bellali\Bella\&#24182;&#36141;&#26032;&#38395;&#31295;\2015&#24180;1&#26376;&#24182;&#36141;&#32479;&#35745;&#25253;&#21578;&#21450;&#24213;&#34920;\1&#26376;&#24182;&#36141;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6.8874697387094092E-2"/>
          <c:y val="2.4131086142322091E-2"/>
          <c:w val="0.91706503353747482"/>
          <c:h val="0.76668185269552092"/>
        </c:manualLayout>
      </c:layout>
      <c:barChart>
        <c:barDir val="col"/>
        <c:grouping val="clustered"/>
        <c:ser>
          <c:idx val="1"/>
          <c:order val="0"/>
          <c:tx>
            <c:v>案例数量（起）</c:v>
          </c:tx>
          <c:spPr>
            <a:solidFill>
              <a:srgbClr val="1147BF"/>
            </a:solidFill>
          </c:spPr>
          <c:cat>
            <c:strRef>
              <c:f>Sheet1!$B$68:$B$80</c:f>
              <c:strCache>
                <c:ptCount val="13"/>
                <c:pt idx="0">
                  <c:v>14-01</c:v>
                </c:pt>
                <c:pt idx="1">
                  <c:v>14-02</c:v>
                </c:pt>
                <c:pt idx="2">
                  <c:v>14-03</c:v>
                </c:pt>
                <c:pt idx="3">
                  <c:v>14-04</c:v>
                </c:pt>
                <c:pt idx="4">
                  <c:v>14-05</c:v>
                </c:pt>
                <c:pt idx="5">
                  <c:v>14-06</c:v>
                </c:pt>
                <c:pt idx="6">
                  <c:v>14-07</c:v>
                </c:pt>
                <c:pt idx="7">
                  <c:v>14-08</c:v>
                </c:pt>
                <c:pt idx="8">
                  <c:v>14-09</c:v>
                </c:pt>
                <c:pt idx="9">
                  <c:v>14-10</c:v>
                </c:pt>
                <c:pt idx="10">
                  <c:v>14-11</c:v>
                </c:pt>
                <c:pt idx="11">
                  <c:v>14-12</c:v>
                </c:pt>
                <c:pt idx="12">
                  <c:v>15-01</c:v>
                </c:pt>
              </c:strCache>
            </c:strRef>
          </c:cat>
          <c:val>
            <c:numRef>
              <c:f>Sheet1!$C$68:$C$80</c:f>
              <c:numCache>
                <c:formatCode>General</c:formatCode>
                <c:ptCount val="13"/>
                <c:pt idx="0">
                  <c:v>109</c:v>
                </c:pt>
                <c:pt idx="1">
                  <c:v>57</c:v>
                </c:pt>
                <c:pt idx="2">
                  <c:v>145</c:v>
                </c:pt>
                <c:pt idx="3">
                  <c:v>141</c:v>
                </c:pt>
                <c:pt idx="4">
                  <c:v>100</c:v>
                </c:pt>
                <c:pt idx="5">
                  <c:v>127</c:v>
                </c:pt>
                <c:pt idx="6">
                  <c:v>141</c:v>
                </c:pt>
                <c:pt idx="7">
                  <c:v>188</c:v>
                </c:pt>
                <c:pt idx="8">
                  <c:v>153</c:v>
                </c:pt>
                <c:pt idx="9">
                  <c:v>155</c:v>
                </c:pt>
                <c:pt idx="10">
                  <c:v>142</c:v>
                </c:pt>
                <c:pt idx="11">
                  <c:v>297</c:v>
                </c:pt>
                <c:pt idx="12">
                  <c:v>116</c:v>
                </c:pt>
              </c:numCache>
            </c:numRef>
          </c:val>
        </c:ser>
        <c:axId val="79922304"/>
        <c:axId val="79923840"/>
      </c:barChart>
      <c:lineChart>
        <c:grouping val="standard"/>
        <c:ser>
          <c:idx val="0"/>
          <c:order val="1"/>
          <c:tx>
            <c:v>披露金额（亿美元）</c:v>
          </c:tx>
          <c:spPr>
            <a:ln w="38100">
              <a:solidFill>
                <a:srgbClr val="C00000"/>
              </a:solidFill>
            </a:ln>
          </c:spPr>
          <c:marker>
            <c:symbol val="square"/>
            <c:size val="5"/>
            <c:spPr>
              <a:solidFill>
                <a:srgbClr val="C00000"/>
              </a:solidFill>
            </c:spPr>
          </c:marker>
          <c:val>
            <c:numRef>
              <c:f>Sheet1!$D$68:$D$80</c:f>
              <c:numCache>
                <c:formatCode>General</c:formatCode>
                <c:ptCount val="13"/>
                <c:pt idx="0">
                  <c:v>75.64</c:v>
                </c:pt>
                <c:pt idx="1">
                  <c:v>24.34</c:v>
                </c:pt>
                <c:pt idx="2">
                  <c:v>92.84</c:v>
                </c:pt>
                <c:pt idx="3">
                  <c:v>160.31</c:v>
                </c:pt>
                <c:pt idx="4">
                  <c:v>42.04</c:v>
                </c:pt>
                <c:pt idx="5">
                  <c:v>51.15</c:v>
                </c:pt>
                <c:pt idx="6">
                  <c:v>159.73999999999998</c:v>
                </c:pt>
                <c:pt idx="7">
                  <c:v>108.35</c:v>
                </c:pt>
                <c:pt idx="8">
                  <c:v>60.74</c:v>
                </c:pt>
                <c:pt idx="9">
                  <c:v>115.63</c:v>
                </c:pt>
                <c:pt idx="10">
                  <c:v>55.67</c:v>
                </c:pt>
                <c:pt idx="11">
                  <c:v>100.07</c:v>
                </c:pt>
                <c:pt idx="12">
                  <c:v>40.120000000000012</c:v>
                </c:pt>
              </c:numCache>
            </c:numRef>
          </c:val>
        </c:ser>
        <c:marker val="1"/>
        <c:axId val="79939456"/>
        <c:axId val="79937920"/>
      </c:lineChart>
      <c:catAx>
        <c:axId val="79922304"/>
        <c:scaling>
          <c:orientation val="minMax"/>
        </c:scaling>
        <c:axPos val="b"/>
        <c:numFmt formatCode="@" sourceLinked="1"/>
        <c:majorTickMark val="in"/>
        <c:tickLblPos val="nextTo"/>
        <c:crossAx val="79923840"/>
        <c:crossesAt val="0"/>
        <c:auto val="1"/>
        <c:lblAlgn val="ctr"/>
        <c:lblOffset val="100"/>
      </c:catAx>
      <c:valAx>
        <c:axId val="79923840"/>
        <c:scaling>
          <c:orientation val="minMax"/>
        </c:scaling>
        <c:axPos val="l"/>
        <c:majorGridlines>
          <c:spPr>
            <a:ln>
              <a:noFill/>
            </a:ln>
          </c:spPr>
        </c:majorGridlines>
        <c:numFmt formatCode="General" sourceLinked="1"/>
        <c:majorTickMark val="in"/>
        <c:tickLblPos val="nextTo"/>
        <c:crossAx val="79922304"/>
        <c:crosses val="autoZero"/>
        <c:crossBetween val="between"/>
        <c:majorUnit val="50"/>
        <c:minorUnit val="10"/>
      </c:valAx>
      <c:valAx>
        <c:axId val="79937920"/>
        <c:scaling>
          <c:orientation val="minMax"/>
          <c:max val="500"/>
          <c:min val="0"/>
        </c:scaling>
        <c:axPos val="r"/>
        <c:numFmt formatCode="General" sourceLinked="1"/>
        <c:majorTickMark val="in"/>
        <c:tickLblPos val="nextTo"/>
        <c:crossAx val="79939456"/>
        <c:crosses val="max"/>
        <c:crossBetween val="between"/>
        <c:majorUnit val="50"/>
        <c:minorUnit val="4"/>
      </c:valAx>
      <c:catAx>
        <c:axId val="79939456"/>
        <c:scaling>
          <c:orientation val="minMax"/>
        </c:scaling>
        <c:delete val="1"/>
        <c:axPos val="b"/>
        <c:tickLblPos val="nextTo"/>
        <c:crossAx val="79937920"/>
        <c:crosses val="autoZero"/>
        <c:auto val="1"/>
        <c:lblAlgn val="ctr"/>
        <c:lblOffset val="100"/>
      </c:catAx>
    </c:plotArea>
    <c:legend>
      <c:legendPos val="t"/>
      <c:layout>
        <c:manualLayout>
          <c:xMode val="edge"/>
          <c:yMode val="edge"/>
          <c:x val="9.9036647466399549E-2"/>
          <c:y val="7.43808567603748E-2"/>
          <c:w val="0.68276149929042518"/>
          <c:h val="7.7638844301765653E-2"/>
        </c:manualLayout>
      </c:layout>
    </c:legend>
    <c:plotVisOnly val="1"/>
    <c:dispBlanksAs val="gap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radarChart>
        <c:radarStyle val="marker"/>
        <c:ser>
          <c:idx val="0"/>
          <c:order val="0"/>
          <c:tx>
            <c:v>数量</c:v>
          </c:tx>
          <c:spPr>
            <a:ln>
              <a:solidFill>
                <a:srgbClr val="1147BF"/>
              </a:solidFill>
            </a:ln>
          </c:spPr>
          <c:marker>
            <c:symbol val="none"/>
          </c:marker>
          <c:cat>
            <c:strRef>
              <c:f>Sheet1!$A$12:$A$31</c:f>
              <c:strCache>
                <c:ptCount val="20"/>
                <c:pt idx="0">
                  <c:v>清洁技术</c:v>
                </c:pt>
                <c:pt idx="1">
                  <c:v>生物技术/医疗健康</c:v>
                </c:pt>
                <c:pt idx="2">
                  <c:v>IT</c:v>
                </c:pt>
                <c:pt idx="3">
                  <c:v>互联网</c:v>
                </c:pt>
                <c:pt idx="4">
                  <c:v>机械制造</c:v>
                </c:pt>
                <c:pt idx="5">
                  <c:v>化工原料及加工</c:v>
                </c:pt>
                <c:pt idx="6">
                  <c:v>能源及矿产</c:v>
                </c:pt>
                <c:pt idx="7">
                  <c:v>房地产</c:v>
                </c:pt>
                <c:pt idx="8">
                  <c:v>食品&amp;饮料</c:v>
                </c:pt>
                <c:pt idx="9">
                  <c:v>金融</c:v>
                </c:pt>
                <c:pt idx="10">
                  <c:v>电信及增值业务</c:v>
                </c:pt>
                <c:pt idx="11">
                  <c:v>电子及光电设备</c:v>
                </c:pt>
                <c:pt idx="12">
                  <c:v>娱乐传媒</c:v>
                </c:pt>
                <c:pt idx="13">
                  <c:v>建筑/工程</c:v>
                </c:pt>
                <c:pt idx="14">
                  <c:v>物流</c:v>
                </c:pt>
                <c:pt idx="15">
                  <c:v>纺织及服装</c:v>
                </c:pt>
                <c:pt idx="16">
                  <c:v>汽车</c:v>
                </c:pt>
                <c:pt idx="17">
                  <c:v>广播电视及数字电视</c:v>
                </c:pt>
                <c:pt idx="18">
                  <c:v>农/林/牧/渔</c:v>
                </c:pt>
                <c:pt idx="19">
                  <c:v>连锁及零售</c:v>
                </c:pt>
              </c:strCache>
            </c:strRef>
          </c:cat>
          <c:val>
            <c:numRef>
              <c:f>Sheet1!$C$12:$C$31</c:f>
              <c:numCache>
                <c:formatCode>0.0%</c:formatCode>
                <c:ptCount val="20"/>
                <c:pt idx="0">
                  <c:v>0.14655172413793108</c:v>
                </c:pt>
                <c:pt idx="1">
                  <c:v>0.10344827586206895</c:v>
                </c:pt>
                <c:pt idx="2">
                  <c:v>8.6206896551724171E-2</c:v>
                </c:pt>
                <c:pt idx="3">
                  <c:v>7.7586206896551768E-2</c:v>
                </c:pt>
                <c:pt idx="4">
                  <c:v>7.7586206896551768E-2</c:v>
                </c:pt>
                <c:pt idx="5">
                  <c:v>5.1724137931034496E-2</c:v>
                </c:pt>
                <c:pt idx="6">
                  <c:v>4.3103448275862051E-2</c:v>
                </c:pt>
                <c:pt idx="7">
                  <c:v>4.3103448275862051E-2</c:v>
                </c:pt>
                <c:pt idx="8">
                  <c:v>4.3103448275862051E-2</c:v>
                </c:pt>
                <c:pt idx="9">
                  <c:v>4.3103448275862051E-2</c:v>
                </c:pt>
                <c:pt idx="10">
                  <c:v>3.4482758620689655E-2</c:v>
                </c:pt>
                <c:pt idx="11">
                  <c:v>3.4482758620689655E-2</c:v>
                </c:pt>
                <c:pt idx="12">
                  <c:v>3.4482758620689655E-2</c:v>
                </c:pt>
                <c:pt idx="13">
                  <c:v>3.4482758620689655E-2</c:v>
                </c:pt>
                <c:pt idx="14">
                  <c:v>2.5862068965517241E-2</c:v>
                </c:pt>
                <c:pt idx="15">
                  <c:v>1.7241379310344827E-2</c:v>
                </c:pt>
                <c:pt idx="16">
                  <c:v>1.7241379310344827E-2</c:v>
                </c:pt>
                <c:pt idx="17">
                  <c:v>1.7241379310344827E-2</c:v>
                </c:pt>
                <c:pt idx="18">
                  <c:v>8.6206896551724171E-3</c:v>
                </c:pt>
                <c:pt idx="19">
                  <c:v>8.6206896551724171E-3</c:v>
                </c:pt>
              </c:numCache>
            </c:numRef>
          </c:val>
        </c:ser>
        <c:ser>
          <c:idx val="1"/>
          <c:order val="1"/>
          <c:tx>
            <c:v>金额</c:v>
          </c:tx>
          <c:spPr>
            <a:ln>
              <a:solidFill>
                <a:srgbClr val="090175"/>
              </a:solidFill>
            </a:ln>
          </c:spPr>
          <c:marker>
            <c:symbol val="none"/>
          </c:marker>
          <c:cat>
            <c:strRef>
              <c:f>Sheet1!$A$12:$A$31</c:f>
              <c:strCache>
                <c:ptCount val="20"/>
                <c:pt idx="0">
                  <c:v>清洁技术</c:v>
                </c:pt>
                <c:pt idx="1">
                  <c:v>生物技术/医疗健康</c:v>
                </c:pt>
                <c:pt idx="2">
                  <c:v>IT</c:v>
                </c:pt>
                <c:pt idx="3">
                  <c:v>互联网</c:v>
                </c:pt>
                <c:pt idx="4">
                  <c:v>机械制造</c:v>
                </c:pt>
                <c:pt idx="5">
                  <c:v>化工原料及加工</c:v>
                </c:pt>
                <c:pt idx="6">
                  <c:v>能源及矿产</c:v>
                </c:pt>
                <c:pt idx="7">
                  <c:v>房地产</c:v>
                </c:pt>
                <c:pt idx="8">
                  <c:v>食品&amp;饮料</c:v>
                </c:pt>
                <c:pt idx="9">
                  <c:v>金融</c:v>
                </c:pt>
                <c:pt idx="10">
                  <c:v>电信及增值业务</c:v>
                </c:pt>
                <c:pt idx="11">
                  <c:v>电子及光电设备</c:v>
                </c:pt>
                <c:pt idx="12">
                  <c:v>娱乐传媒</c:v>
                </c:pt>
                <c:pt idx="13">
                  <c:v>建筑/工程</c:v>
                </c:pt>
                <c:pt idx="14">
                  <c:v>物流</c:v>
                </c:pt>
                <c:pt idx="15">
                  <c:v>纺织及服装</c:v>
                </c:pt>
                <c:pt idx="16">
                  <c:v>汽车</c:v>
                </c:pt>
                <c:pt idx="17">
                  <c:v>广播电视及数字电视</c:v>
                </c:pt>
                <c:pt idx="18">
                  <c:v>农/林/牧/渔</c:v>
                </c:pt>
                <c:pt idx="19">
                  <c:v>连锁及零售</c:v>
                </c:pt>
              </c:strCache>
            </c:strRef>
          </c:cat>
          <c:val>
            <c:numRef>
              <c:f>Sheet1!$F$12:$F$31</c:f>
              <c:numCache>
                <c:formatCode>0.0%</c:formatCode>
                <c:ptCount val="20"/>
                <c:pt idx="0">
                  <c:v>9.4514246412854469E-2</c:v>
                </c:pt>
                <c:pt idx="1">
                  <c:v>0.14004445618424402</c:v>
                </c:pt>
                <c:pt idx="2">
                  <c:v>0.1164208784581878</c:v>
                </c:pt>
                <c:pt idx="3">
                  <c:v>0.13444257825933104</c:v>
                </c:pt>
                <c:pt idx="4">
                  <c:v>6.2385682317702265E-2</c:v>
                </c:pt>
                <c:pt idx="5">
                  <c:v>3.3743340294148431E-2</c:v>
                </c:pt>
                <c:pt idx="6">
                  <c:v>6.5552936251227323E-2</c:v>
                </c:pt>
                <c:pt idx="7">
                  <c:v>5.3489461591750692E-2</c:v>
                </c:pt>
                <c:pt idx="8">
                  <c:v>5.9901219554740433E-2</c:v>
                </c:pt>
                <c:pt idx="9">
                  <c:v>1.2985491933594818E-2</c:v>
                </c:pt>
                <c:pt idx="10">
                  <c:v>4.9340383858218713E-2</c:v>
                </c:pt>
                <c:pt idx="11">
                  <c:v>2.3845360259560341E-2</c:v>
                </c:pt>
                <c:pt idx="12">
                  <c:v>8.0890818203112974E-2</c:v>
                </c:pt>
                <c:pt idx="13">
                  <c:v>7.8221951985327463E-3</c:v>
                </c:pt>
                <c:pt idx="14">
                  <c:v>4.6948122822668683E-3</c:v>
                </c:pt>
                <c:pt idx="15">
                  <c:v>8.1760504767078527E-3</c:v>
                </c:pt>
                <c:pt idx="16">
                  <c:v>7.2166541239091593E-3</c:v>
                </c:pt>
                <c:pt idx="17">
                  <c:v>9.3946084416911279E-4</c:v>
                </c:pt>
                <c:pt idx="18">
                  <c:v>7.1593395365991035E-3</c:v>
                </c:pt>
                <c:pt idx="19">
                  <c:v>9.1703339696083219E-4</c:v>
                </c:pt>
              </c:numCache>
            </c:numRef>
          </c:val>
        </c:ser>
        <c:axId val="79949824"/>
        <c:axId val="79951360"/>
      </c:radarChart>
      <c:catAx>
        <c:axId val="79949824"/>
        <c:scaling>
          <c:orientation val="minMax"/>
        </c:scaling>
        <c:axPos val="b"/>
        <c:majorGridlines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79951360"/>
        <c:crosses val="autoZero"/>
        <c:auto val="1"/>
        <c:lblAlgn val="ctr"/>
        <c:lblOffset val="100"/>
      </c:catAx>
      <c:valAx>
        <c:axId val="79951360"/>
        <c:scaling>
          <c:orientation val="minMax"/>
        </c:scaling>
        <c:axPos val="l"/>
        <c:majorGridlines/>
        <c:numFmt formatCode="0.0%" sourceLinked="1"/>
        <c:majorTickMark val="cross"/>
        <c:tickLblPos val="nextTo"/>
        <c:crossAx val="79949824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0.39217809867629366"/>
          <c:y val="0.85009837610697692"/>
          <c:w val="0.25415162454873624"/>
          <c:h val="6.0126062795766488E-2"/>
        </c:manualLayout>
      </c:layout>
    </c:legend>
    <c:plotVisOnly val="1"/>
    <c:dispBlanksAs val="gap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4.9215293430169484E-2"/>
          <c:y val="7.3972606580589087E-2"/>
          <c:w val="0.86976377952755901"/>
          <c:h val="0.77568426429917792"/>
        </c:manualLayout>
      </c:layout>
      <c:barChart>
        <c:barDir val="bar"/>
        <c:grouping val="clustered"/>
        <c:ser>
          <c:idx val="0"/>
          <c:order val="0"/>
          <c:tx>
            <c:v>并购数量</c:v>
          </c:tx>
          <c:spPr>
            <a:solidFill>
              <a:srgbClr val="090175"/>
            </a:solidFill>
          </c:spPr>
          <c:dLbls>
            <c:showVal val="1"/>
          </c:dLbls>
          <c:cat>
            <c:strRef>
              <c:f>Sheet1!$A$86:$A$95</c:f>
              <c:strCache>
                <c:ptCount val="10"/>
                <c:pt idx="0">
                  <c:v>广东</c:v>
                </c:pt>
                <c:pt idx="1">
                  <c:v>北京</c:v>
                </c:pt>
                <c:pt idx="2">
                  <c:v>上海</c:v>
                </c:pt>
                <c:pt idx="3">
                  <c:v>浙江</c:v>
                </c:pt>
                <c:pt idx="4">
                  <c:v>江苏</c:v>
                </c:pt>
                <c:pt idx="5">
                  <c:v>新疆</c:v>
                </c:pt>
                <c:pt idx="6">
                  <c:v>山东</c:v>
                </c:pt>
                <c:pt idx="7">
                  <c:v>辽宁</c:v>
                </c:pt>
                <c:pt idx="8">
                  <c:v>湖北</c:v>
                </c:pt>
                <c:pt idx="9">
                  <c:v>吉林</c:v>
                </c:pt>
              </c:strCache>
            </c:strRef>
          </c:cat>
          <c:val>
            <c:numRef>
              <c:f>Sheet1!$C$86:$C$95</c:f>
              <c:numCache>
                <c:formatCode>0.0%</c:formatCode>
                <c:ptCount val="10"/>
                <c:pt idx="0">
                  <c:v>0.13793103448275873</c:v>
                </c:pt>
                <c:pt idx="1">
                  <c:v>0.12068965517241383</c:v>
                </c:pt>
                <c:pt idx="2">
                  <c:v>9.4827586206896575E-2</c:v>
                </c:pt>
                <c:pt idx="3">
                  <c:v>7.7586206896551768E-2</c:v>
                </c:pt>
                <c:pt idx="4">
                  <c:v>6.8965517241379309E-2</c:v>
                </c:pt>
                <c:pt idx="5">
                  <c:v>4.3103448275862051E-2</c:v>
                </c:pt>
                <c:pt idx="6">
                  <c:v>4.3103448275862051E-2</c:v>
                </c:pt>
                <c:pt idx="7">
                  <c:v>4.3103448275862051E-2</c:v>
                </c:pt>
                <c:pt idx="8">
                  <c:v>3.4482758620689655E-2</c:v>
                </c:pt>
                <c:pt idx="9">
                  <c:v>3.4482758620689655E-2</c:v>
                </c:pt>
              </c:numCache>
            </c:numRef>
          </c:val>
        </c:ser>
        <c:ser>
          <c:idx val="1"/>
          <c:order val="1"/>
          <c:tx>
            <c:v>并购金额</c:v>
          </c:tx>
          <c:spPr>
            <a:solidFill>
              <a:srgbClr val="1147BF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en-US"/>
                      <a:t>8.6%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en-US"/>
                      <a:t>32.2%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en-US"/>
                      <a:t>7.4%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2.3854244928625101E-2"/>
                  <c:y val="-6.5281755100550937E-17"/>
                </c:manualLayout>
              </c:layout>
              <c:tx>
                <c:rich>
                  <a:bodyPr/>
                  <a:lstStyle/>
                  <a:p>
                    <a:r>
                      <a:rPr lang="en-US" altLang="en-US"/>
                      <a:t>7.3%</a:t>
                    </a:r>
                  </a:p>
                </c:rich>
              </c:tx>
              <c:showVal val="1"/>
            </c:dLbl>
            <c:dLbl>
              <c:idx val="4"/>
              <c:layout>
                <c:manualLayout>
                  <c:x val="2.385445362718088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altLang="en-US"/>
                      <a:t>4.3%</a:t>
                    </a:r>
                  </a:p>
                </c:rich>
              </c:tx>
              <c:showVal val="1"/>
            </c:dLbl>
            <c:dLbl>
              <c:idx val="5"/>
              <c:layout>
                <c:manualLayout>
                  <c:x val="6.891247182569498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altLang="en-US"/>
                      <a:t>0.2%</a:t>
                    </a:r>
                  </a:p>
                </c:rich>
              </c:tx>
              <c:showVal val="1"/>
            </c:dLbl>
            <c:dLbl>
              <c:idx val="6"/>
              <c:layout>
                <c:manualLayout>
                  <c:x val="2.3854244928625101E-2"/>
                  <c:y val="-3.5608641404158091E-3"/>
                </c:manualLayout>
              </c:layout>
              <c:tx>
                <c:rich>
                  <a:bodyPr/>
                  <a:lstStyle/>
                  <a:p>
                    <a:r>
                      <a:rPr lang="en-US" altLang="en-US"/>
                      <a:t>5.1%</a:t>
                    </a:r>
                  </a:p>
                </c:rich>
              </c:tx>
              <c:showVal val="1"/>
            </c:dLbl>
            <c:dLbl>
              <c:idx val="7"/>
              <c:layout>
                <c:manualLayout>
                  <c:x val="4.770848985725022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altLang="en-US"/>
                      <a:t>2.3%</a:t>
                    </a:r>
                  </a:p>
                </c:rich>
              </c:tx>
              <c:showVal val="1"/>
            </c:dLbl>
            <c:dLbl>
              <c:idx val="8"/>
              <c:layout>
                <c:manualLayout>
                  <c:x val="2.385424492862510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altLang="en-US"/>
                      <a:t>5.3%</a:t>
                    </a:r>
                  </a:p>
                </c:rich>
              </c:tx>
              <c:showVal val="1"/>
            </c:dLbl>
            <c:dLbl>
              <c:idx val="9"/>
              <c:layout>
                <c:manualLayout>
                  <c:x val="8.746556473829210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altLang="en-US"/>
                      <a:t>0.7%</a:t>
                    </a:r>
                  </a:p>
                </c:rich>
              </c:tx>
              <c:showVal val="1"/>
            </c:dLbl>
            <c:showVal val="1"/>
          </c:dLbls>
          <c:cat>
            <c:strRef>
              <c:f>Sheet1!$A$86:$A$95</c:f>
              <c:strCache>
                <c:ptCount val="10"/>
                <c:pt idx="0">
                  <c:v>广东</c:v>
                </c:pt>
                <c:pt idx="1">
                  <c:v>北京</c:v>
                </c:pt>
                <c:pt idx="2">
                  <c:v>上海</c:v>
                </c:pt>
                <c:pt idx="3">
                  <c:v>浙江</c:v>
                </c:pt>
                <c:pt idx="4">
                  <c:v>江苏</c:v>
                </c:pt>
                <c:pt idx="5">
                  <c:v>新疆</c:v>
                </c:pt>
                <c:pt idx="6">
                  <c:v>山东</c:v>
                </c:pt>
                <c:pt idx="7">
                  <c:v>辽宁</c:v>
                </c:pt>
                <c:pt idx="8">
                  <c:v>湖北</c:v>
                </c:pt>
                <c:pt idx="9">
                  <c:v>吉林</c:v>
                </c:pt>
              </c:strCache>
            </c:strRef>
          </c:cat>
          <c:val>
            <c:numRef>
              <c:f>Sheet1!$F$86:$F$95</c:f>
              <c:numCache>
                <c:formatCode>0.0%</c:formatCode>
                <c:ptCount val="10"/>
                <c:pt idx="0">
                  <c:v>-8.6000000000000021E-2</c:v>
                </c:pt>
                <c:pt idx="1">
                  <c:v>-0.32200000000000012</c:v>
                </c:pt>
                <c:pt idx="2">
                  <c:v>-7.3999999999999996E-2</c:v>
                </c:pt>
                <c:pt idx="3">
                  <c:v>-7.3000000000000009E-2</c:v>
                </c:pt>
                <c:pt idx="4">
                  <c:v>-4.3000000000000003E-2</c:v>
                </c:pt>
                <c:pt idx="5">
                  <c:v>-2.0000000000000009E-3</c:v>
                </c:pt>
                <c:pt idx="6">
                  <c:v>-5.1000000000000004E-2</c:v>
                </c:pt>
                <c:pt idx="7">
                  <c:v>-2.3E-2</c:v>
                </c:pt>
                <c:pt idx="8">
                  <c:v>-5.3000000000000012E-2</c:v>
                </c:pt>
                <c:pt idx="9">
                  <c:v>-7.0000000000000019E-3</c:v>
                </c:pt>
              </c:numCache>
            </c:numRef>
          </c:val>
        </c:ser>
        <c:gapWidth val="161"/>
        <c:overlap val="100"/>
        <c:axId val="105907328"/>
        <c:axId val="105908864"/>
      </c:barChart>
      <c:catAx>
        <c:axId val="105907328"/>
        <c:scaling>
          <c:orientation val="minMax"/>
        </c:scaling>
        <c:axPos val="l"/>
        <c:tickLblPos val="nextTo"/>
        <c:crossAx val="105908864"/>
        <c:crosses val="autoZero"/>
        <c:auto val="1"/>
        <c:lblAlgn val="ctr"/>
        <c:lblOffset val="50"/>
        <c:tickLblSkip val="1"/>
      </c:catAx>
      <c:valAx>
        <c:axId val="105908864"/>
        <c:scaling>
          <c:orientation val="minMax"/>
          <c:max val="0.30000000000000016"/>
          <c:min val="-0.35000000000000014"/>
        </c:scaling>
        <c:axPos val="b"/>
        <c:majorGridlines>
          <c:spPr>
            <a:ln>
              <a:noFill/>
            </a:ln>
          </c:spPr>
        </c:majorGridlines>
        <c:numFmt formatCode="0.0%;0.0%;0.0%" sourceLinked="0"/>
        <c:majorTickMark val="in"/>
        <c:tickLblPos val="nextTo"/>
        <c:crossAx val="1059073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4383608815427014"/>
          <c:y val="1.728302097277946E-3"/>
          <c:w val="0.32431901661240525"/>
          <c:h val="6.4048694779116497E-2"/>
        </c:manualLayout>
      </c:layout>
    </c:legend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0.75798</cdr:y>
    </cdr:from>
    <cdr:to>
      <cdr:x>1</cdr:x>
      <cdr:y>0.93157</cdr:y>
    </cdr:to>
    <cdr:grpSp>
      <cdr:nvGrpSpPr>
        <cdr:cNvPr id="12" name="组合 11"/>
        <cdr:cNvGrpSpPr>
          <a:grpSpLocks xmlns:a="http://schemas.openxmlformats.org/drawingml/2006/main"/>
        </cdr:cNvGrpSpPr>
      </cdr:nvGrpSpPr>
      <cdr:grpSpPr bwMode="auto">
        <a:xfrm xmlns:a="http://schemas.openxmlformats.org/drawingml/2006/main">
          <a:off x="0" y="2833329"/>
          <a:ext cx="4791600" cy="648880"/>
          <a:chOff x="0" y="0"/>
          <a:chExt cx="6641510" cy="622431"/>
        </a:xfrm>
      </cdr:grpSpPr>
      <cdr:grpSp>
        <cdr:nvGrpSpPr>
          <cdr:cNvPr id="13" name="Group 4"/>
          <cdr:cNvGrpSpPr>
            <a:grpSpLocks xmlns:a="http://schemas.openxmlformats.org/drawingml/2006/main"/>
          </cdr:cNvGrpSpPr>
        </cdr:nvGrpSpPr>
        <cdr:grpSpPr bwMode="auto">
          <a:xfrm xmlns:a="http://schemas.openxmlformats.org/drawingml/2006/main">
            <a:off x="2232563" y="50800"/>
            <a:ext cx="4408947" cy="0"/>
            <a:chOff x="1930278" y="50800"/>
            <a:chExt cx="2986156" cy="0"/>
          </a:xfrm>
        </cdr:grpSpPr>
      </cdr:grpSp>
      <cdr:grpSp>
        <cdr:nvGrpSpPr>
          <cdr:cNvPr id="14" name="Group 4"/>
          <cdr:cNvGrpSpPr>
            <a:grpSpLocks xmlns:a="http://schemas.openxmlformats.org/drawingml/2006/main"/>
          </cdr:cNvGrpSpPr>
        </cdr:nvGrpSpPr>
        <cdr:grpSpPr bwMode="auto">
          <a:xfrm xmlns:a="http://schemas.openxmlformats.org/drawingml/2006/main">
            <a:off x="201333" y="0"/>
            <a:ext cx="388" cy="0"/>
            <a:chOff x="165822" y="0"/>
            <a:chExt cx="300" cy="0"/>
          </a:xfrm>
        </cdr:grpSpPr>
        <cdr:sp macro="" textlink="">
          <cdr:nvSpPr>
            <cdr:cNvPr id="19" name="Line 6"/>
            <cdr:cNvSpPr>
              <a:spLocks xmlns:a="http://schemas.openxmlformats.org/drawingml/2006/main" noChangeShapeType="1"/>
            </cdr:cNvSpPr>
          </cdr:nvSpPr>
          <cdr:spPr bwMode="auto">
            <a:xfrm xmlns:a="http://schemas.openxmlformats.org/drawingml/2006/main" flipV="1">
              <a:off x="165822" y="0"/>
              <a:ext cx="300" cy="0"/>
            </a:xfrm>
            <a:prstGeom xmlns:a="http://schemas.openxmlformats.org/drawingml/2006/main" prst="line">
              <a:avLst/>
            </a:prstGeom>
            <a:noFill xmlns:a="http://schemas.openxmlformats.org/drawingml/2006/main"/>
            <a:ln xmlns:a="http://schemas.openxmlformats.org/drawingml/2006/main" w="38100">
              <a:solidFill>
                <a:srgbClr val="C0C0C0"/>
              </a:solidFill>
              <a:round/>
              <a:headEnd/>
              <a:tailEnd/>
            </a:ln>
          </cdr:spPr>
          <cdr:txBody>
            <a:bodyPr xmlns:a="http://schemas.openxmlformats.org/drawingml/2006/main"/>
            <a:lstStyle xmlns:a="http://schemas.openxmlformats.org/drawingml/2006/main">
              <a:lvl1pPr marL="0" indent="0">
                <a:defRPr sz="1100"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:endParaRPr lang="zh-CN" altLang="en-US"/>
            </a:p>
          </cdr:txBody>
        </cdr:sp>
      </cdr:grpSp>
      <cdr:sp macro="" textlink="">
        <cdr:nvSpPr>
          <cdr:cNvPr id="15" name="Rectangle 8"/>
          <cdr:cNvSpPr>
            <a:spLocks xmlns:a="http://schemas.openxmlformats.org/drawingml/2006/main" noChangeArrowheads="1"/>
          </cdr:cNvSpPr>
        </cdr:nvSpPr>
        <cdr:spPr bwMode="auto">
          <a:xfrm xmlns:a="http://schemas.openxmlformats.org/drawingml/2006/main">
            <a:off x="225079" y="497090"/>
            <a:ext cx="6416431" cy="125341"/>
          </a:xfrm>
          <a:prstGeom xmlns:a="http://schemas.openxmlformats.org/drawingml/2006/main" prst="rect">
            <a:avLst/>
          </a:prstGeom>
          <a:noFill xmlns:a="http://schemas.openxmlformats.org/drawingml/2006/main"/>
          <a:ln xmlns:a="http://schemas.openxmlformats.org/drawingml/2006/main" w="9525">
            <a:noFill/>
            <a:miter lim="800000"/>
            <a:headEnd/>
            <a:tailEnd/>
          </a:ln>
        </cdr:spPr>
        <cdr:txBody>
          <a:bodyPr xmlns:a="http://schemas.openxmlformats.org/drawingml/2006/main" wrap="square" lIns="27432" tIns="18288" rIns="0" bIns="0" anchor="t" upright="1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 rtl="0">
              <a:defRPr sz="1000"/>
            </a:pPr>
            <a:r>
              <a:rPr lang="zh-CN" altLang="en-US" sz="900" b="0" i="0" u="none" strike="noStrike" baseline="0">
                <a:solidFill>
                  <a:srgbClr val="000000"/>
                </a:solidFill>
                <a:latin typeface="宋体"/>
                <a:ea typeface="宋体"/>
              </a:rPr>
              <a:t>私募通</a:t>
            </a:r>
            <a:r>
              <a:rPr lang="zh-CN" altLang="en-US" sz="9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en-US" altLang="zh-CN" sz="9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2015.02                                                                                           www.pedata.cn</a:t>
            </a:r>
          </a:p>
        </cdr:txBody>
      </cdr:sp>
      <cdr:grpSp>
        <cdr:nvGrpSpPr>
          <cdr:cNvPr id="16" name="Group 9"/>
          <cdr:cNvGrpSpPr>
            <a:grpSpLocks xmlns:a="http://schemas.openxmlformats.org/drawingml/2006/main"/>
          </cdr:cNvGrpSpPr>
        </cdr:nvGrpSpPr>
        <cdr:grpSpPr bwMode="auto">
          <a:xfrm xmlns:a="http://schemas.openxmlformats.org/drawingml/2006/main">
            <a:off x="0" y="438755"/>
            <a:ext cx="2081831" cy="0"/>
            <a:chOff x="0" y="438755"/>
            <a:chExt cx="1609117" cy="0"/>
          </a:xfrm>
        </cdr:grpSpPr>
      </cdr:grpSp>
      <cdr:grpSp>
        <cdr:nvGrpSpPr>
          <cdr:cNvPr id="17" name="Group 9"/>
          <cdr:cNvGrpSpPr>
            <a:grpSpLocks xmlns:a="http://schemas.openxmlformats.org/drawingml/2006/main"/>
          </cdr:cNvGrpSpPr>
        </cdr:nvGrpSpPr>
        <cdr:grpSpPr bwMode="auto">
          <a:xfrm xmlns:a="http://schemas.openxmlformats.org/drawingml/2006/main">
            <a:off x="0" y="434977"/>
            <a:ext cx="2428627" cy="3776"/>
            <a:chOff x="0" y="434977"/>
            <a:chExt cx="1877172" cy="3776"/>
          </a:xfrm>
        </cdr:grpSpPr>
        <cdr:sp macro="" textlink="">
          <cdr:nvSpPr>
            <cdr:cNvPr id="18" name="Line 10"/>
            <cdr:cNvSpPr>
              <a:spLocks xmlns:a="http://schemas.openxmlformats.org/drawingml/2006/main" noChangeShapeType="1"/>
            </cdr:cNvSpPr>
          </cdr:nvSpPr>
          <cdr:spPr bwMode="auto">
            <a:xfrm xmlns:a="http://schemas.openxmlformats.org/drawingml/2006/main" flipV="1">
              <a:off x="0" y="434977"/>
              <a:ext cx="1877172" cy="3776"/>
            </a:xfrm>
            <a:prstGeom xmlns:a="http://schemas.openxmlformats.org/drawingml/2006/main" prst="line">
              <a:avLst/>
            </a:prstGeom>
            <a:noFill xmlns:a="http://schemas.openxmlformats.org/drawingml/2006/main"/>
            <a:ln xmlns:a="http://schemas.openxmlformats.org/drawingml/2006/main" w="38100">
              <a:solidFill>
                <a:srgbClr val="000080"/>
              </a:solidFill>
              <a:round/>
              <a:headEnd/>
              <a:tailEnd/>
            </a:ln>
          </cdr:spPr>
          <cdr:txBody>
            <a:bodyPr xmlns:a="http://schemas.openxmlformats.org/drawingml/2006/main"/>
            <a:lstStyle xmlns:a="http://schemas.openxmlformats.org/drawingml/2006/main">
              <a:lvl1pPr marL="0" indent="0">
                <a:defRPr sz="1100"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:endParaRPr lang="zh-CN" altLang="en-US"/>
            </a:p>
          </cdr:txBody>
        </cdr:sp>
      </cdr:grpSp>
    </cdr:grpSp>
  </cdr:relSizeAnchor>
  <cdr:relSizeAnchor xmlns:cdr="http://schemas.openxmlformats.org/drawingml/2006/chartDrawing">
    <cdr:from>
      <cdr:x>0.36643</cdr:x>
      <cdr:y>0.87752</cdr:y>
    </cdr:from>
    <cdr:to>
      <cdr:x>0.97622</cdr:x>
      <cdr:y>0.87918</cdr:y>
    </cdr:to>
    <cdr:sp macro="" textlink="">
      <cdr:nvSpPr>
        <cdr:cNvPr id="20" name="Line 5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755775" y="3146425"/>
          <a:ext cx="2921870" cy="595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8100">
          <a:solidFill>
            <a:srgbClr val="C0C0C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zh-CN" altLang="en-U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0.02252</cdr:x>
      <cdr:y>0.80133</cdr:y>
    </cdr:from>
    <cdr:to>
      <cdr:x>0.96212</cdr:x>
      <cdr:y>0.96429</cdr:y>
    </cdr:to>
    <cdr:grpSp>
      <cdr:nvGrpSpPr>
        <cdr:cNvPr id="2" name="组合 1"/>
        <cdr:cNvGrpSpPr>
          <a:grpSpLocks xmlns:a="http://schemas.openxmlformats.org/drawingml/2006/main"/>
        </cdr:cNvGrpSpPr>
      </cdr:nvGrpSpPr>
      <cdr:grpSpPr bwMode="auto">
        <a:xfrm xmlns:a="http://schemas.openxmlformats.org/drawingml/2006/main">
          <a:off x="107907" y="3117494"/>
          <a:ext cx="4502187" cy="633980"/>
          <a:chOff x="-1" y="0"/>
          <a:chExt cx="5468213" cy="622431"/>
        </a:xfrm>
      </cdr:grpSpPr>
      <cdr:grpSp>
        <cdr:nvGrpSpPr>
          <cdr:cNvPr id="3" name="Group 4"/>
          <cdr:cNvGrpSpPr>
            <a:grpSpLocks xmlns:a="http://schemas.openxmlformats.org/drawingml/2006/main"/>
          </cdr:cNvGrpSpPr>
        </cdr:nvGrpSpPr>
        <cdr:grpSpPr bwMode="auto">
          <a:xfrm xmlns:a="http://schemas.openxmlformats.org/drawingml/2006/main">
            <a:off x="1930277" y="50800"/>
            <a:ext cx="3180890" cy="0"/>
            <a:chOff x="1870259" y="50800"/>
            <a:chExt cx="2986156" cy="0"/>
          </a:xfrm>
        </cdr:grpSpPr>
      </cdr:grpSp>
      <cdr:grpSp>
        <cdr:nvGrpSpPr>
          <cdr:cNvPr id="4" name="Group 4"/>
          <cdr:cNvGrpSpPr>
            <a:grpSpLocks xmlns:a="http://schemas.openxmlformats.org/drawingml/2006/main"/>
          </cdr:cNvGrpSpPr>
        </cdr:nvGrpSpPr>
        <cdr:grpSpPr bwMode="auto">
          <a:xfrm xmlns:a="http://schemas.openxmlformats.org/drawingml/2006/main">
            <a:off x="165821" y="0"/>
            <a:ext cx="341" cy="0"/>
            <a:chOff x="160797" y="0"/>
            <a:chExt cx="320" cy="0"/>
          </a:xfrm>
        </cdr:grpSpPr>
        <cdr:sp macro="" textlink="">
          <cdr:nvSpPr>
            <cdr:cNvPr id="9" name="Line 6"/>
            <cdr:cNvSpPr>
              <a:spLocks xmlns:a="http://schemas.openxmlformats.org/drawingml/2006/main" noChangeShapeType="1"/>
            </cdr:cNvSpPr>
          </cdr:nvSpPr>
          <cdr:spPr bwMode="auto">
            <a:xfrm xmlns:a="http://schemas.openxmlformats.org/drawingml/2006/main" flipV="1">
              <a:off x="160797" y="0"/>
              <a:ext cx="320" cy="0"/>
            </a:xfrm>
            <a:prstGeom xmlns:a="http://schemas.openxmlformats.org/drawingml/2006/main" prst="line">
              <a:avLst/>
            </a:prstGeom>
            <a:noFill xmlns:a="http://schemas.openxmlformats.org/drawingml/2006/main"/>
            <a:ln xmlns:a="http://schemas.openxmlformats.org/drawingml/2006/main" w="38100">
              <a:solidFill>
                <a:srgbClr val="C0C0C0"/>
              </a:solidFill>
              <a:round/>
              <a:headEnd/>
              <a:tailEnd/>
            </a:ln>
          </cdr:spPr>
          <cdr:txBody>
            <a:bodyPr xmlns:a="http://schemas.openxmlformats.org/drawingml/2006/main"/>
            <a:lstStyle xmlns:a="http://schemas.openxmlformats.org/drawingml/2006/main">
              <a:lvl1pPr marL="0" indent="0">
                <a:defRPr sz="1100"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:endParaRPr lang="zh-CN" altLang="en-US"/>
            </a:p>
          </cdr:txBody>
        </cdr:sp>
      </cdr:grpSp>
      <cdr:sp macro="" textlink="">
        <cdr:nvSpPr>
          <cdr:cNvPr id="5" name="Rectangle 8"/>
          <cdr:cNvSpPr>
            <a:spLocks xmlns:a="http://schemas.openxmlformats.org/drawingml/2006/main" noChangeArrowheads="1"/>
          </cdr:cNvSpPr>
        </cdr:nvSpPr>
        <cdr:spPr bwMode="auto">
          <a:xfrm xmlns:a="http://schemas.openxmlformats.org/drawingml/2006/main">
            <a:off x="185315" y="497090"/>
            <a:ext cx="5282897" cy="125341"/>
          </a:xfrm>
          <a:prstGeom xmlns:a="http://schemas.openxmlformats.org/drawingml/2006/main" prst="rect">
            <a:avLst/>
          </a:prstGeom>
          <a:noFill xmlns:a="http://schemas.openxmlformats.org/drawingml/2006/main"/>
          <a:ln xmlns:a="http://schemas.openxmlformats.org/drawingml/2006/main" w="9525">
            <a:noFill/>
            <a:miter lim="800000"/>
            <a:headEnd/>
            <a:tailEnd/>
          </a:ln>
        </cdr:spPr>
        <cdr:txBody>
          <a:bodyPr xmlns:a="http://schemas.openxmlformats.org/drawingml/2006/main" wrap="square" lIns="27432" tIns="18288" rIns="0" bIns="0" anchor="t" upright="1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 rtl="0">
              <a:defRPr sz="1000"/>
            </a:pPr>
            <a:r>
              <a:rPr lang="zh-CN" altLang="en-US" sz="900" b="0" i="0" u="none" strike="noStrike" baseline="0">
                <a:solidFill>
                  <a:srgbClr val="000000"/>
                </a:solidFill>
                <a:latin typeface="宋体"/>
                <a:ea typeface="宋体"/>
              </a:rPr>
              <a:t>私募通</a:t>
            </a:r>
            <a:r>
              <a:rPr lang="zh-CN" altLang="en-US" sz="9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en-US" altLang="zh-CN" sz="9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2015.02                                                                                      www.pedata.cn</a:t>
            </a:r>
          </a:p>
        </cdr:txBody>
      </cdr:sp>
      <cdr:grpSp>
        <cdr:nvGrpSpPr>
          <cdr:cNvPr id="6" name="Group 9"/>
          <cdr:cNvGrpSpPr>
            <a:grpSpLocks xmlns:a="http://schemas.openxmlformats.org/drawingml/2006/main"/>
          </cdr:cNvGrpSpPr>
        </cdr:nvGrpSpPr>
        <cdr:grpSpPr bwMode="auto">
          <a:xfrm xmlns:a="http://schemas.openxmlformats.org/drawingml/2006/main">
            <a:off x="-1" y="438755"/>
            <a:ext cx="1714052" cy="0"/>
            <a:chOff x="0" y="438755"/>
            <a:chExt cx="1609117" cy="0"/>
          </a:xfrm>
        </cdr:grpSpPr>
      </cdr:grpSp>
      <cdr:grpSp>
        <cdr:nvGrpSpPr>
          <cdr:cNvPr id="7" name="Group 9"/>
          <cdr:cNvGrpSpPr>
            <a:grpSpLocks xmlns:a="http://schemas.openxmlformats.org/drawingml/2006/main"/>
          </cdr:cNvGrpSpPr>
        </cdr:nvGrpSpPr>
        <cdr:grpSpPr bwMode="auto">
          <a:xfrm xmlns:a="http://schemas.openxmlformats.org/drawingml/2006/main">
            <a:off x="-1" y="434977"/>
            <a:ext cx="2129977" cy="3776"/>
            <a:chOff x="0" y="434977"/>
            <a:chExt cx="1999583" cy="3776"/>
          </a:xfrm>
        </cdr:grpSpPr>
        <cdr:sp macro="" textlink="">
          <cdr:nvSpPr>
            <cdr:cNvPr id="8" name="Line 10"/>
            <cdr:cNvSpPr>
              <a:spLocks xmlns:a="http://schemas.openxmlformats.org/drawingml/2006/main" noChangeShapeType="1"/>
            </cdr:cNvSpPr>
          </cdr:nvSpPr>
          <cdr:spPr bwMode="auto">
            <a:xfrm xmlns:a="http://schemas.openxmlformats.org/drawingml/2006/main" flipV="1">
              <a:off x="0" y="434977"/>
              <a:ext cx="1999583" cy="3776"/>
            </a:xfrm>
            <a:prstGeom xmlns:a="http://schemas.openxmlformats.org/drawingml/2006/main" prst="line">
              <a:avLst/>
            </a:prstGeom>
            <a:noFill xmlns:a="http://schemas.openxmlformats.org/drawingml/2006/main"/>
            <a:ln xmlns:a="http://schemas.openxmlformats.org/drawingml/2006/main" w="38100">
              <a:solidFill>
                <a:srgbClr val="000080"/>
              </a:solidFill>
              <a:round/>
              <a:headEnd/>
              <a:tailEnd/>
            </a:ln>
          </cdr:spPr>
          <cdr:txBody>
            <a:bodyPr xmlns:a="http://schemas.openxmlformats.org/drawingml/2006/main"/>
            <a:lstStyle xmlns:a="http://schemas.openxmlformats.org/drawingml/2006/main">
              <a:lvl1pPr marL="0" indent="0">
                <a:defRPr sz="1100"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:endParaRPr lang="zh-CN" altLang="en-US"/>
            </a:p>
          </cdr:txBody>
        </cdr:sp>
      </cdr:grpSp>
    </cdr:grpSp>
  </cdr:relSizeAnchor>
  <cdr:relSizeAnchor xmlns:cdr="http://schemas.openxmlformats.org/drawingml/2006/chartDrawing">
    <cdr:from>
      <cdr:x>0.38345</cdr:x>
      <cdr:y>0.91355</cdr:y>
    </cdr:from>
    <cdr:to>
      <cdr:x>0.99324</cdr:x>
      <cdr:y>0.91521</cdr:y>
    </cdr:to>
    <cdr:sp macro="" textlink="">
      <cdr:nvSpPr>
        <cdr:cNvPr id="10" name="Line 5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162174" y="3489319"/>
          <a:ext cx="3438525" cy="63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8100">
          <a:solidFill>
            <a:srgbClr val="C0C0C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zh-CN" altLang="en-US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0.01259</cdr:x>
      <cdr:y>0.94127</cdr:y>
    </cdr:from>
    <cdr:to>
      <cdr:x>0.37826</cdr:x>
      <cdr:y>0.94233</cdr:y>
    </cdr:to>
    <cdr:sp macro="" textlink="">
      <cdr:nvSpPr>
        <cdr:cNvPr id="2" name="Line 10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60325" y="3375025"/>
          <a:ext cx="1752163" cy="377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8100">
          <a:solidFill>
            <a:srgbClr val="00008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zh-CN" altLang="en-US"/>
        </a:p>
      </cdr:txBody>
    </cdr:sp>
  </cdr:relSizeAnchor>
  <cdr:relSizeAnchor xmlns:cdr="http://schemas.openxmlformats.org/drawingml/2006/chartDrawing">
    <cdr:from>
      <cdr:x>0.01855</cdr:x>
      <cdr:y>0.94658</cdr:y>
    </cdr:from>
    <cdr:to>
      <cdr:x>0.98466</cdr:x>
      <cdr:y>0.98154</cdr:y>
    </cdr:to>
    <cdr:sp macro="" textlink="">
      <cdr:nvSpPr>
        <cdr:cNvPr id="3" name="Rectangle 8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8900" y="3394075"/>
          <a:ext cx="4629214" cy="12534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27432" tIns="18288" rIns="0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 rtl="0">
            <a:defRPr sz="1000"/>
          </a:pPr>
          <a:r>
            <a:rPr lang="zh-CN" altLang="en-US" sz="900" b="0" i="0" u="none" strike="noStrike" baseline="0">
              <a:solidFill>
                <a:srgbClr val="000000"/>
              </a:solidFill>
              <a:latin typeface="宋体"/>
              <a:ea typeface="宋体"/>
            </a:rPr>
            <a:t>私募通</a:t>
          </a:r>
          <a:r>
            <a:rPr lang="zh-CN" altLang="en-US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 </a:t>
          </a:r>
          <a:r>
            <a:rPr lang="en-US" altLang="zh-CN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2015.02                                                                                           www.pedata.cn</a:t>
          </a:r>
        </a:p>
      </cdr:txBody>
    </cdr:sp>
  </cdr:relSizeAnchor>
  <cdr:relSizeAnchor xmlns:cdr="http://schemas.openxmlformats.org/drawingml/2006/chartDrawing">
    <cdr:from>
      <cdr:x>0.37438</cdr:x>
      <cdr:y>0.94127</cdr:y>
    </cdr:from>
    <cdr:to>
      <cdr:x>0.98417</cdr:x>
      <cdr:y>0.94293</cdr:y>
    </cdr:to>
    <cdr:sp macro="" textlink="">
      <cdr:nvSpPr>
        <cdr:cNvPr id="4" name="Line 5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793875" y="3375025"/>
          <a:ext cx="2921870" cy="595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8100">
          <a:solidFill>
            <a:srgbClr val="C0C0C0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zh-CN" altLang="en-US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A64CDB-BEE4-4F18-BA83-09113EAB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清科报告模板SX-最新</Template>
  <TotalTime>3557</TotalTime>
  <Pages>7</Pages>
  <Words>977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1月VC/PE投资数量与金额齐降 证监会颁新规严监新股发行</dc:title>
  <dc:creator>申伶坤</dc:creator>
  <cp:lastModifiedBy>jewelyao</cp:lastModifiedBy>
  <cp:revision>123</cp:revision>
  <dcterms:created xsi:type="dcterms:W3CDTF">2014-05-05T09:12:00Z</dcterms:created>
  <dcterms:modified xsi:type="dcterms:W3CDTF">2015-02-09T06:41:00Z</dcterms:modified>
</cp:coreProperties>
</file>