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61" w:rsidRDefault="001B636F" w:rsidP="00FA4C42">
      <w:pPr>
        <w:jc w:val="center"/>
        <w:rPr>
          <w:rFonts w:ascii="Arial" w:eastAsia="宋体"/>
          <w:b/>
          <w:sz w:val="28"/>
        </w:rPr>
      </w:pPr>
      <w:proofErr w:type="gramStart"/>
      <w:r w:rsidRPr="001B636F">
        <w:rPr>
          <w:rFonts w:ascii="Arial" w:eastAsia="宋体" w:hint="eastAsia"/>
          <w:b/>
          <w:sz w:val="28"/>
        </w:rPr>
        <w:t>清科观察</w:t>
      </w:r>
      <w:proofErr w:type="gramEnd"/>
      <w:r>
        <w:rPr>
          <w:rFonts w:ascii="Arial" w:eastAsia="宋体" w:hint="eastAsia"/>
          <w:b/>
          <w:sz w:val="28"/>
        </w:rPr>
        <w:t>：</w:t>
      </w:r>
      <w:proofErr w:type="gramStart"/>
      <w:r w:rsidR="008A470A">
        <w:rPr>
          <w:rFonts w:ascii="Arial" w:eastAsia="宋体" w:hint="eastAsia"/>
          <w:b/>
          <w:sz w:val="28"/>
        </w:rPr>
        <w:t>清科《</w:t>
      </w:r>
      <w:r w:rsidR="00FA4C42">
        <w:rPr>
          <w:rFonts w:ascii="Arial" w:eastAsia="宋体" w:hint="eastAsia"/>
          <w:b/>
          <w:sz w:val="28"/>
        </w:rPr>
        <w:t>海外投资报告》</w:t>
      </w:r>
      <w:proofErr w:type="gramEnd"/>
      <w:r w:rsidR="00FA4C42">
        <w:rPr>
          <w:rFonts w:ascii="Arial" w:eastAsia="宋体" w:hint="eastAsia"/>
          <w:b/>
          <w:sz w:val="28"/>
        </w:rPr>
        <w:t>发布，</w:t>
      </w:r>
      <w:r w:rsidR="001A6D7C">
        <w:rPr>
          <w:rFonts w:ascii="Arial" w:eastAsia="宋体" w:hint="eastAsia"/>
          <w:b/>
          <w:sz w:val="28"/>
        </w:rPr>
        <w:t>中国资本输出时代下的</w:t>
      </w:r>
      <w:r w:rsidR="00841E55">
        <w:rPr>
          <w:rFonts w:ascii="Arial" w:eastAsia="宋体" w:hint="eastAsia"/>
          <w:b/>
          <w:sz w:val="28"/>
        </w:rPr>
        <w:t>PE</w:t>
      </w:r>
      <w:r w:rsidR="001A6D7C">
        <w:rPr>
          <w:rFonts w:ascii="Arial" w:eastAsia="宋体" w:hint="eastAsia"/>
          <w:b/>
          <w:sz w:val="28"/>
        </w:rPr>
        <w:t>淘金</w:t>
      </w:r>
    </w:p>
    <w:p w:rsidR="000E4A9A" w:rsidRPr="008A470A" w:rsidRDefault="000E4A9A" w:rsidP="00841E55">
      <w:pPr>
        <w:widowControl/>
        <w:spacing w:line="360" w:lineRule="exact"/>
        <w:ind w:firstLineChars="200" w:firstLine="420"/>
        <w:jc w:val="center"/>
        <w:rPr>
          <w:rFonts w:ascii="Arial" w:eastAsia="宋体" w:hAnsi="Arial" w:cs="Arial"/>
          <w:kern w:val="0"/>
          <w:szCs w:val="21"/>
        </w:rPr>
      </w:pPr>
    </w:p>
    <w:p w:rsidR="00FA4C42" w:rsidRPr="00C87EDC" w:rsidRDefault="00B64B60" w:rsidP="00841E55">
      <w:pPr>
        <w:widowControl/>
        <w:spacing w:line="360" w:lineRule="exact"/>
        <w:ind w:firstLineChars="200" w:firstLine="420"/>
        <w:jc w:val="center"/>
        <w:rPr>
          <w:rFonts w:eastAsia="宋体" w:hAnsi="Arial" w:cs="Arial"/>
          <w:kern w:val="0"/>
          <w:szCs w:val="21"/>
        </w:rPr>
      </w:pPr>
      <w:r w:rsidRPr="00C87EDC">
        <w:rPr>
          <w:rFonts w:ascii="Arial" w:eastAsia="宋体" w:hAnsi="Arial" w:cs="Arial" w:hint="eastAsia"/>
          <w:kern w:val="0"/>
          <w:szCs w:val="21"/>
        </w:rPr>
        <w:t>201</w:t>
      </w:r>
      <w:r>
        <w:rPr>
          <w:rFonts w:ascii="Arial" w:eastAsia="宋体" w:hAnsi="Arial" w:cs="Arial" w:hint="eastAsia"/>
          <w:kern w:val="0"/>
          <w:szCs w:val="21"/>
        </w:rPr>
        <w:t xml:space="preserve">5-2-6 </w:t>
      </w:r>
      <w:proofErr w:type="gramStart"/>
      <w:r w:rsidR="00FA4C42" w:rsidRPr="00C87EDC">
        <w:rPr>
          <w:rFonts w:ascii="Arial" w:eastAsia="宋体" w:hAnsi="Arial" w:cs="Arial" w:hint="eastAsia"/>
          <w:kern w:val="0"/>
          <w:szCs w:val="21"/>
        </w:rPr>
        <w:t>清科研究中心</w:t>
      </w:r>
      <w:proofErr w:type="gramEnd"/>
      <w:r>
        <w:rPr>
          <w:rFonts w:ascii="Arial" w:eastAsia="宋体" w:hAnsi="Arial" w:cs="Arial" w:hint="eastAsia"/>
          <w:kern w:val="0"/>
          <w:szCs w:val="21"/>
        </w:rPr>
        <w:t xml:space="preserve"> </w:t>
      </w:r>
      <w:r w:rsidR="00FA4C42" w:rsidRPr="00C87EDC">
        <w:rPr>
          <w:rFonts w:ascii="Arial" w:eastAsia="宋体" w:hAnsi="Arial" w:cs="Arial" w:hint="eastAsia"/>
          <w:kern w:val="0"/>
          <w:szCs w:val="21"/>
        </w:rPr>
        <w:t>曹紫婷</w:t>
      </w:r>
    </w:p>
    <w:p w:rsidR="00FA4C42" w:rsidRPr="0072177A" w:rsidRDefault="00FA4C42" w:rsidP="00841E55">
      <w:pPr>
        <w:spacing w:line="360" w:lineRule="exact"/>
        <w:ind w:firstLineChars="200" w:firstLine="420"/>
        <w:jc w:val="left"/>
        <w:rPr>
          <w:rFonts w:ascii="Arial" w:eastAsia="宋体" w:hAnsi="Arial"/>
        </w:rPr>
      </w:pPr>
      <w:bookmarkStart w:id="0" w:name="_GoBack"/>
      <w:bookmarkEnd w:id="0"/>
    </w:p>
    <w:p w:rsidR="000E4A9A" w:rsidRPr="001A6D7C" w:rsidRDefault="00602AE4" w:rsidP="001A6D7C">
      <w:pPr>
        <w:spacing w:line="360" w:lineRule="exact"/>
        <w:ind w:firstLineChars="200" w:firstLine="420"/>
        <w:rPr>
          <w:rFonts w:ascii="Arial" w:eastAsia="宋体" w:hAnsi="Arial"/>
          <w:szCs w:val="21"/>
        </w:rPr>
      </w:pPr>
      <w:r w:rsidRPr="00602AE4">
        <w:rPr>
          <w:rFonts w:ascii="Arial" w:eastAsia="宋体" w:hAnsi="Arial" w:hint="eastAsia"/>
          <w:szCs w:val="21"/>
        </w:rPr>
        <w:t>近十年来，随着中国资本账户的开放，越来越多企业走出国门寻找亟需的生产要素，越来越</w:t>
      </w:r>
      <w:proofErr w:type="gramStart"/>
      <w:r w:rsidRPr="00602AE4">
        <w:rPr>
          <w:rFonts w:ascii="Arial" w:eastAsia="宋体" w:hAnsi="Arial" w:hint="eastAsia"/>
          <w:szCs w:val="21"/>
        </w:rPr>
        <w:t>多</w:t>
      </w:r>
      <w:r w:rsidR="001A6D7C">
        <w:rPr>
          <w:rFonts w:ascii="Arial" w:eastAsia="宋体" w:hAnsi="Arial" w:hint="eastAsia"/>
          <w:szCs w:val="21"/>
        </w:rPr>
        <w:t>资产</w:t>
      </w:r>
      <w:proofErr w:type="gramEnd"/>
      <w:r w:rsidR="001A6D7C">
        <w:rPr>
          <w:rFonts w:ascii="Arial" w:eastAsia="宋体" w:hAnsi="Arial" w:hint="eastAsia"/>
          <w:szCs w:val="21"/>
        </w:rPr>
        <w:t>寻求</w:t>
      </w:r>
      <w:r w:rsidRPr="00602AE4">
        <w:rPr>
          <w:rFonts w:ascii="Arial" w:eastAsia="宋体" w:hAnsi="Arial" w:hint="eastAsia"/>
          <w:szCs w:val="21"/>
        </w:rPr>
        <w:t>海外市场配置，中国的对外投资总额将在</w:t>
      </w:r>
      <w:r w:rsidRPr="00602AE4">
        <w:rPr>
          <w:rFonts w:ascii="Arial" w:eastAsia="宋体" w:hAnsi="Arial" w:hint="eastAsia"/>
          <w:szCs w:val="21"/>
        </w:rPr>
        <w:t>2014</w:t>
      </w:r>
      <w:r w:rsidRPr="00602AE4">
        <w:rPr>
          <w:rFonts w:ascii="Arial" w:eastAsia="宋体" w:hAnsi="Arial" w:hint="eastAsia"/>
          <w:szCs w:val="21"/>
        </w:rPr>
        <w:t>年历史性地首次超过引资总额，超过</w:t>
      </w:r>
      <w:r w:rsidRPr="00602AE4">
        <w:rPr>
          <w:rFonts w:ascii="Arial" w:eastAsia="宋体" w:hAnsi="Arial" w:hint="eastAsia"/>
          <w:szCs w:val="21"/>
        </w:rPr>
        <w:t>1,000.00</w:t>
      </w:r>
      <w:r w:rsidRPr="00602AE4">
        <w:rPr>
          <w:rFonts w:ascii="Arial" w:eastAsia="宋体" w:hAnsi="Arial" w:hint="eastAsia"/>
          <w:szCs w:val="21"/>
        </w:rPr>
        <w:t>亿美元，到</w:t>
      </w:r>
      <w:r w:rsidRPr="00602AE4">
        <w:rPr>
          <w:rFonts w:ascii="Arial" w:eastAsia="宋体" w:hAnsi="Arial" w:hint="eastAsia"/>
          <w:szCs w:val="21"/>
        </w:rPr>
        <w:t>2025</w:t>
      </w:r>
      <w:r w:rsidRPr="00602AE4">
        <w:rPr>
          <w:rFonts w:ascii="Arial" w:eastAsia="宋体" w:hAnsi="Arial" w:hint="eastAsia"/>
          <w:szCs w:val="21"/>
        </w:rPr>
        <w:t>年可望达到美国当前</w:t>
      </w:r>
      <w:r w:rsidRPr="00602AE4">
        <w:rPr>
          <w:rFonts w:ascii="Arial" w:eastAsia="宋体" w:hAnsi="Arial" w:hint="eastAsia"/>
          <w:szCs w:val="21"/>
        </w:rPr>
        <w:t>3,000.00</w:t>
      </w:r>
      <w:r w:rsidRPr="00602AE4">
        <w:rPr>
          <w:rFonts w:ascii="Arial" w:eastAsia="宋体" w:hAnsi="Arial" w:hint="eastAsia"/>
          <w:szCs w:val="21"/>
        </w:rPr>
        <w:t>亿美元的水平，中国累计对外投资总额将由现在的</w:t>
      </w:r>
      <w:r w:rsidRPr="00602AE4">
        <w:rPr>
          <w:rFonts w:ascii="Arial" w:eastAsia="宋体" w:hAnsi="Arial" w:hint="eastAsia"/>
          <w:szCs w:val="21"/>
        </w:rPr>
        <w:t>6,600.00</w:t>
      </w:r>
      <w:r w:rsidRPr="00602AE4">
        <w:rPr>
          <w:rFonts w:ascii="Arial" w:eastAsia="宋体" w:hAnsi="Arial" w:hint="eastAsia"/>
          <w:szCs w:val="21"/>
        </w:rPr>
        <w:t>亿美元提高到</w:t>
      </w:r>
      <w:r w:rsidRPr="00602AE4">
        <w:rPr>
          <w:rFonts w:ascii="Arial" w:eastAsia="宋体" w:hAnsi="Arial" w:hint="eastAsia"/>
          <w:szCs w:val="21"/>
        </w:rPr>
        <w:t>2025</w:t>
      </w:r>
      <w:r w:rsidRPr="00602AE4">
        <w:rPr>
          <w:rFonts w:ascii="Arial" w:eastAsia="宋体" w:hAnsi="Arial" w:hint="eastAsia"/>
          <w:szCs w:val="21"/>
        </w:rPr>
        <w:t>或</w:t>
      </w:r>
      <w:r w:rsidRPr="00602AE4">
        <w:rPr>
          <w:rFonts w:ascii="Arial" w:eastAsia="宋体" w:hAnsi="Arial" w:hint="eastAsia"/>
          <w:szCs w:val="21"/>
        </w:rPr>
        <w:t>2030</w:t>
      </w:r>
      <w:r w:rsidRPr="00602AE4">
        <w:rPr>
          <w:rFonts w:ascii="Arial" w:eastAsia="宋体" w:hAnsi="Arial" w:hint="eastAsia"/>
          <w:szCs w:val="21"/>
        </w:rPr>
        <w:t>年的</w:t>
      </w:r>
      <w:r w:rsidRPr="00602AE4">
        <w:rPr>
          <w:rFonts w:ascii="Arial" w:eastAsia="宋体" w:hAnsi="Arial" w:hint="eastAsia"/>
          <w:szCs w:val="21"/>
        </w:rPr>
        <w:t>3.00</w:t>
      </w:r>
      <w:proofErr w:type="gramStart"/>
      <w:r w:rsidRPr="00602AE4">
        <w:rPr>
          <w:rFonts w:ascii="Arial" w:eastAsia="宋体" w:hAnsi="Arial" w:hint="eastAsia"/>
          <w:szCs w:val="21"/>
        </w:rPr>
        <w:t>万亿</w:t>
      </w:r>
      <w:proofErr w:type="gramEnd"/>
      <w:r w:rsidRPr="00602AE4">
        <w:rPr>
          <w:rFonts w:ascii="Arial" w:eastAsia="宋体" w:hAnsi="Arial" w:hint="eastAsia"/>
          <w:szCs w:val="21"/>
        </w:rPr>
        <w:t>美元。伴随中国</w:t>
      </w:r>
      <w:r w:rsidR="001A6D7C">
        <w:rPr>
          <w:rFonts w:ascii="Arial" w:eastAsia="宋体" w:hAnsi="Arial" w:hint="eastAsia"/>
          <w:szCs w:val="21"/>
        </w:rPr>
        <w:t>逐渐成为资金净输出国，中国经济</w:t>
      </w:r>
      <w:r w:rsidRPr="00602AE4">
        <w:rPr>
          <w:rFonts w:ascii="Arial" w:eastAsia="宋体" w:hAnsi="Arial" w:hint="eastAsia"/>
          <w:szCs w:val="21"/>
        </w:rPr>
        <w:t>将迎来新纪元</w:t>
      </w:r>
      <w:r w:rsidR="001A6D7C">
        <w:rPr>
          <w:rFonts w:ascii="Arial" w:eastAsia="宋体" w:hAnsi="Arial" w:hint="eastAsia"/>
          <w:szCs w:val="21"/>
        </w:rPr>
        <w:t>。</w:t>
      </w:r>
      <w:r w:rsidR="00BC74B5" w:rsidRPr="00AB5381">
        <w:rPr>
          <w:rFonts w:ascii="Arial" w:eastAsia="宋体" w:hAnsi="Arial" w:hint="eastAsia"/>
          <w:szCs w:val="21"/>
        </w:rPr>
        <w:t>在过去的三十年里，中国经济历经了私营经济和对外投资从无到有、出口和外汇储备从少到多、汇率和审批程序</w:t>
      </w:r>
      <w:proofErr w:type="gramStart"/>
      <w:r w:rsidR="00BC74B5" w:rsidRPr="00AB5381">
        <w:rPr>
          <w:rFonts w:ascii="Arial" w:eastAsia="宋体" w:hAnsi="Arial" w:hint="eastAsia"/>
          <w:szCs w:val="21"/>
        </w:rPr>
        <w:t>从严到</w:t>
      </w:r>
      <w:proofErr w:type="gramEnd"/>
      <w:r w:rsidR="00BC74B5" w:rsidRPr="00AB5381">
        <w:rPr>
          <w:rFonts w:ascii="Arial" w:eastAsia="宋体" w:hAnsi="Arial" w:hint="eastAsia"/>
          <w:szCs w:val="21"/>
        </w:rPr>
        <w:t>宽的过程，海外投资策略也由反映国家政策逐渐回归企业的经济理性。</w:t>
      </w:r>
      <w:r w:rsidR="00BC74B5">
        <w:rPr>
          <w:rFonts w:ascii="Arial" w:eastAsia="宋体" w:hAnsi="Arial" w:hint="eastAsia"/>
          <w:szCs w:val="21"/>
        </w:rPr>
        <w:t>随着海外投资越来越受到投资市场的关注</w:t>
      </w:r>
      <w:r w:rsidR="001A6D7C">
        <w:rPr>
          <w:rFonts w:ascii="Arial" w:eastAsia="宋体" w:hAnsi="Arial" w:hint="eastAsia"/>
          <w:szCs w:val="21"/>
        </w:rPr>
        <w:t>以及</w:t>
      </w:r>
      <w:r w:rsidR="001A6D7C">
        <w:rPr>
          <w:rFonts w:ascii="Arial" w:eastAsia="宋体" w:hAnsi="Arial" w:hint="eastAsia"/>
          <w:szCs w:val="21"/>
        </w:rPr>
        <w:t>VC/PE</w:t>
      </w:r>
      <w:r w:rsidR="001A6D7C">
        <w:rPr>
          <w:rFonts w:ascii="Arial" w:eastAsia="宋体" w:hAnsi="Arial" w:hint="eastAsia"/>
          <w:szCs w:val="21"/>
        </w:rPr>
        <w:t>机构的瞩目</w:t>
      </w:r>
      <w:r w:rsidR="00BC74B5">
        <w:rPr>
          <w:rFonts w:ascii="Arial" w:eastAsia="宋体" w:hAnsi="Arial" w:hint="eastAsia"/>
          <w:szCs w:val="21"/>
        </w:rPr>
        <w:t>，</w:t>
      </w:r>
      <w:proofErr w:type="gramStart"/>
      <w:r w:rsidR="00BC74B5">
        <w:rPr>
          <w:rFonts w:ascii="Arial" w:eastAsia="宋体" w:hAnsi="Arial" w:hint="eastAsia"/>
          <w:szCs w:val="21"/>
        </w:rPr>
        <w:t>清科研究中心</w:t>
      </w:r>
      <w:proofErr w:type="gramEnd"/>
      <w:r w:rsidR="00BC74B5">
        <w:rPr>
          <w:rFonts w:ascii="Arial" w:eastAsia="宋体" w:hAnsi="Arial" w:hint="eastAsia"/>
          <w:szCs w:val="21"/>
        </w:rPr>
        <w:t>特推出《中国</w:t>
      </w:r>
      <w:r w:rsidR="000E4A9A">
        <w:rPr>
          <w:rFonts w:ascii="Arial" w:eastAsia="宋体" w:hAnsi="Arial" w:hint="eastAsia"/>
          <w:szCs w:val="21"/>
        </w:rPr>
        <w:t>海外投资专题研究报告》，</w:t>
      </w:r>
      <w:r w:rsidR="000E4A9A" w:rsidRPr="00BC74B5">
        <w:rPr>
          <w:rFonts w:ascii="Arial" w:eastAsia="宋体" w:hAnsi="Arial" w:hint="eastAsia"/>
          <w:szCs w:val="21"/>
        </w:rPr>
        <w:t>详细</w:t>
      </w:r>
      <w:r w:rsidR="000E4A9A">
        <w:rPr>
          <w:rFonts w:ascii="Arial" w:eastAsia="宋体" w:hAnsi="Arial" w:hint="eastAsia"/>
          <w:szCs w:val="21"/>
        </w:rPr>
        <w:t>地</w:t>
      </w:r>
      <w:r w:rsidR="000E4A9A" w:rsidRPr="00BC74B5">
        <w:rPr>
          <w:rFonts w:ascii="Arial" w:eastAsia="宋体" w:hAnsi="Arial" w:hint="eastAsia"/>
          <w:szCs w:val="21"/>
        </w:rPr>
        <w:t>从宏观经济、政策法规、数据统计、投资类型、投资方式等方面进行剖析；并且基于上海自贸区平台，</w:t>
      </w:r>
      <w:r w:rsidR="000E4A9A">
        <w:rPr>
          <w:rFonts w:ascii="Arial" w:eastAsia="宋体" w:hAnsi="Arial" w:hint="eastAsia"/>
          <w:szCs w:val="21"/>
        </w:rPr>
        <w:t>进行</w:t>
      </w:r>
      <w:r w:rsidR="000E4A9A" w:rsidRPr="00BC74B5">
        <w:rPr>
          <w:rFonts w:ascii="Arial" w:eastAsia="宋体" w:hAnsi="Arial" w:hint="eastAsia"/>
          <w:szCs w:val="21"/>
        </w:rPr>
        <w:t>机遇</w:t>
      </w:r>
      <w:r w:rsidR="000E4A9A">
        <w:rPr>
          <w:rFonts w:ascii="Arial" w:eastAsia="宋体" w:hAnsi="Arial" w:hint="eastAsia"/>
          <w:szCs w:val="21"/>
        </w:rPr>
        <w:t>指引</w:t>
      </w:r>
      <w:r w:rsidR="000E4A9A" w:rsidRPr="00BC74B5">
        <w:rPr>
          <w:rFonts w:ascii="Arial" w:eastAsia="宋体" w:hAnsi="Arial" w:hint="eastAsia"/>
          <w:szCs w:val="21"/>
        </w:rPr>
        <w:t>及风险防范分析；同时，以复星集团为代表进行案例分析，以期为中国企业在未来的海外投资过程中提供借鉴和帮助。</w:t>
      </w:r>
    </w:p>
    <w:p w:rsidR="00BC74B5" w:rsidRDefault="00BC74B5" w:rsidP="00286195">
      <w:pPr>
        <w:spacing w:line="360" w:lineRule="exact"/>
        <w:ind w:firstLineChars="200" w:firstLine="420"/>
        <w:rPr>
          <w:rFonts w:ascii="Arial" w:eastAsia="宋体" w:hAnsi="Arial"/>
          <w:szCs w:val="21"/>
        </w:rPr>
      </w:pPr>
    </w:p>
    <w:p w:rsidR="00286195" w:rsidRPr="00286195" w:rsidRDefault="00286195" w:rsidP="00286195">
      <w:pPr>
        <w:spacing w:line="360" w:lineRule="exact"/>
        <w:ind w:firstLineChars="200" w:firstLine="422"/>
        <w:rPr>
          <w:rFonts w:ascii="Arial" w:eastAsia="宋体" w:hAnsi="Arial"/>
          <w:b/>
          <w:szCs w:val="21"/>
        </w:rPr>
      </w:pPr>
      <w:r w:rsidRPr="00286195">
        <w:rPr>
          <w:rFonts w:ascii="Arial" w:eastAsia="宋体" w:hAnsi="Arial" w:hint="eastAsia"/>
          <w:b/>
          <w:szCs w:val="21"/>
        </w:rPr>
        <w:t>投资环境：</w:t>
      </w:r>
      <w:r w:rsidR="00FB735C">
        <w:rPr>
          <w:rFonts w:ascii="Arial" w:eastAsia="宋体" w:hAnsi="Arial" w:hint="eastAsia"/>
          <w:b/>
          <w:szCs w:val="21"/>
        </w:rPr>
        <w:t>对外直接投资净值不断增高，人民币兑美元汇率长期维持较低水平</w:t>
      </w:r>
    </w:p>
    <w:p w:rsidR="00286195" w:rsidRDefault="00286195" w:rsidP="00D759E9">
      <w:pPr>
        <w:spacing w:line="360" w:lineRule="exact"/>
        <w:ind w:firstLineChars="200" w:firstLine="420"/>
        <w:rPr>
          <w:rFonts w:ascii="Arial" w:eastAsia="宋体" w:hAnsi="Arial"/>
          <w:szCs w:val="21"/>
        </w:rPr>
      </w:pPr>
    </w:p>
    <w:p w:rsidR="00286195" w:rsidRDefault="00602AE4" w:rsidP="00D759E9">
      <w:pPr>
        <w:spacing w:line="360" w:lineRule="exact"/>
        <w:ind w:firstLineChars="200" w:firstLine="420"/>
        <w:rPr>
          <w:rFonts w:ascii="Arial" w:eastAsia="宋体" w:hAnsi="Arial"/>
          <w:szCs w:val="21"/>
        </w:rPr>
      </w:pPr>
      <w:r>
        <w:rPr>
          <w:rFonts w:ascii="Arial" w:eastAsia="宋体" w:hAnsi="Arial" w:hint="eastAsia"/>
          <w:szCs w:val="21"/>
        </w:rPr>
        <w:t>在中国经济对外开放程度逐渐扩大以及经济体制改革不断深化的大背景下，中国企业的海外投资行为愈加活跃。同时，对外开放政策也带动中国与海外在进出口、人员、投资、思想文化上的交流。随着外贸规模的急速扩大，中国企业产生了海外投资的切实需求。</w:t>
      </w:r>
      <w:r w:rsidRPr="0072177A">
        <w:rPr>
          <w:rFonts w:ascii="Arial" w:eastAsia="宋体" w:hAnsi="Arial" w:hint="eastAsia"/>
          <w:szCs w:val="21"/>
        </w:rPr>
        <w:t>最后，中国企业积极引进外资，从技术、资金、管理等方面促进自身生长，目前部分企业已经具备抵御对外投资风险的能力。</w:t>
      </w:r>
      <w:r w:rsidRPr="00AB5381">
        <w:rPr>
          <w:rFonts w:ascii="Arial" w:eastAsia="宋体" w:hAnsi="Arial" w:hint="eastAsia"/>
          <w:szCs w:val="21"/>
        </w:rPr>
        <w:t>作为最大的新兴市场国家，中国对外直接投资近年来不断增长，金融危机以来，更显出井喷态势。</w:t>
      </w:r>
      <w:r w:rsidR="00286195" w:rsidRPr="00286195">
        <w:rPr>
          <w:rFonts w:ascii="Arial" w:eastAsia="宋体" w:hAnsi="Arial" w:hint="eastAsia"/>
          <w:szCs w:val="21"/>
        </w:rPr>
        <w:t>以企业为主的海外投资始于改革开放政策推出之后，经历了起步期（</w:t>
      </w:r>
      <w:r w:rsidR="00286195" w:rsidRPr="00286195">
        <w:rPr>
          <w:rFonts w:ascii="Arial" w:eastAsia="宋体" w:hAnsi="Arial" w:hint="eastAsia"/>
          <w:szCs w:val="21"/>
        </w:rPr>
        <w:t>1979</w:t>
      </w:r>
      <w:r w:rsidR="00286195" w:rsidRPr="00286195">
        <w:rPr>
          <w:rFonts w:ascii="Arial" w:eastAsia="宋体" w:hAnsi="Arial" w:hint="eastAsia"/>
          <w:szCs w:val="21"/>
        </w:rPr>
        <w:t>年至</w:t>
      </w:r>
      <w:r w:rsidR="00286195" w:rsidRPr="00286195">
        <w:rPr>
          <w:rFonts w:ascii="Arial" w:eastAsia="宋体" w:hAnsi="Arial" w:hint="eastAsia"/>
          <w:szCs w:val="21"/>
        </w:rPr>
        <w:t>1991</w:t>
      </w:r>
      <w:r w:rsidR="00286195" w:rsidRPr="00286195">
        <w:rPr>
          <w:rFonts w:ascii="Arial" w:eastAsia="宋体" w:hAnsi="Arial" w:hint="eastAsia"/>
          <w:szCs w:val="21"/>
        </w:rPr>
        <w:t>年）、加速发展期（</w:t>
      </w:r>
      <w:r w:rsidR="00286195" w:rsidRPr="00286195">
        <w:rPr>
          <w:rFonts w:ascii="Arial" w:eastAsia="宋体" w:hAnsi="Arial" w:hint="eastAsia"/>
          <w:szCs w:val="21"/>
        </w:rPr>
        <w:t>1992</w:t>
      </w:r>
      <w:r w:rsidR="00286195" w:rsidRPr="00286195">
        <w:rPr>
          <w:rFonts w:ascii="Arial" w:eastAsia="宋体" w:hAnsi="Arial" w:hint="eastAsia"/>
          <w:szCs w:val="21"/>
        </w:rPr>
        <w:t>年至</w:t>
      </w:r>
      <w:r w:rsidR="00286195" w:rsidRPr="00286195">
        <w:rPr>
          <w:rFonts w:ascii="Arial" w:eastAsia="宋体" w:hAnsi="Arial" w:hint="eastAsia"/>
          <w:szCs w:val="21"/>
        </w:rPr>
        <w:t>2000</w:t>
      </w:r>
      <w:r w:rsidR="00286195" w:rsidRPr="00286195">
        <w:rPr>
          <w:rFonts w:ascii="Arial" w:eastAsia="宋体" w:hAnsi="Arial" w:hint="eastAsia"/>
          <w:szCs w:val="21"/>
        </w:rPr>
        <w:t>年），全面铺开期（</w:t>
      </w:r>
      <w:r w:rsidR="00286195" w:rsidRPr="00286195">
        <w:rPr>
          <w:rFonts w:ascii="Arial" w:eastAsia="宋体" w:hAnsi="Arial" w:hint="eastAsia"/>
          <w:szCs w:val="21"/>
        </w:rPr>
        <w:t>2001</w:t>
      </w:r>
      <w:r w:rsidR="00286195" w:rsidRPr="00286195">
        <w:rPr>
          <w:rFonts w:ascii="Arial" w:eastAsia="宋体" w:hAnsi="Arial" w:hint="eastAsia"/>
          <w:szCs w:val="21"/>
        </w:rPr>
        <w:t>年至</w:t>
      </w:r>
      <w:r w:rsidR="00286195" w:rsidRPr="00286195">
        <w:rPr>
          <w:rFonts w:ascii="Arial" w:eastAsia="宋体" w:hAnsi="Arial" w:hint="eastAsia"/>
          <w:szCs w:val="21"/>
        </w:rPr>
        <w:t>2008</w:t>
      </w:r>
      <w:r w:rsidR="00286195" w:rsidRPr="00286195">
        <w:rPr>
          <w:rFonts w:ascii="Arial" w:eastAsia="宋体" w:hAnsi="Arial" w:hint="eastAsia"/>
          <w:szCs w:val="21"/>
        </w:rPr>
        <w:t>年）、精细化操作期（</w:t>
      </w:r>
      <w:r w:rsidR="00286195" w:rsidRPr="00286195">
        <w:rPr>
          <w:rFonts w:ascii="Arial" w:eastAsia="宋体" w:hAnsi="Arial" w:hint="eastAsia"/>
          <w:szCs w:val="21"/>
        </w:rPr>
        <w:t>2009</w:t>
      </w:r>
      <w:r w:rsidR="00286195" w:rsidRPr="00286195">
        <w:rPr>
          <w:rFonts w:ascii="Arial" w:eastAsia="宋体" w:hAnsi="Arial" w:hint="eastAsia"/>
          <w:szCs w:val="21"/>
        </w:rPr>
        <w:t>年至今）四个阶段。</w:t>
      </w:r>
    </w:p>
    <w:p w:rsidR="00DB713B" w:rsidRDefault="00DB713B" w:rsidP="00D759E9">
      <w:pPr>
        <w:spacing w:line="360" w:lineRule="exact"/>
        <w:ind w:firstLineChars="200" w:firstLine="420"/>
        <w:rPr>
          <w:rFonts w:ascii="Arial" w:eastAsia="宋体" w:hAnsi="Arial"/>
          <w:szCs w:val="21"/>
        </w:rPr>
      </w:pPr>
    </w:p>
    <w:p w:rsidR="00DB713B" w:rsidRPr="00DB713B" w:rsidRDefault="00D759E9" w:rsidP="00D759E9">
      <w:pPr>
        <w:spacing w:line="360" w:lineRule="exact"/>
        <w:ind w:firstLineChars="200" w:firstLine="420"/>
        <w:rPr>
          <w:rFonts w:ascii="Arial" w:eastAsia="宋体" w:hAnsi="Arial"/>
          <w:szCs w:val="21"/>
        </w:rPr>
      </w:pPr>
      <w:r>
        <w:rPr>
          <w:rFonts w:ascii="Arial" w:eastAsia="宋体" w:hAnsi="Arial" w:hint="eastAsia"/>
          <w:szCs w:val="21"/>
        </w:rPr>
        <w:t>自改革开放以来，</w:t>
      </w:r>
      <w:r w:rsidR="00DB713B" w:rsidRPr="00DB713B">
        <w:rPr>
          <w:rFonts w:ascii="Arial" w:eastAsia="宋体" w:hAnsi="Arial" w:hint="eastAsia"/>
          <w:szCs w:val="21"/>
        </w:rPr>
        <w:t>中国对外直接投资与宏观经济</w:t>
      </w:r>
      <w:r>
        <w:rPr>
          <w:rFonts w:ascii="Arial" w:eastAsia="宋体" w:hAnsi="Arial" w:hint="eastAsia"/>
          <w:szCs w:val="21"/>
        </w:rPr>
        <w:t>因素（国内生产总值、贸易总额、外汇储备、利率、汇率等）的相关性</w:t>
      </w:r>
      <w:r w:rsidR="00DB713B" w:rsidRPr="00DB713B">
        <w:rPr>
          <w:rFonts w:ascii="Arial" w:eastAsia="宋体" w:hAnsi="Arial" w:hint="eastAsia"/>
          <w:szCs w:val="21"/>
        </w:rPr>
        <w:t>逐渐增高。</w:t>
      </w:r>
      <w:r w:rsidR="00DB713B" w:rsidRPr="00DB713B">
        <w:rPr>
          <w:rFonts w:ascii="Arial" w:eastAsia="宋体" w:hAnsi="Arial" w:hint="eastAsia"/>
          <w:szCs w:val="21"/>
        </w:rPr>
        <w:t>1994</w:t>
      </w:r>
      <w:r w:rsidR="00DB713B" w:rsidRPr="00DB713B">
        <w:rPr>
          <w:rFonts w:ascii="Arial" w:eastAsia="宋体" w:hAnsi="Arial" w:hint="eastAsia"/>
          <w:szCs w:val="21"/>
        </w:rPr>
        <w:t>年人民币大幅贬值，标志着中国出口导向的经济转型开始，人民币兑美元汇率长期维持在低水平，以刺激出口，同时吸引外资。自</w:t>
      </w:r>
      <w:r w:rsidR="00DB713B" w:rsidRPr="00DB713B">
        <w:rPr>
          <w:rFonts w:ascii="Arial" w:eastAsia="宋体" w:hAnsi="Arial" w:hint="eastAsia"/>
          <w:szCs w:val="21"/>
        </w:rPr>
        <w:t>2005</w:t>
      </w:r>
      <w:r w:rsidR="00DB713B" w:rsidRPr="00DB713B">
        <w:rPr>
          <w:rFonts w:ascii="Arial" w:eastAsia="宋体" w:hAnsi="Arial" w:hint="eastAsia"/>
          <w:szCs w:val="21"/>
        </w:rPr>
        <w:t>年开始，人民币汇率制度改革启动，人民币开始以较稳定的速率升值，收购、投资海外资产相对便宜，与之相伴的是中国对外投资大幅增加。截至</w:t>
      </w:r>
      <w:r w:rsidR="00DB713B" w:rsidRPr="00DB713B">
        <w:rPr>
          <w:rFonts w:ascii="Arial" w:eastAsia="宋体" w:hAnsi="Arial" w:hint="eastAsia"/>
          <w:szCs w:val="21"/>
        </w:rPr>
        <w:t>2012</w:t>
      </w:r>
      <w:r w:rsidR="00DB713B" w:rsidRPr="00DB713B">
        <w:rPr>
          <w:rFonts w:ascii="Arial" w:eastAsia="宋体" w:hAnsi="Arial" w:hint="eastAsia"/>
          <w:szCs w:val="21"/>
        </w:rPr>
        <w:t>年底，中国对外直接投资净值达到</w:t>
      </w:r>
      <w:r w:rsidR="00DB713B" w:rsidRPr="00DB713B">
        <w:rPr>
          <w:rFonts w:ascii="Arial" w:eastAsia="宋体" w:hAnsi="Arial" w:hint="eastAsia"/>
          <w:szCs w:val="21"/>
        </w:rPr>
        <w:t>878.04</w:t>
      </w:r>
      <w:r w:rsidR="00DB713B" w:rsidRPr="00DB713B">
        <w:rPr>
          <w:rFonts w:ascii="Arial" w:eastAsia="宋体" w:hAnsi="Arial" w:hint="eastAsia"/>
          <w:szCs w:val="21"/>
        </w:rPr>
        <w:t>亿美元，而人民币兑美元汇率由上年的</w:t>
      </w:r>
      <w:r w:rsidR="00DB713B" w:rsidRPr="00DB713B">
        <w:rPr>
          <w:rFonts w:ascii="Arial" w:eastAsia="宋体" w:hAnsi="Arial" w:hint="eastAsia"/>
          <w:szCs w:val="21"/>
        </w:rPr>
        <w:t>6.46</w:t>
      </w:r>
      <w:r w:rsidR="00DB713B" w:rsidRPr="00DB713B">
        <w:rPr>
          <w:rFonts w:ascii="Arial" w:eastAsia="宋体" w:hAnsi="Arial" w:hint="eastAsia"/>
          <w:szCs w:val="21"/>
        </w:rPr>
        <w:t>降至</w:t>
      </w:r>
      <w:r w:rsidR="00DB713B" w:rsidRPr="00DB713B">
        <w:rPr>
          <w:rFonts w:ascii="Arial" w:eastAsia="宋体" w:hAnsi="Arial" w:hint="eastAsia"/>
          <w:szCs w:val="21"/>
        </w:rPr>
        <w:t>6.31</w:t>
      </w:r>
      <w:r w:rsidR="00DB713B" w:rsidRPr="00DB713B">
        <w:rPr>
          <w:rFonts w:ascii="Arial" w:eastAsia="宋体" w:hAnsi="Arial" w:hint="eastAsia"/>
          <w:szCs w:val="21"/>
        </w:rPr>
        <w:t>。</w:t>
      </w:r>
    </w:p>
    <w:p w:rsidR="00DB713B" w:rsidRPr="00DB713B" w:rsidRDefault="00DB713B" w:rsidP="00D759E9">
      <w:pPr>
        <w:spacing w:line="360" w:lineRule="exact"/>
        <w:ind w:firstLineChars="200" w:firstLine="420"/>
        <w:rPr>
          <w:rFonts w:ascii="Arial" w:eastAsia="宋体" w:hAnsi="Arial"/>
          <w:szCs w:val="21"/>
        </w:rPr>
      </w:pPr>
    </w:p>
    <w:p w:rsidR="00DB713B" w:rsidRPr="006477F8" w:rsidRDefault="00DB713B" w:rsidP="00DB713B">
      <w:pPr>
        <w:rPr>
          <w:rFonts w:ascii="Arial" w:hAnsi="Arial"/>
          <w:b/>
          <w:sz w:val="18"/>
        </w:rPr>
      </w:pPr>
      <w:r w:rsidRPr="006477F8">
        <w:rPr>
          <w:rFonts w:ascii="Arial" w:eastAsia="宋体" w:hAnsi="Arial" w:hint="eastAsia"/>
          <w:b/>
          <w:sz w:val="18"/>
        </w:rPr>
        <w:t>图</w:t>
      </w:r>
      <w:r w:rsidRPr="006477F8">
        <w:rPr>
          <w:rFonts w:ascii="Arial" w:eastAsia="宋体" w:hAnsi="Arial"/>
          <w:b/>
          <w:sz w:val="18"/>
        </w:rPr>
        <w:t>2007</w:t>
      </w:r>
      <w:r w:rsidRPr="006477F8">
        <w:rPr>
          <w:rFonts w:ascii="Arial" w:eastAsia="宋体" w:hAnsi="Arial" w:hint="eastAsia"/>
          <w:b/>
          <w:sz w:val="18"/>
        </w:rPr>
        <w:t>年</w:t>
      </w:r>
      <w:r w:rsidRPr="006477F8">
        <w:rPr>
          <w:rFonts w:ascii="Arial" w:eastAsia="宋体" w:hAnsi="Arial"/>
          <w:b/>
          <w:sz w:val="18"/>
        </w:rPr>
        <w:t>-2012</w:t>
      </w:r>
      <w:r w:rsidRPr="006477F8">
        <w:rPr>
          <w:rFonts w:ascii="Arial" w:eastAsia="宋体" w:hAnsi="Arial" w:hint="eastAsia"/>
          <w:b/>
          <w:sz w:val="18"/>
        </w:rPr>
        <w:t>年中国汇率变动与对外直接投资净值比较</w:t>
      </w:r>
    </w:p>
    <w:p w:rsidR="00DB713B" w:rsidRPr="006477F8" w:rsidRDefault="00DB713B" w:rsidP="00DB713B">
      <w:pPr>
        <w:pStyle w:val="a3"/>
        <w:rPr>
          <w:rFonts w:ascii="Arial" w:hAnsi="Arial"/>
        </w:rPr>
      </w:pPr>
      <w:r w:rsidRPr="006477F8">
        <w:rPr>
          <w:rFonts w:ascii="Arial" w:hAnsi="Arial"/>
          <w:noProof/>
        </w:rPr>
        <w:lastRenderedPageBreak/>
        <w:drawing>
          <wp:inline distT="0" distB="0" distL="0" distR="0">
            <wp:extent cx="4791600" cy="3582000"/>
            <wp:effectExtent l="19050" t="0" r="28050" b="0"/>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B713B" w:rsidRPr="00B046FA" w:rsidRDefault="00DB713B" w:rsidP="00DF107C">
      <w:pPr>
        <w:spacing w:line="360" w:lineRule="exact"/>
        <w:ind w:firstLineChars="200" w:firstLine="420"/>
        <w:rPr>
          <w:rFonts w:ascii="Arial" w:eastAsia="宋体" w:hAnsi="Arial"/>
          <w:szCs w:val="21"/>
        </w:rPr>
      </w:pPr>
    </w:p>
    <w:p w:rsidR="00B046FA" w:rsidRPr="00DF107C" w:rsidRDefault="00FB735C" w:rsidP="00DF107C">
      <w:pPr>
        <w:spacing w:line="360" w:lineRule="exact"/>
        <w:ind w:firstLineChars="200" w:firstLine="422"/>
        <w:rPr>
          <w:rFonts w:ascii="Arial" w:eastAsia="宋体" w:hAnsi="Arial"/>
          <w:b/>
          <w:szCs w:val="21"/>
        </w:rPr>
      </w:pPr>
      <w:r w:rsidRPr="00DF107C">
        <w:rPr>
          <w:rFonts w:ascii="Arial" w:eastAsia="宋体" w:hAnsi="Arial" w:hint="eastAsia"/>
          <w:b/>
          <w:szCs w:val="21"/>
        </w:rPr>
        <w:t>投资政策：</w:t>
      </w:r>
      <w:r w:rsidR="00DF107C">
        <w:rPr>
          <w:rFonts w:ascii="Arial" w:eastAsia="宋体" w:hAnsi="Arial" w:hint="eastAsia"/>
          <w:b/>
          <w:szCs w:val="21"/>
        </w:rPr>
        <w:t>审核标准逐步放宽</w:t>
      </w:r>
      <w:r w:rsidR="006148E2">
        <w:rPr>
          <w:rFonts w:ascii="Arial" w:eastAsia="宋体" w:hAnsi="Arial" w:hint="eastAsia"/>
          <w:b/>
          <w:szCs w:val="21"/>
        </w:rPr>
        <w:t>，</w:t>
      </w:r>
      <w:r w:rsidR="00DF107C">
        <w:rPr>
          <w:rFonts w:ascii="Arial" w:eastAsia="宋体" w:hAnsi="Arial" w:hint="eastAsia"/>
          <w:b/>
          <w:szCs w:val="21"/>
        </w:rPr>
        <w:t>商务部新</w:t>
      </w:r>
      <w:proofErr w:type="gramStart"/>
      <w:r w:rsidR="00DF107C">
        <w:rPr>
          <w:rFonts w:ascii="Arial" w:eastAsia="宋体" w:hAnsi="Arial" w:hint="eastAsia"/>
          <w:b/>
          <w:szCs w:val="21"/>
        </w:rPr>
        <w:t>规</w:t>
      </w:r>
      <w:proofErr w:type="gramEnd"/>
      <w:r w:rsidR="00DF107C">
        <w:rPr>
          <w:rFonts w:ascii="Arial" w:eastAsia="宋体" w:hAnsi="Arial" w:hint="eastAsia"/>
          <w:b/>
          <w:szCs w:val="21"/>
        </w:rPr>
        <w:t>明确</w:t>
      </w:r>
      <w:r w:rsidR="00DF107C" w:rsidRPr="00DF107C">
        <w:rPr>
          <w:rFonts w:ascii="Arial" w:eastAsia="宋体" w:hAnsi="Arial" w:hint="eastAsia"/>
          <w:b/>
          <w:szCs w:val="21"/>
        </w:rPr>
        <w:t>“备案为主、核准为辅”</w:t>
      </w:r>
    </w:p>
    <w:p w:rsidR="00B046FA" w:rsidRPr="00B046FA" w:rsidRDefault="00B046FA" w:rsidP="00DF107C">
      <w:pPr>
        <w:spacing w:line="360" w:lineRule="exact"/>
        <w:ind w:firstLineChars="200" w:firstLine="420"/>
        <w:rPr>
          <w:rFonts w:ascii="Arial" w:eastAsia="宋体" w:hAnsi="Arial"/>
          <w:szCs w:val="21"/>
        </w:rPr>
      </w:pPr>
    </w:p>
    <w:p w:rsidR="008A5353" w:rsidRPr="00B046FA" w:rsidRDefault="008A5353" w:rsidP="00DF107C">
      <w:pPr>
        <w:spacing w:line="360" w:lineRule="exact"/>
        <w:ind w:firstLineChars="200" w:firstLine="420"/>
        <w:rPr>
          <w:rFonts w:ascii="Arial" w:eastAsia="宋体" w:hAnsi="Arial"/>
          <w:szCs w:val="21"/>
        </w:rPr>
      </w:pPr>
      <w:r w:rsidRPr="00B046FA">
        <w:rPr>
          <w:rFonts w:ascii="Arial" w:eastAsia="宋体" w:hAnsi="Arial" w:hint="eastAsia"/>
          <w:szCs w:val="21"/>
        </w:rPr>
        <w:t>中国对外直接投资的规模、范围在很大程度上是由中国对外直接投资政策体系所决定的。回顾中国改革开放</w:t>
      </w:r>
      <w:r w:rsidRPr="00B046FA">
        <w:rPr>
          <w:rFonts w:ascii="Arial" w:eastAsia="宋体" w:hAnsi="Arial" w:hint="eastAsia"/>
          <w:szCs w:val="21"/>
        </w:rPr>
        <w:t>35</w:t>
      </w:r>
      <w:r w:rsidRPr="00B046FA">
        <w:rPr>
          <w:rFonts w:ascii="Arial" w:eastAsia="宋体" w:hAnsi="Arial" w:hint="eastAsia"/>
          <w:szCs w:val="21"/>
        </w:rPr>
        <w:t>年来的历程，政府对企业海外投资的审核标准在逐步放宽，这个形成过程大致经历三个阶段：</w:t>
      </w:r>
    </w:p>
    <w:p w:rsidR="00B046FA" w:rsidRPr="00B046FA" w:rsidRDefault="00B046FA" w:rsidP="00DF107C">
      <w:pPr>
        <w:spacing w:line="360" w:lineRule="exact"/>
        <w:ind w:firstLineChars="200" w:firstLine="420"/>
        <w:rPr>
          <w:rFonts w:ascii="Arial" w:eastAsia="宋体" w:hAnsi="Arial"/>
          <w:szCs w:val="21"/>
        </w:rPr>
      </w:pPr>
    </w:p>
    <w:p w:rsidR="00B046FA" w:rsidRPr="00B046FA" w:rsidRDefault="00B046FA" w:rsidP="00DF107C">
      <w:pPr>
        <w:spacing w:line="360" w:lineRule="exact"/>
        <w:ind w:firstLineChars="200" w:firstLine="422"/>
        <w:rPr>
          <w:rFonts w:ascii="Arial" w:eastAsia="宋体" w:hAnsi="Arial"/>
          <w:szCs w:val="21"/>
        </w:rPr>
      </w:pPr>
      <w:r w:rsidRPr="00B046FA">
        <w:rPr>
          <w:rFonts w:ascii="Arial" w:eastAsia="宋体" w:hAnsi="Arial" w:hint="eastAsia"/>
          <w:b/>
          <w:szCs w:val="21"/>
        </w:rPr>
        <w:t>第一阶段（</w:t>
      </w:r>
      <w:r w:rsidRPr="00B046FA">
        <w:rPr>
          <w:rFonts w:ascii="Arial" w:eastAsia="宋体" w:hAnsi="Arial" w:hint="eastAsia"/>
          <w:b/>
          <w:szCs w:val="21"/>
        </w:rPr>
        <w:t>1979</w:t>
      </w:r>
      <w:r w:rsidRPr="00B046FA">
        <w:rPr>
          <w:rFonts w:ascii="Arial" w:eastAsia="宋体" w:hAnsi="Arial" w:hint="eastAsia"/>
          <w:b/>
          <w:szCs w:val="21"/>
        </w:rPr>
        <w:t>年至</w:t>
      </w:r>
      <w:r w:rsidR="001A6D7C">
        <w:rPr>
          <w:rFonts w:ascii="Arial" w:eastAsia="宋体" w:hAnsi="Arial" w:hint="eastAsia"/>
          <w:b/>
          <w:szCs w:val="21"/>
        </w:rPr>
        <w:t>20</w:t>
      </w:r>
      <w:r w:rsidRPr="00B046FA">
        <w:rPr>
          <w:rFonts w:ascii="Arial" w:eastAsia="宋体" w:hAnsi="Arial" w:hint="eastAsia"/>
          <w:b/>
          <w:szCs w:val="21"/>
        </w:rPr>
        <w:t>世纪</w:t>
      </w:r>
      <w:r w:rsidRPr="00B046FA">
        <w:rPr>
          <w:rFonts w:ascii="Arial" w:eastAsia="宋体" w:hAnsi="Arial" w:hint="eastAsia"/>
          <w:b/>
          <w:szCs w:val="21"/>
        </w:rPr>
        <w:t>90</w:t>
      </w:r>
      <w:r w:rsidRPr="00B046FA">
        <w:rPr>
          <w:rFonts w:ascii="Arial" w:eastAsia="宋体" w:hAnsi="Arial" w:hint="eastAsia"/>
          <w:b/>
          <w:szCs w:val="21"/>
        </w:rPr>
        <w:t>年代初）</w:t>
      </w:r>
      <w:r w:rsidRPr="00B046FA">
        <w:rPr>
          <w:rFonts w:ascii="Arial" w:eastAsia="宋体" w:hAnsi="Arial" w:hint="eastAsia"/>
          <w:szCs w:val="21"/>
        </w:rPr>
        <w:t>：该阶段对外直接投资政策体系的基本指导思想是限制中国企业的海外投资。</w:t>
      </w:r>
      <w:r w:rsidRPr="00B046FA">
        <w:rPr>
          <w:rFonts w:ascii="Arial" w:eastAsia="宋体" w:hAnsi="Arial" w:hint="eastAsia"/>
          <w:szCs w:val="21"/>
        </w:rPr>
        <w:t>1991</w:t>
      </w:r>
      <w:r w:rsidRPr="00B046FA">
        <w:rPr>
          <w:rFonts w:ascii="Arial" w:eastAsia="宋体" w:hAnsi="Arial" w:hint="eastAsia"/>
          <w:szCs w:val="21"/>
        </w:rPr>
        <w:t>年国家计委向国务院递交了《关于加强海外投资项目管理意见》，指出“中国尚不具备大规模到海外投资的条件”，企业的海外投资应该“侧重于利用国外的技术、资源和市场以补充国内不足”，并在此后</w:t>
      </w:r>
      <w:r w:rsidRPr="00B046FA">
        <w:rPr>
          <w:rFonts w:ascii="Arial" w:eastAsia="宋体" w:hAnsi="Arial" w:hint="eastAsia"/>
          <w:szCs w:val="21"/>
        </w:rPr>
        <w:t>10</w:t>
      </w:r>
      <w:r w:rsidRPr="00B046FA">
        <w:rPr>
          <w:rFonts w:ascii="Arial" w:eastAsia="宋体" w:hAnsi="Arial" w:hint="eastAsia"/>
          <w:szCs w:val="21"/>
        </w:rPr>
        <w:t>多年的时间内，成为对中国境外投资影响最大的政策法规。这一政策体系严重制约了中国对外直接投资的规模和数量。</w:t>
      </w:r>
    </w:p>
    <w:p w:rsidR="00B046FA" w:rsidRPr="00B046FA" w:rsidRDefault="00B046FA" w:rsidP="00DF107C">
      <w:pPr>
        <w:spacing w:line="360" w:lineRule="exact"/>
        <w:ind w:firstLineChars="200" w:firstLine="420"/>
        <w:rPr>
          <w:rFonts w:ascii="Arial" w:eastAsia="宋体" w:hAnsi="Arial"/>
          <w:szCs w:val="21"/>
        </w:rPr>
      </w:pPr>
    </w:p>
    <w:p w:rsidR="00B046FA" w:rsidRPr="00B046FA" w:rsidRDefault="00B046FA" w:rsidP="00DF107C">
      <w:pPr>
        <w:spacing w:line="360" w:lineRule="exact"/>
        <w:ind w:firstLineChars="200" w:firstLine="422"/>
        <w:rPr>
          <w:rFonts w:ascii="Arial" w:eastAsia="宋体" w:hAnsi="Arial"/>
          <w:szCs w:val="21"/>
        </w:rPr>
      </w:pPr>
      <w:r w:rsidRPr="00B046FA">
        <w:rPr>
          <w:rFonts w:ascii="Arial" w:eastAsia="宋体" w:hAnsi="Arial" w:hint="eastAsia"/>
          <w:b/>
          <w:szCs w:val="21"/>
        </w:rPr>
        <w:t>第二阶段（</w:t>
      </w:r>
      <w:r w:rsidRPr="00B046FA">
        <w:rPr>
          <w:rFonts w:ascii="Arial" w:eastAsia="宋体" w:hAnsi="Arial" w:hint="eastAsia"/>
          <w:b/>
          <w:szCs w:val="21"/>
        </w:rPr>
        <w:t>2000</w:t>
      </w:r>
      <w:r w:rsidRPr="00B046FA">
        <w:rPr>
          <w:rFonts w:ascii="Arial" w:eastAsia="宋体" w:hAnsi="Arial" w:hint="eastAsia"/>
          <w:b/>
          <w:szCs w:val="21"/>
        </w:rPr>
        <w:t>年至</w:t>
      </w:r>
      <w:r w:rsidRPr="00B046FA">
        <w:rPr>
          <w:rFonts w:ascii="Arial" w:eastAsia="宋体" w:hAnsi="Arial" w:hint="eastAsia"/>
          <w:b/>
          <w:szCs w:val="21"/>
        </w:rPr>
        <w:t>2008</w:t>
      </w:r>
      <w:r w:rsidRPr="00B046FA">
        <w:rPr>
          <w:rFonts w:ascii="Arial" w:eastAsia="宋体" w:hAnsi="Arial" w:hint="eastAsia"/>
          <w:b/>
          <w:szCs w:val="21"/>
        </w:rPr>
        <w:t>年）：</w:t>
      </w:r>
      <w:r w:rsidR="00596415">
        <w:rPr>
          <w:rFonts w:ascii="Arial" w:eastAsia="宋体" w:hAnsi="Arial" w:hint="eastAsia"/>
          <w:szCs w:val="21"/>
        </w:rPr>
        <w:t>该阶段</w:t>
      </w:r>
      <w:r w:rsidRPr="00B046FA">
        <w:rPr>
          <w:rFonts w:ascii="Arial" w:eastAsia="宋体" w:hAnsi="Arial" w:hint="eastAsia"/>
          <w:szCs w:val="21"/>
        </w:rPr>
        <w:t>中国对外投资政策体系逐渐形成和完善。</w:t>
      </w:r>
      <w:r w:rsidRPr="00B046FA">
        <w:rPr>
          <w:rFonts w:ascii="Arial" w:eastAsia="宋体" w:hAnsi="Arial" w:hint="eastAsia"/>
          <w:szCs w:val="21"/>
        </w:rPr>
        <w:t>2000</w:t>
      </w:r>
      <w:r w:rsidRPr="00B046FA">
        <w:rPr>
          <w:rFonts w:ascii="Arial" w:eastAsia="宋体" w:hAnsi="Arial" w:hint="eastAsia"/>
          <w:szCs w:val="21"/>
        </w:rPr>
        <w:t>年</w:t>
      </w:r>
      <w:r w:rsidRPr="00B046FA">
        <w:rPr>
          <w:rFonts w:ascii="Arial" w:eastAsia="宋体" w:hAnsi="Arial" w:hint="eastAsia"/>
          <w:szCs w:val="21"/>
        </w:rPr>
        <w:t>l0</w:t>
      </w:r>
      <w:r w:rsidRPr="00B046FA">
        <w:rPr>
          <w:rFonts w:ascii="Arial" w:eastAsia="宋体" w:hAnsi="Arial" w:hint="eastAsia"/>
          <w:szCs w:val="21"/>
        </w:rPr>
        <w:t>月，中国“十五”规划《建议》中，首次提出实施“先出去”战略，对外开放战略出现重大转变，对企业对外投资由以往的限制转为鼓励。在中国“走出去”战略背景下，中国相继出台了一系列针对对外投资的政策，为支持中国企业对外投资提供了较为完备的制度环境。</w:t>
      </w:r>
      <w:r w:rsidRPr="00B046FA">
        <w:rPr>
          <w:rFonts w:ascii="Arial" w:eastAsia="宋体" w:hAnsi="Arial" w:hint="eastAsia"/>
          <w:szCs w:val="21"/>
        </w:rPr>
        <w:t>2004</w:t>
      </w:r>
      <w:r w:rsidRPr="00B046FA">
        <w:rPr>
          <w:rFonts w:ascii="Arial" w:eastAsia="宋体" w:hAnsi="Arial" w:hint="eastAsia"/>
          <w:szCs w:val="21"/>
        </w:rPr>
        <w:t>年</w:t>
      </w:r>
      <w:r w:rsidRPr="00B046FA">
        <w:rPr>
          <w:rFonts w:ascii="Arial" w:eastAsia="宋体" w:hAnsi="Arial" w:hint="eastAsia"/>
          <w:szCs w:val="21"/>
        </w:rPr>
        <w:t>10</w:t>
      </w:r>
      <w:r w:rsidRPr="00B046FA">
        <w:rPr>
          <w:rFonts w:ascii="Arial" w:eastAsia="宋体" w:hAnsi="Arial" w:hint="eastAsia"/>
          <w:szCs w:val="21"/>
        </w:rPr>
        <w:t>月，国家发展和改革委员会颁布了《境外投资项目核准暂行管理办法》提出了国家在境外投资方面基本操作模式，取消了政府境外投资的审批权，取而代之的是核准权；放宽了各级审批权限；明确了政府在企业境外投资问题上主要发挥引导、服务和支持作用，企业对境外投资的经济效益无需征求政府意见，具有自主权。同期，商务部也出台了《关于境外投资开办企业核准事项的规定》，在境外投资的审核上，大大放宽了标准。</w:t>
      </w:r>
    </w:p>
    <w:p w:rsidR="00B046FA" w:rsidRPr="00B046FA" w:rsidRDefault="00B046FA" w:rsidP="00DF107C">
      <w:pPr>
        <w:spacing w:line="360" w:lineRule="exact"/>
        <w:ind w:firstLine="200"/>
        <w:rPr>
          <w:rFonts w:ascii="Arial" w:eastAsia="宋体" w:hAnsi="Arial"/>
          <w:szCs w:val="21"/>
        </w:rPr>
      </w:pPr>
    </w:p>
    <w:p w:rsidR="00B046FA" w:rsidRPr="00B046FA" w:rsidRDefault="00B046FA" w:rsidP="00DF107C">
      <w:pPr>
        <w:spacing w:line="360" w:lineRule="exact"/>
        <w:ind w:firstLineChars="200" w:firstLine="422"/>
        <w:rPr>
          <w:rFonts w:ascii="Arial" w:eastAsia="宋体" w:hAnsi="Arial"/>
          <w:szCs w:val="21"/>
        </w:rPr>
      </w:pPr>
      <w:r w:rsidRPr="00B046FA">
        <w:rPr>
          <w:rFonts w:ascii="Arial" w:eastAsia="宋体" w:hAnsi="Arial" w:hint="eastAsia"/>
          <w:b/>
          <w:szCs w:val="21"/>
        </w:rPr>
        <w:t>第三阶段（</w:t>
      </w:r>
      <w:r w:rsidRPr="00B046FA">
        <w:rPr>
          <w:rFonts w:ascii="Arial" w:eastAsia="宋体" w:hAnsi="Arial" w:hint="eastAsia"/>
          <w:b/>
          <w:szCs w:val="21"/>
        </w:rPr>
        <w:t>2009</w:t>
      </w:r>
      <w:r w:rsidRPr="00B046FA">
        <w:rPr>
          <w:rFonts w:ascii="Arial" w:eastAsia="宋体" w:hAnsi="Arial" w:hint="eastAsia"/>
          <w:b/>
          <w:szCs w:val="21"/>
        </w:rPr>
        <w:t>年至今）：</w:t>
      </w:r>
      <w:r w:rsidRPr="00B046FA">
        <w:rPr>
          <w:rFonts w:ascii="Arial" w:eastAsia="宋体" w:hAnsi="Arial" w:hint="eastAsia"/>
          <w:szCs w:val="21"/>
        </w:rPr>
        <w:t>“走出去”战略真正开始形成规模，投资权由中央政府转移至企业和地方。</w:t>
      </w:r>
      <w:r w:rsidRPr="00B046FA">
        <w:rPr>
          <w:rFonts w:ascii="Arial" w:eastAsia="宋体" w:hAnsi="Arial" w:hint="eastAsia"/>
          <w:szCs w:val="21"/>
        </w:rPr>
        <w:lastRenderedPageBreak/>
        <w:t>2009</w:t>
      </w:r>
      <w:r w:rsidRPr="00B046FA">
        <w:rPr>
          <w:rFonts w:ascii="Arial" w:eastAsia="宋体" w:hAnsi="Arial" w:hint="eastAsia"/>
          <w:szCs w:val="21"/>
        </w:rPr>
        <w:t>年商务部发布《境外投资管理办法》（商务部令</w:t>
      </w:r>
      <w:r w:rsidRPr="00B046FA">
        <w:rPr>
          <w:rFonts w:ascii="Arial" w:eastAsia="宋体" w:hAnsi="Arial" w:hint="eastAsia"/>
          <w:szCs w:val="21"/>
        </w:rPr>
        <w:t>2009</w:t>
      </w:r>
      <w:r w:rsidRPr="00B046FA">
        <w:rPr>
          <w:rFonts w:ascii="Arial" w:eastAsia="宋体" w:hAnsi="Arial" w:hint="eastAsia"/>
          <w:szCs w:val="21"/>
        </w:rPr>
        <w:t>年第</w:t>
      </w:r>
      <w:r w:rsidRPr="00B046FA">
        <w:rPr>
          <w:rFonts w:ascii="Arial" w:eastAsia="宋体" w:hAnsi="Arial" w:hint="eastAsia"/>
          <w:szCs w:val="21"/>
        </w:rPr>
        <w:t>5</w:t>
      </w:r>
      <w:r w:rsidRPr="00B046FA">
        <w:rPr>
          <w:rFonts w:ascii="Arial" w:eastAsia="宋体" w:hAnsi="Arial" w:hint="eastAsia"/>
          <w:szCs w:val="21"/>
        </w:rPr>
        <w:t>号），简化了审批手续，下放了核准权限，绝大部分境外投资事项由省级商务部门核准。截至</w:t>
      </w:r>
      <w:r w:rsidRPr="00B046FA">
        <w:rPr>
          <w:rFonts w:ascii="Arial" w:eastAsia="宋体" w:hAnsi="Arial" w:hint="eastAsia"/>
          <w:szCs w:val="21"/>
        </w:rPr>
        <w:t>2014</w:t>
      </w:r>
      <w:r w:rsidRPr="00B046FA">
        <w:rPr>
          <w:rFonts w:ascii="Arial" w:eastAsia="宋体" w:hAnsi="Arial" w:hint="eastAsia"/>
          <w:szCs w:val="21"/>
        </w:rPr>
        <w:t>年</w:t>
      </w:r>
      <w:r w:rsidRPr="00B046FA">
        <w:rPr>
          <w:rFonts w:ascii="Arial" w:eastAsia="宋体" w:hAnsi="Arial" w:hint="eastAsia"/>
          <w:szCs w:val="21"/>
        </w:rPr>
        <w:t>9</w:t>
      </w:r>
      <w:r w:rsidRPr="00B046FA">
        <w:rPr>
          <w:rFonts w:ascii="Arial" w:eastAsia="宋体" w:hAnsi="Arial" w:hint="eastAsia"/>
          <w:szCs w:val="21"/>
        </w:rPr>
        <w:t>月</w:t>
      </w:r>
      <w:r w:rsidRPr="00B046FA">
        <w:rPr>
          <w:rFonts w:ascii="Arial" w:eastAsia="宋体" w:hAnsi="Arial" w:hint="eastAsia"/>
          <w:szCs w:val="21"/>
        </w:rPr>
        <w:t>6</w:t>
      </w:r>
      <w:r w:rsidRPr="00B046FA">
        <w:rPr>
          <w:rFonts w:ascii="Arial" w:eastAsia="宋体" w:hAnsi="Arial" w:hint="eastAsia"/>
          <w:szCs w:val="21"/>
        </w:rPr>
        <w:t>日，商务部发布《境外投资管理办法》（商务部令</w:t>
      </w:r>
      <w:r w:rsidRPr="00B046FA">
        <w:rPr>
          <w:rFonts w:ascii="Arial" w:eastAsia="宋体" w:hAnsi="Arial" w:hint="eastAsia"/>
          <w:szCs w:val="21"/>
        </w:rPr>
        <w:t>2014</w:t>
      </w:r>
      <w:r w:rsidRPr="00B046FA">
        <w:rPr>
          <w:rFonts w:ascii="Arial" w:eastAsia="宋体" w:hAnsi="Arial" w:hint="eastAsia"/>
          <w:szCs w:val="21"/>
        </w:rPr>
        <w:t>年第</w:t>
      </w:r>
      <w:r w:rsidRPr="00B046FA">
        <w:rPr>
          <w:rFonts w:ascii="Arial" w:eastAsia="宋体" w:hAnsi="Arial" w:hint="eastAsia"/>
          <w:szCs w:val="21"/>
        </w:rPr>
        <w:t>3</w:t>
      </w:r>
      <w:r w:rsidRPr="00B046FA">
        <w:rPr>
          <w:rFonts w:ascii="Arial" w:eastAsia="宋体" w:hAnsi="Arial" w:hint="eastAsia"/>
          <w:szCs w:val="21"/>
        </w:rPr>
        <w:t>号），自</w:t>
      </w:r>
      <w:r w:rsidRPr="00B046FA">
        <w:rPr>
          <w:rFonts w:ascii="Arial" w:eastAsia="宋体" w:hAnsi="Arial" w:hint="eastAsia"/>
          <w:szCs w:val="21"/>
        </w:rPr>
        <w:t>2014</w:t>
      </w:r>
      <w:r w:rsidRPr="00B046FA">
        <w:rPr>
          <w:rFonts w:ascii="Arial" w:eastAsia="宋体" w:hAnsi="Arial" w:hint="eastAsia"/>
          <w:szCs w:val="21"/>
        </w:rPr>
        <w:t>年</w:t>
      </w:r>
      <w:r w:rsidRPr="00B046FA">
        <w:rPr>
          <w:rFonts w:ascii="Arial" w:eastAsia="宋体" w:hAnsi="Arial" w:hint="eastAsia"/>
          <w:szCs w:val="21"/>
        </w:rPr>
        <w:t>10</w:t>
      </w:r>
      <w:r w:rsidRPr="00B046FA">
        <w:rPr>
          <w:rFonts w:ascii="Arial" w:eastAsia="宋体" w:hAnsi="Arial" w:hint="eastAsia"/>
          <w:szCs w:val="21"/>
        </w:rPr>
        <w:t>月</w:t>
      </w:r>
      <w:r w:rsidRPr="00B046FA">
        <w:rPr>
          <w:rFonts w:ascii="Arial" w:eastAsia="宋体" w:hAnsi="Arial" w:hint="eastAsia"/>
          <w:szCs w:val="21"/>
        </w:rPr>
        <w:t>6</w:t>
      </w:r>
      <w:r w:rsidRPr="00B046FA">
        <w:rPr>
          <w:rFonts w:ascii="Arial" w:eastAsia="宋体" w:hAnsi="Arial" w:hint="eastAsia"/>
          <w:szCs w:val="21"/>
        </w:rPr>
        <w:t>日起施行，商务部令</w:t>
      </w:r>
      <w:r w:rsidRPr="00B046FA">
        <w:rPr>
          <w:rFonts w:ascii="Arial" w:eastAsia="宋体" w:hAnsi="Arial" w:hint="eastAsia"/>
          <w:szCs w:val="21"/>
        </w:rPr>
        <w:t>2009</w:t>
      </w:r>
      <w:r w:rsidRPr="00B046FA">
        <w:rPr>
          <w:rFonts w:ascii="Arial" w:eastAsia="宋体" w:hAnsi="Arial" w:hint="eastAsia"/>
          <w:szCs w:val="21"/>
        </w:rPr>
        <w:t>年第</w:t>
      </w:r>
      <w:r w:rsidRPr="00B046FA">
        <w:rPr>
          <w:rFonts w:ascii="Arial" w:eastAsia="宋体" w:hAnsi="Arial" w:hint="eastAsia"/>
          <w:szCs w:val="21"/>
        </w:rPr>
        <w:t>5</w:t>
      </w:r>
      <w:r w:rsidRPr="00B046FA">
        <w:rPr>
          <w:rFonts w:ascii="Arial" w:eastAsia="宋体" w:hAnsi="Arial" w:hint="eastAsia"/>
          <w:szCs w:val="21"/>
        </w:rPr>
        <w:t>号同时废止。新颁布的《管理办法》明确了“企业开展境外投资，依法自主决策、自负盈亏”的原则，采用了“备案为主、核准为辅”的管理模式，提出对我国企业在敏感国家和地区、敏感行业的投资实行核准管理，其余均实行备案。《管理办法》明确界定了核准管理的范围，实行核准管理的国家是指与中华人民共和国未建交的国家、受联合国制裁的国家。实行核准管理的行业是指涉及出口中华人民共和国限制出口的产品和技术的行业、影响一国（地区）以上利益的行业。综合国务院和各部门出台的规定，中方投资额</w:t>
      </w:r>
      <w:r w:rsidRPr="00B046FA">
        <w:rPr>
          <w:rFonts w:ascii="Arial" w:eastAsia="宋体" w:hAnsi="Arial" w:hint="eastAsia"/>
          <w:szCs w:val="21"/>
        </w:rPr>
        <w:t>3.00</w:t>
      </w:r>
      <w:r w:rsidRPr="00B046FA">
        <w:rPr>
          <w:rFonts w:ascii="Arial" w:eastAsia="宋体" w:hAnsi="Arial" w:hint="eastAsia"/>
          <w:szCs w:val="21"/>
        </w:rPr>
        <w:t>亿美元以上的境外投资，按照国务院颁布的《政府核准的投资项目目录（</w:t>
      </w:r>
      <w:r w:rsidRPr="00B046FA">
        <w:rPr>
          <w:rFonts w:ascii="Arial" w:eastAsia="宋体" w:hAnsi="Arial" w:hint="eastAsia"/>
          <w:szCs w:val="21"/>
        </w:rPr>
        <w:t>2013</w:t>
      </w:r>
      <w:r w:rsidRPr="00B046FA">
        <w:rPr>
          <w:rFonts w:ascii="Arial" w:eastAsia="宋体" w:hAnsi="Arial" w:hint="eastAsia"/>
          <w:szCs w:val="21"/>
        </w:rPr>
        <w:t>年本）》规定，需要同时获得</w:t>
      </w:r>
      <w:proofErr w:type="gramStart"/>
      <w:r w:rsidRPr="00B046FA">
        <w:rPr>
          <w:rFonts w:ascii="Arial" w:eastAsia="宋体" w:hAnsi="Arial" w:hint="eastAsia"/>
          <w:szCs w:val="21"/>
        </w:rPr>
        <w:t>国家发改委</w:t>
      </w:r>
      <w:proofErr w:type="gramEnd"/>
      <w:r w:rsidRPr="00B046FA">
        <w:rPr>
          <w:rFonts w:ascii="Arial" w:eastAsia="宋体" w:hAnsi="Arial" w:hint="eastAsia"/>
          <w:szCs w:val="21"/>
        </w:rPr>
        <w:t>的备案。中方投资额</w:t>
      </w:r>
      <w:r w:rsidRPr="00B046FA">
        <w:rPr>
          <w:rFonts w:ascii="Arial" w:eastAsia="宋体" w:hAnsi="Arial" w:hint="eastAsia"/>
          <w:szCs w:val="21"/>
        </w:rPr>
        <w:t>3.00</w:t>
      </w:r>
      <w:r w:rsidRPr="00B046FA">
        <w:rPr>
          <w:rFonts w:ascii="Arial" w:eastAsia="宋体" w:hAnsi="Arial" w:hint="eastAsia"/>
          <w:szCs w:val="21"/>
        </w:rPr>
        <w:t>亿美元以下的境外投资开办企业，商务部门备案即可办理外汇手续。</w:t>
      </w:r>
    </w:p>
    <w:p w:rsidR="000C1567" w:rsidRPr="00B046FA" w:rsidRDefault="000C1567" w:rsidP="006148E2">
      <w:pPr>
        <w:spacing w:line="360" w:lineRule="exact"/>
        <w:rPr>
          <w:rFonts w:ascii="Arial" w:eastAsia="宋体" w:hAnsi="Arial"/>
          <w:szCs w:val="21"/>
        </w:rPr>
      </w:pPr>
    </w:p>
    <w:p w:rsidR="00963BF0" w:rsidRPr="001B6F58" w:rsidRDefault="000C1567" w:rsidP="001B6F58">
      <w:pPr>
        <w:spacing w:line="360" w:lineRule="exact"/>
        <w:rPr>
          <w:rFonts w:ascii="Arial" w:eastAsia="宋体" w:hAnsi="Arial"/>
          <w:b/>
          <w:szCs w:val="21"/>
        </w:rPr>
      </w:pPr>
      <w:r w:rsidRPr="001B6F58">
        <w:rPr>
          <w:rFonts w:ascii="Arial" w:eastAsia="宋体" w:hAnsi="Arial" w:hint="eastAsia"/>
          <w:b/>
          <w:szCs w:val="21"/>
        </w:rPr>
        <w:t>海外投资</w:t>
      </w:r>
      <w:r w:rsidR="00DF107C" w:rsidRPr="001B6F58">
        <w:rPr>
          <w:rFonts w:ascii="Arial" w:eastAsia="宋体" w:hAnsi="Arial" w:hint="eastAsia"/>
          <w:b/>
          <w:szCs w:val="21"/>
        </w:rPr>
        <w:t>现状：</w:t>
      </w:r>
      <w:r w:rsidR="006148E2" w:rsidRPr="001B6F58">
        <w:rPr>
          <w:rFonts w:ascii="Arial" w:eastAsia="宋体" w:hAnsi="Arial" w:hint="eastAsia"/>
          <w:b/>
          <w:szCs w:val="21"/>
        </w:rPr>
        <w:t>投资规模</w:t>
      </w:r>
      <w:r w:rsidRPr="001B6F58">
        <w:rPr>
          <w:rFonts w:ascii="Arial" w:eastAsia="宋体" w:hAnsi="Arial" w:hint="eastAsia"/>
          <w:b/>
          <w:szCs w:val="21"/>
        </w:rPr>
        <w:t>持续走高</w:t>
      </w:r>
      <w:r w:rsidR="006148E2" w:rsidRPr="001B6F58">
        <w:rPr>
          <w:rFonts w:ascii="Arial" w:eastAsia="宋体" w:hAnsi="Arial" w:hint="eastAsia"/>
          <w:b/>
          <w:szCs w:val="21"/>
        </w:rPr>
        <w:t>，</w:t>
      </w:r>
      <w:r w:rsidR="001B6F58" w:rsidRPr="001B6F58">
        <w:rPr>
          <w:rFonts w:ascii="Arial" w:eastAsia="宋体" w:hAnsi="Arial" w:hint="eastAsia"/>
          <w:b/>
          <w:szCs w:val="21"/>
        </w:rPr>
        <w:t>企业</w:t>
      </w:r>
      <w:r w:rsidR="001B6F58">
        <w:rPr>
          <w:rFonts w:ascii="Arial" w:eastAsia="宋体" w:hAnsi="Arial" w:hint="eastAsia"/>
          <w:b/>
          <w:szCs w:val="21"/>
        </w:rPr>
        <w:t>愈发乐于</w:t>
      </w:r>
      <w:r w:rsidR="001B6F58" w:rsidRPr="001B6F58">
        <w:rPr>
          <w:rFonts w:ascii="Arial" w:eastAsia="宋体" w:hAnsi="Arial" w:hint="eastAsia"/>
          <w:b/>
          <w:szCs w:val="21"/>
        </w:rPr>
        <w:t>出海扩大全球规模</w:t>
      </w:r>
    </w:p>
    <w:p w:rsidR="000D5B6C" w:rsidRPr="006148E2" w:rsidRDefault="000D5B6C" w:rsidP="00DF107C">
      <w:pPr>
        <w:spacing w:line="360" w:lineRule="exact"/>
        <w:ind w:firstLineChars="200" w:firstLine="420"/>
        <w:rPr>
          <w:rFonts w:ascii="Arial" w:eastAsia="宋体" w:hAnsi="Arial"/>
          <w:szCs w:val="21"/>
        </w:rPr>
      </w:pPr>
    </w:p>
    <w:p w:rsidR="00963BF0" w:rsidRPr="00963BF0" w:rsidRDefault="00963BF0" w:rsidP="00DF107C">
      <w:pPr>
        <w:spacing w:line="360" w:lineRule="exact"/>
        <w:ind w:firstLineChars="200" w:firstLine="420"/>
        <w:rPr>
          <w:rFonts w:ascii="Arial" w:eastAsia="宋体" w:hAnsi="Arial"/>
          <w:szCs w:val="21"/>
        </w:rPr>
      </w:pPr>
      <w:r w:rsidRPr="00963BF0">
        <w:rPr>
          <w:rFonts w:ascii="Arial" w:eastAsia="宋体" w:hAnsi="Arial" w:hint="eastAsia"/>
          <w:szCs w:val="21"/>
        </w:rPr>
        <w:t>在历经了世界金融危机后，中国企业开始后加速海外投资的脚步。</w:t>
      </w:r>
      <w:proofErr w:type="gramStart"/>
      <w:r w:rsidRPr="00963BF0">
        <w:rPr>
          <w:rFonts w:ascii="Arial" w:eastAsia="宋体" w:hAnsi="Arial" w:hint="eastAsia"/>
          <w:szCs w:val="21"/>
        </w:rPr>
        <w:t>据清科集团</w:t>
      </w:r>
      <w:proofErr w:type="gramEnd"/>
      <w:r w:rsidRPr="00963BF0">
        <w:rPr>
          <w:rFonts w:ascii="Arial" w:eastAsia="宋体" w:hAnsi="Arial" w:hint="eastAsia"/>
          <w:szCs w:val="21"/>
        </w:rPr>
        <w:t>旗下私募通统计，</w:t>
      </w:r>
      <w:r w:rsidRPr="00963BF0">
        <w:rPr>
          <w:rFonts w:ascii="Arial" w:eastAsia="宋体" w:hAnsi="Arial" w:hint="eastAsia"/>
          <w:szCs w:val="21"/>
        </w:rPr>
        <w:t>2009</w:t>
      </w:r>
      <w:r w:rsidRPr="00963BF0">
        <w:rPr>
          <w:rFonts w:ascii="Arial" w:eastAsia="宋体" w:hAnsi="Arial" w:hint="eastAsia"/>
          <w:szCs w:val="21"/>
        </w:rPr>
        <w:t>年至</w:t>
      </w:r>
      <w:r w:rsidRPr="00963BF0">
        <w:rPr>
          <w:rFonts w:ascii="Arial" w:eastAsia="宋体" w:hAnsi="Arial" w:hint="eastAsia"/>
          <w:szCs w:val="21"/>
        </w:rPr>
        <w:t>2014</w:t>
      </w:r>
      <w:r w:rsidRPr="00963BF0">
        <w:rPr>
          <w:rFonts w:ascii="Arial" w:eastAsia="宋体" w:hAnsi="Arial" w:hint="eastAsia"/>
          <w:szCs w:val="21"/>
        </w:rPr>
        <w:t>年第三季度，中国企业海外投资活跃度由</w:t>
      </w:r>
      <w:r w:rsidRPr="00963BF0">
        <w:rPr>
          <w:rFonts w:ascii="Arial" w:eastAsia="宋体" w:hAnsi="Arial" w:hint="eastAsia"/>
          <w:szCs w:val="21"/>
        </w:rPr>
        <w:t>38</w:t>
      </w:r>
      <w:r w:rsidRPr="00963BF0">
        <w:rPr>
          <w:rFonts w:ascii="Arial" w:eastAsia="宋体" w:hAnsi="Arial" w:hint="eastAsia"/>
          <w:szCs w:val="21"/>
        </w:rPr>
        <w:t>大涨至</w:t>
      </w:r>
      <w:r w:rsidRPr="00963BF0">
        <w:rPr>
          <w:rFonts w:ascii="Arial" w:eastAsia="宋体" w:hAnsi="Arial" w:hint="eastAsia"/>
          <w:szCs w:val="21"/>
        </w:rPr>
        <w:t>113</w:t>
      </w:r>
      <w:r w:rsidRPr="00963BF0">
        <w:rPr>
          <w:rFonts w:ascii="Arial" w:eastAsia="宋体" w:hAnsi="Arial" w:hint="eastAsia"/>
          <w:szCs w:val="21"/>
        </w:rPr>
        <w:t>，增幅高达</w:t>
      </w:r>
      <w:r w:rsidRPr="00963BF0">
        <w:rPr>
          <w:rFonts w:ascii="Arial" w:eastAsia="宋体" w:hAnsi="Arial" w:hint="eastAsia"/>
          <w:szCs w:val="21"/>
        </w:rPr>
        <w:t>197.4%</w:t>
      </w:r>
      <w:r w:rsidRPr="00963BF0">
        <w:rPr>
          <w:rFonts w:ascii="Arial" w:eastAsia="宋体" w:hAnsi="Arial" w:hint="eastAsia"/>
          <w:szCs w:val="21"/>
        </w:rPr>
        <w:t>，尤其是</w:t>
      </w:r>
      <w:r w:rsidRPr="00963BF0">
        <w:rPr>
          <w:rFonts w:ascii="Arial" w:eastAsia="宋体" w:hAnsi="Arial" w:hint="eastAsia"/>
          <w:szCs w:val="21"/>
        </w:rPr>
        <w:t>2011</w:t>
      </w:r>
      <w:r w:rsidRPr="00963BF0">
        <w:rPr>
          <w:rFonts w:ascii="Arial" w:eastAsia="宋体" w:hAnsi="Arial" w:hint="eastAsia"/>
          <w:szCs w:val="21"/>
        </w:rPr>
        <w:t>年以后，每年投资规模都在</w:t>
      </w:r>
      <w:r w:rsidRPr="00963BF0">
        <w:rPr>
          <w:rFonts w:ascii="Arial" w:eastAsia="宋体" w:hAnsi="Arial" w:hint="eastAsia"/>
          <w:szCs w:val="21"/>
        </w:rPr>
        <w:t>100</w:t>
      </w:r>
      <w:r w:rsidRPr="00963BF0">
        <w:rPr>
          <w:rFonts w:ascii="Arial" w:eastAsia="宋体" w:hAnsi="Arial" w:hint="eastAsia"/>
          <w:szCs w:val="21"/>
        </w:rPr>
        <w:t>起以上，活跃度急速上升。投资金额方面，</w:t>
      </w:r>
      <w:r w:rsidRPr="00963BF0">
        <w:rPr>
          <w:rFonts w:ascii="Arial" w:eastAsia="宋体" w:hAnsi="Arial" w:hint="eastAsia"/>
          <w:szCs w:val="21"/>
        </w:rPr>
        <w:t>2009</w:t>
      </w:r>
      <w:r w:rsidRPr="00963BF0">
        <w:rPr>
          <w:rFonts w:ascii="Arial" w:eastAsia="宋体" w:hAnsi="Arial" w:hint="eastAsia"/>
          <w:szCs w:val="21"/>
        </w:rPr>
        <w:t>年中国企业海外投资金额在</w:t>
      </w:r>
      <w:r w:rsidRPr="00963BF0">
        <w:rPr>
          <w:rFonts w:ascii="Arial" w:eastAsia="宋体" w:hAnsi="Arial" w:hint="eastAsia"/>
          <w:szCs w:val="21"/>
        </w:rPr>
        <w:t>160.99</w:t>
      </w:r>
      <w:r w:rsidRPr="00963BF0">
        <w:rPr>
          <w:rFonts w:ascii="Arial" w:eastAsia="宋体" w:hAnsi="Arial" w:hint="eastAsia"/>
          <w:szCs w:val="21"/>
        </w:rPr>
        <w:t>亿美元，随后，</w:t>
      </w:r>
      <w:r w:rsidRPr="00963BF0">
        <w:rPr>
          <w:rFonts w:ascii="Arial" w:eastAsia="宋体" w:hAnsi="Arial" w:hint="eastAsia"/>
          <w:szCs w:val="21"/>
        </w:rPr>
        <w:t>2010</w:t>
      </w:r>
      <w:r w:rsidRPr="00963BF0">
        <w:rPr>
          <w:rFonts w:ascii="Arial" w:eastAsia="宋体" w:hAnsi="Arial" w:hint="eastAsia"/>
          <w:szCs w:val="21"/>
        </w:rPr>
        <w:t>年出现</w:t>
      </w:r>
      <w:r w:rsidRPr="00963BF0">
        <w:rPr>
          <w:rFonts w:ascii="Arial" w:eastAsia="宋体" w:hAnsi="Arial" w:hint="eastAsia"/>
          <w:szCs w:val="21"/>
        </w:rPr>
        <w:t>18.0%</w:t>
      </w:r>
      <w:r w:rsidRPr="00963BF0">
        <w:rPr>
          <w:rFonts w:ascii="Arial" w:eastAsia="宋体" w:hAnsi="Arial" w:hint="eastAsia"/>
          <w:szCs w:val="21"/>
        </w:rPr>
        <w:t>的降幅至</w:t>
      </w:r>
      <w:r w:rsidRPr="00963BF0">
        <w:rPr>
          <w:rFonts w:ascii="Arial" w:eastAsia="宋体" w:hAnsi="Arial" w:hint="eastAsia"/>
          <w:szCs w:val="21"/>
        </w:rPr>
        <w:t>131.95</w:t>
      </w:r>
      <w:r w:rsidRPr="00963BF0">
        <w:rPr>
          <w:rFonts w:ascii="Arial" w:eastAsia="宋体" w:hAnsi="Arial" w:hint="eastAsia"/>
          <w:szCs w:val="21"/>
        </w:rPr>
        <w:t>亿美元，</w:t>
      </w:r>
      <w:r w:rsidRPr="00963BF0">
        <w:rPr>
          <w:rFonts w:ascii="Arial" w:eastAsia="宋体" w:hAnsi="Arial" w:hint="eastAsia"/>
          <w:szCs w:val="21"/>
        </w:rPr>
        <w:t>2011</w:t>
      </w:r>
      <w:r w:rsidRPr="00963BF0">
        <w:rPr>
          <w:rFonts w:ascii="Arial" w:eastAsia="宋体" w:hAnsi="Arial" w:hint="eastAsia"/>
          <w:szCs w:val="21"/>
        </w:rPr>
        <w:t>年起，对外投资金额达到</w:t>
      </w:r>
      <w:r w:rsidRPr="00963BF0">
        <w:rPr>
          <w:rFonts w:ascii="Arial" w:eastAsia="宋体" w:hAnsi="Arial" w:hint="eastAsia"/>
          <w:szCs w:val="21"/>
        </w:rPr>
        <w:t>280.99</w:t>
      </w:r>
      <w:r w:rsidRPr="00963BF0">
        <w:rPr>
          <w:rFonts w:ascii="Arial" w:eastAsia="宋体" w:hAnsi="Arial" w:hint="eastAsia"/>
          <w:szCs w:val="21"/>
        </w:rPr>
        <w:t>亿美元，同比高涨</w:t>
      </w:r>
      <w:r w:rsidRPr="00963BF0">
        <w:rPr>
          <w:rFonts w:ascii="Arial" w:eastAsia="宋体" w:hAnsi="Arial" w:hint="eastAsia"/>
          <w:szCs w:val="21"/>
        </w:rPr>
        <w:t>113.0%</w:t>
      </w:r>
      <w:r w:rsidRPr="00963BF0">
        <w:rPr>
          <w:rFonts w:ascii="Arial" w:eastAsia="宋体" w:hAnsi="Arial" w:hint="eastAsia"/>
          <w:szCs w:val="21"/>
        </w:rPr>
        <w:t>；至</w:t>
      </w:r>
      <w:r w:rsidRPr="00963BF0">
        <w:rPr>
          <w:rFonts w:ascii="Arial" w:eastAsia="宋体" w:hAnsi="Arial" w:hint="eastAsia"/>
          <w:szCs w:val="21"/>
        </w:rPr>
        <w:t>2013</w:t>
      </w:r>
      <w:r w:rsidRPr="00963BF0">
        <w:rPr>
          <w:rFonts w:ascii="Arial" w:eastAsia="宋体" w:hAnsi="Arial" w:hint="eastAsia"/>
          <w:szCs w:val="21"/>
        </w:rPr>
        <w:t>年，中国海外投资金额达到峰值至</w:t>
      </w:r>
      <w:r w:rsidRPr="00963BF0">
        <w:rPr>
          <w:rFonts w:ascii="Arial" w:eastAsia="宋体" w:hAnsi="Arial" w:hint="eastAsia"/>
          <w:szCs w:val="21"/>
        </w:rPr>
        <w:t>457.53</w:t>
      </w:r>
      <w:r w:rsidRPr="00963BF0">
        <w:rPr>
          <w:rFonts w:ascii="Arial" w:eastAsia="宋体" w:hAnsi="Arial" w:hint="eastAsia"/>
          <w:szCs w:val="21"/>
        </w:rPr>
        <w:t>亿美元，同比上涨</w:t>
      </w:r>
      <w:r w:rsidRPr="00963BF0">
        <w:rPr>
          <w:rFonts w:ascii="Arial" w:eastAsia="宋体" w:hAnsi="Arial" w:hint="eastAsia"/>
          <w:szCs w:val="21"/>
        </w:rPr>
        <w:t>50.7%</w:t>
      </w:r>
      <w:r w:rsidRPr="00963BF0">
        <w:rPr>
          <w:rFonts w:ascii="Arial" w:eastAsia="宋体" w:hAnsi="Arial" w:hint="eastAsia"/>
          <w:szCs w:val="21"/>
        </w:rPr>
        <w:t>，较</w:t>
      </w:r>
      <w:r w:rsidRPr="00963BF0">
        <w:rPr>
          <w:rFonts w:ascii="Arial" w:eastAsia="宋体" w:hAnsi="Arial" w:hint="eastAsia"/>
          <w:szCs w:val="21"/>
        </w:rPr>
        <w:t>2009</w:t>
      </w:r>
      <w:r w:rsidRPr="00963BF0">
        <w:rPr>
          <w:rFonts w:ascii="Arial" w:eastAsia="宋体" w:hAnsi="Arial" w:hint="eastAsia"/>
          <w:szCs w:val="21"/>
        </w:rPr>
        <w:t>年增长近</w:t>
      </w:r>
      <w:r w:rsidRPr="00963BF0">
        <w:rPr>
          <w:rFonts w:ascii="Arial" w:eastAsia="宋体" w:hAnsi="Arial" w:hint="eastAsia"/>
          <w:szCs w:val="21"/>
        </w:rPr>
        <w:t>2</w:t>
      </w:r>
      <w:r w:rsidRPr="00963BF0">
        <w:rPr>
          <w:rFonts w:ascii="Arial" w:eastAsia="宋体" w:hAnsi="Arial" w:hint="eastAsia"/>
          <w:szCs w:val="21"/>
        </w:rPr>
        <w:t>倍，这主要由于</w:t>
      </w:r>
      <w:r w:rsidRPr="00963BF0">
        <w:rPr>
          <w:rFonts w:ascii="Arial" w:eastAsia="宋体" w:hAnsi="Arial" w:hint="eastAsia"/>
          <w:szCs w:val="21"/>
        </w:rPr>
        <w:t>2013</w:t>
      </w:r>
      <w:r w:rsidRPr="00963BF0">
        <w:rPr>
          <w:rFonts w:ascii="Arial" w:eastAsia="宋体" w:hAnsi="Arial" w:hint="eastAsia"/>
          <w:szCs w:val="21"/>
        </w:rPr>
        <w:t>年几起大型海外并购案例拉</w:t>
      </w:r>
      <w:proofErr w:type="gramStart"/>
      <w:r w:rsidRPr="00963BF0">
        <w:rPr>
          <w:rFonts w:ascii="Arial" w:eastAsia="宋体" w:hAnsi="Arial" w:hint="eastAsia"/>
          <w:szCs w:val="21"/>
        </w:rPr>
        <w:t>高整体</w:t>
      </w:r>
      <w:proofErr w:type="gramEnd"/>
      <w:r w:rsidRPr="00963BF0">
        <w:rPr>
          <w:rFonts w:ascii="Arial" w:eastAsia="宋体" w:hAnsi="Arial" w:hint="eastAsia"/>
          <w:szCs w:val="21"/>
        </w:rPr>
        <w:t>水平，例如中海油</w:t>
      </w:r>
      <w:r w:rsidRPr="00963BF0">
        <w:rPr>
          <w:rFonts w:ascii="Arial" w:eastAsia="宋体" w:hAnsi="Arial" w:hint="eastAsia"/>
          <w:szCs w:val="21"/>
        </w:rPr>
        <w:t>151.00</w:t>
      </w:r>
      <w:r w:rsidRPr="00963BF0">
        <w:rPr>
          <w:rFonts w:ascii="Arial" w:eastAsia="宋体" w:hAnsi="Arial" w:hint="eastAsia"/>
          <w:szCs w:val="21"/>
        </w:rPr>
        <w:t>亿美元收购加拿大尼克森、双汇斥资</w:t>
      </w:r>
      <w:r w:rsidRPr="00963BF0">
        <w:rPr>
          <w:rFonts w:ascii="Arial" w:eastAsia="宋体" w:hAnsi="Arial" w:hint="eastAsia"/>
          <w:szCs w:val="21"/>
        </w:rPr>
        <w:t>71.00</w:t>
      </w:r>
      <w:r w:rsidRPr="00963BF0">
        <w:rPr>
          <w:rFonts w:ascii="Arial" w:eastAsia="宋体" w:hAnsi="Arial" w:hint="eastAsia"/>
          <w:szCs w:val="21"/>
        </w:rPr>
        <w:t>亿美元收购史密斯菲尔德、绿地集团</w:t>
      </w:r>
      <w:r w:rsidRPr="00963BF0">
        <w:rPr>
          <w:rFonts w:ascii="Arial" w:eastAsia="宋体" w:hAnsi="Arial" w:hint="eastAsia"/>
          <w:szCs w:val="21"/>
        </w:rPr>
        <w:t>50.00</w:t>
      </w:r>
      <w:r w:rsidRPr="00963BF0">
        <w:rPr>
          <w:rFonts w:ascii="Arial" w:eastAsia="宋体" w:hAnsi="Arial" w:hint="eastAsia"/>
          <w:szCs w:val="21"/>
        </w:rPr>
        <w:t>亿美元收购布鲁克林大西洋广场地产项目等。至</w:t>
      </w:r>
      <w:r w:rsidRPr="00963BF0">
        <w:rPr>
          <w:rFonts w:ascii="Arial" w:eastAsia="宋体" w:hAnsi="Arial" w:hint="eastAsia"/>
          <w:szCs w:val="21"/>
        </w:rPr>
        <w:t>2014</w:t>
      </w:r>
      <w:r w:rsidRPr="00963BF0">
        <w:rPr>
          <w:rFonts w:ascii="Arial" w:eastAsia="宋体" w:hAnsi="Arial" w:hint="eastAsia"/>
          <w:szCs w:val="21"/>
        </w:rPr>
        <w:t>年，海外投资金额开始趋于保守，这主要由于经过</w:t>
      </w:r>
      <w:r w:rsidRPr="00963BF0">
        <w:rPr>
          <w:rFonts w:ascii="Arial" w:eastAsia="宋体" w:hAnsi="Arial" w:hint="eastAsia"/>
          <w:szCs w:val="21"/>
        </w:rPr>
        <w:t>2013</w:t>
      </w:r>
      <w:r w:rsidRPr="00963BF0">
        <w:rPr>
          <w:rFonts w:ascii="Arial" w:eastAsia="宋体" w:hAnsi="Arial" w:hint="eastAsia"/>
          <w:szCs w:val="21"/>
        </w:rPr>
        <w:t>年的火爆形式，企业对于海外投资规模方面逐渐冷静，同时也由于商务部境外投资新</w:t>
      </w:r>
      <w:proofErr w:type="gramStart"/>
      <w:r w:rsidRPr="00963BF0">
        <w:rPr>
          <w:rFonts w:ascii="Arial" w:eastAsia="宋体" w:hAnsi="Arial" w:hint="eastAsia"/>
          <w:szCs w:val="21"/>
        </w:rPr>
        <w:t>规</w:t>
      </w:r>
      <w:proofErr w:type="gramEnd"/>
      <w:r w:rsidRPr="00963BF0">
        <w:rPr>
          <w:rFonts w:ascii="Arial" w:eastAsia="宋体" w:hAnsi="Arial" w:hint="eastAsia"/>
          <w:szCs w:val="21"/>
        </w:rPr>
        <w:t>，中方投资额在</w:t>
      </w:r>
      <w:r w:rsidRPr="00963BF0">
        <w:rPr>
          <w:rFonts w:ascii="Arial" w:eastAsia="宋体" w:hAnsi="Arial" w:hint="eastAsia"/>
          <w:szCs w:val="21"/>
        </w:rPr>
        <w:t>1.00</w:t>
      </w:r>
      <w:r w:rsidRPr="00963BF0">
        <w:rPr>
          <w:rFonts w:ascii="Arial" w:eastAsia="宋体" w:hAnsi="Arial" w:hint="eastAsia"/>
          <w:szCs w:val="21"/>
        </w:rPr>
        <w:t>亿美元以上的需经商务部审核，低于此金额可采取备案制方法，前三季度的投资规模在</w:t>
      </w:r>
      <w:r w:rsidRPr="00963BF0">
        <w:rPr>
          <w:rFonts w:ascii="Arial" w:eastAsia="宋体" w:hAnsi="Arial" w:hint="eastAsia"/>
          <w:szCs w:val="21"/>
        </w:rPr>
        <w:t>271.65</w:t>
      </w:r>
      <w:r w:rsidRPr="00963BF0">
        <w:rPr>
          <w:rFonts w:ascii="Arial" w:eastAsia="宋体" w:hAnsi="Arial" w:hint="eastAsia"/>
          <w:szCs w:val="21"/>
        </w:rPr>
        <w:t>亿美元。（见图</w:t>
      </w:r>
      <w:r w:rsidRPr="00963BF0">
        <w:rPr>
          <w:rFonts w:ascii="Arial" w:eastAsia="宋体" w:hAnsi="Arial" w:hint="eastAsia"/>
          <w:szCs w:val="21"/>
        </w:rPr>
        <w:t>6.2.1.1</w:t>
      </w:r>
      <w:r w:rsidRPr="00963BF0">
        <w:rPr>
          <w:rFonts w:ascii="Arial" w:eastAsia="宋体" w:hAnsi="Arial" w:hint="eastAsia"/>
          <w:szCs w:val="21"/>
        </w:rPr>
        <w:t>）</w:t>
      </w:r>
    </w:p>
    <w:p w:rsidR="00963BF0" w:rsidRPr="00963BF0" w:rsidRDefault="00963BF0" w:rsidP="00DF107C">
      <w:pPr>
        <w:spacing w:line="360" w:lineRule="exact"/>
        <w:ind w:firstLineChars="200" w:firstLine="420"/>
        <w:rPr>
          <w:rFonts w:ascii="Arial" w:eastAsia="宋体" w:hAnsi="Arial"/>
          <w:szCs w:val="21"/>
        </w:rPr>
      </w:pPr>
    </w:p>
    <w:p w:rsidR="00963BF0" w:rsidRPr="00C2650A" w:rsidRDefault="00963BF0" w:rsidP="00963BF0">
      <w:pPr>
        <w:widowControl/>
        <w:rPr>
          <w:rFonts w:ascii="Arial" w:eastAsia="宋体" w:hAnsi="Arial" w:cs="宋体"/>
          <w:b/>
          <w:bCs/>
          <w:kern w:val="0"/>
          <w:sz w:val="18"/>
          <w:szCs w:val="18"/>
        </w:rPr>
      </w:pPr>
      <w:r w:rsidRPr="00C2650A">
        <w:rPr>
          <w:rFonts w:ascii="Arial" w:eastAsia="宋体" w:hAnsi="宋体" w:cs="宋体" w:hint="eastAsia"/>
          <w:b/>
          <w:bCs/>
          <w:kern w:val="0"/>
          <w:sz w:val="18"/>
          <w:szCs w:val="18"/>
        </w:rPr>
        <w:t>图</w:t>
      </w:r>
      <w:r>
        <w:rPr>
          <w:rFonts w:ascii="Arial" w:eastAsia="宋体" w:hAnsi="Arial" w:cs="宋体" w:hint="eastAsia"/>
          <w:b/>
          <w:bCs/>
          <w:kern w:val="0"/>
          <w:sz w:val="18"/>
          <w:szCs w:val="18"/>
        </w:rPr>
        <w:t xml:space="preserve">1 </w:t>
      </w:r>
      <w:r w:rsidRPr="00C2650A">
        <w:rPr>
          <w:rFonts w:ascii="Arial" w:eastAsia="宋体" w:hAnsi="Arial" w:cs="Arial"/>
          <w:b/>
          <w:bCs/>
          <w:kern w:val="0"/>
          <w:sz w:val="18"/>
          <w:szCs w:val="18"/>
        </w:rPr>
        <w:t>2009-2014'Q3</w:t>
      </w:r>
      <w:r w:rsidRPr="00C2650A">
        <w:rPr>
          <w:rFonts w:ascii="Arial" w:eastAsia="宋体" w:hAnsi="宋体" w:cs="宋体" w:hint="eastAsia"/>
          <w:b/>
          <w:bCs/>
          <w:kern w:val="0"/>
          <w:sz w:val="18"/>
          <w:szCs w:val="18"/>
        </w:rPr>
        <w:t>中国企业海外投资趋势</w:t>
      </w:r>
    </w:p>
    <w:p w:rsidR="00963BF0" w:rsidRPr="00F858B4" w:rsidRDefault="00963BF0" w:rsidP="00963BF0">
      <w:pPr>
        <w:pStyle w:val="a3"/>
      </w:pPr>
      <w:r w:rsidRPr="00C2650A">
        <w:rPr>
          <w:noProof/>
        </w:rPr>
        <w:lastRenderedPageBreak/>
        <w:drawing>
          <wp:inline distT="0" distB="0" distL="0" distR="0">
            <wp:extent cx="4791600" cy="3591525"/>
            <wp:effectExtent l="19050" t="0" r="28050" b="89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63BF0" w:rsidRPr="00DF107C" w:rsidRDefault="00963BF0" w:rsidP="00963BF0">
      <w:pPr>
        <w:widowControl/>
        <w:rPr>
          <w:rFonts w:ascii="Arial" w:eastAsia="宋体" w:hAnsi="Arial"/>
          <w:b/>
          <w:sz w:val="18"/>
          <w:szCs w:val="18"/>
        </w:rPr>
      </w:pPr>
      <w:r w:rsidRPr="00DF107C">
        <w:rPr>
          <w:rFonts w:ascii="Arial" w:eastAsia="宋体" w:hAnsi="Arial" w:cs="宋体" w:hint="eastAsia"/>
          <w:b/>
          <w:bCs/>
          <w:kern w:val="0"/>
          <w:sz w:val="18"/>
          <w:szCs w:val="18"/>
        </w:rPr>
        <w:t>（注</w:t>
      </w:r>
      <w:r w:rsidRPr="00DF107C">
        <w:rPr>
          <w:rFonts w:ascii="Arial" w:eastAsia="宋体" w:hAnsi="Arial" w:cs="宋体" w:hint="eastAsia"/>
          <w:b/>
          <w:bCs/>
          <w:kern w:val="0"/>
          <w:sz w:val="18"/>
          <w:szCs w:val="18"/>
        </w:rPr>
        <w:t>*</w:t>
      </w:r>
      <w:r w:rsidRPr="00DF107C">
        <w:rPr>
          <w:rFonts w:ascii="Arial" w:eastAsia="宋体" w:hAnsi="Arial" w:cs="宋体" w:hint="eastAsia"/>
          <w:b/>
          <w:bCs/>
          <w:kern w:val="0"/>
          <w:sz w:val="18"/>
          <w:szCs w:val="18"/>
        </w:rPr>
        <w:t>：海外投资数据统计以并购方式为主）</w:t>
      </w:r>
    </w:p>
    <w:p w:rsidR="00DF107C" w:rsidRPr="00DF107C" w:rsidRDefault="00DF107C" w:rsidP="000D5B6C">
      <w:pPr>
        <w:spacing w:line="360" w:lineRule="exact"/>
        <w:ind w:firstLineChars="200" w:firstLine="420"/>
        <w:rPr>
          <w:rFonts w:ascii="Arial" w:eastAsia="宋体" w:hAnsi="Arial"/>
          <w:szCs w:val="21"/>
        </w:rPr>
      </w:pPr>
    </w:p>
    <w:p w:rsidR="00DF107C" w:rsidRPr="00DF107C" w:rsidRDefault="00DF107C" w:rsidP="000D5B6C">
      <w:pPr>
        <w:spacing w:line="360" w:lineRule="exact"/>
        <w:ind w:firstLineChars="200" w:firstLine="420"/>
        <w:rPr>
          <w:rFonts w:ascii="Arial" w:eastAsia="宋体" w:hAnsi="Arial"/>
          <w:szCs w:val="21"/>
        </w:rPr>
      </w:pPr>
      <w:r w:rsidRPr="00DF107C">
        <w:rPr>
          <w:rFonts w:ascii="Arial" w:eastAsia="宋体" w:hAnsi="Arial" w:hint="eastAsia"/>
          <w:szCs w:val="21"/>
        </w:rPr>
        <w:t>从并购投资交易量来看，</w:t>
      </w:r>
      <w:r w:rsidRPr="00DF107C">
        <w:rPr>
          <w:rFonts w:ascii="Arial" w:eastAsia="宋体" w:hAnsi="Arial" w:hint="eastAsia"/>
          <w:szCs w:val="21"/>
        </w:rPr>
        <w:t>2012</w:t>
      </w:r>
      <w:r w:rsidRPr="00DF107C">
        <w:rPr>
          <w:rFonts w:ascii="Arial" w:eastAsia="宋体" w:hAnsi="Arial" w:hint="eastAsia"/>
          <w:szCs w:val="21"/>
        </w:rPr>
        <w:t>年至</w:t>
      </w:r>
      <w:r w:rsidRPr="00DF107C">
        <w:rPr>
          <w:rFonts w:ascii="Arial" w:eastAsia="宋体" w:hAnsi="Arial" w:hint="eastAsia"/>
          <w:szCs w:val="21"/>
        </w:rPr>
        <w:t>2014</w:t>
      </w:r>
      <w:r w:rsidRPr="00DF107C">
        <w:rPr>
          <w:rFonts w:ascii="Arial" w:eastAsia="宋体" w:hAnsi="Arial" w:hint="eastAsia"/>
          <w:szCs w:val="21"/>
        </w:rPr>
        <w:t>年第三季度，能源及矿产行业为企业海外投资的热门行业，期间共完成海外并购投资</w:t>
      </w:r>
      <w:r w:rsidRPr="00DF107C">
        <w:rPr>
          <w:rFonts w:ascii="Arial" w:eastAsia="宋体" w:hAnsi="Arial" w:hint="eastAsia"/>
          <w:szCs w:val="21"/>
        </w:rPr>
        <w:t>75</w:t>
      </w:r>
      <w:r w:rsidRPr="00DF107C">
        <w:rPr>
          <w:rFonts w:ascii="Arial" w:eastAsia="宋体" w:hAnsi="Arial" w:hint="eastAsia"/>
          <w:szCs w:val="21"/>
        </w:rPr>
        <w:t>起，占全部交易量的</w:t>
      </w:r>
      <w:r w:rsidRPr="00DF107C">
        <w:rPr>
          <w:rFonts w:ascii="Arial" w:eastAsia="宋体" w:hAnsi="Arial" w:hint="eastAsia"/>
          <w:szCs w:val="21"/>
        </w:rPr>
        <w:t>19.5%</w:t>
      </w:r>
      <w:r w:rsidRPr="00DF107C">
        <w:rPr>
          <w:rFonts w:ascii="Arial" w:eastAsia="宋体" w:hAnsi="Arial" w:hint="eastAsia"/>
          <w:szCs w:val="21"/>
        </w:rPr>
        <w:t>；此外，排名第二的是机械制造行业，期间共完成并购投资交易</w:t>
      </w:r>
      <w:r w:rsidRPr="00DF107C">
        <w:rPr>
          <w:rFonts w:ascii="Arial" w:eastAsia="宋体" w:hAnsi="Arial" w:hint="eastAsia"/>
          <w:szCs w:val="21"/>
        </w:rPr>
        <w:t>56</w:t>
      </w:r>
      <w:r w:rsidRPr="00DF107C">
        <w:rPr>
          <w:rFonts w:ascii="Arial" w:eastAsia="宋体" w:hAnsi="Arial" w:hint="eastAsia"/>
          <w:szCs w:val="21"/>
        </w:rPr>
        <w:t>起，在全部交易量的占比为</w:t>
      </w:r>
      <w:r w:rsidRPr="00DF107C">
        <w:rPr>
          <w:rFonts w:ascii="Arial" w:eastAsia="宋体" w:hAnsi="Arial" w:hint="eastAsia"/>
          <w:szCs w:val="21"/>
        </w:rPr>
        <w:t>14.5%</w:t>
      </w:r>
      <w:r w:rsidRPr="00DF107C">
        <w:rPr>
          <w:rFonts w:ascii="Arial" w:eastAsia="宋体" w:hAnsi="Arial" w:hint="eastAsia"/>
          <w:szCs w:val="21"/>
        </w:rPr>
        <w:t>；排名第三的是汽车行业，</w:t>
      </w:r>
      <w:r w:rsidRPr="00DF107C">
        <w:rPr>
          <w:rFonts w:ascii="Arial" w:eastAsia="宋体" w:hAnsi="Arial" w:hint="eastAsia"/>
          <w:szCs w:val="21"/>
        </w:rPr>
        <w:t>2012</w:t>
      </w:r>
      <w:r w:rsidRPr="00DF107C">
        <w:rPr>
          <w:rFonts w:ascii="Arial" w:eastAsia="宋体" w:hAnsi="Arial" w:hint="eastAsia"/>
          <w:szCs w:val="21"/>
        </w:rPr>
        <w:t>年至</w:t>
      </w:r>
      <w:r w:rsidRPr="00DF107C">
        <w:rPr>
          <w:rFonts w:ascii="Arial" w:eastAsia="宋体" w:hAnsi="Arial" w:hint="eastAsia"/>
          <w:szCs w:val="21"/>
        </w:rPr>
        <w:t>2014</w:t>
      </w:r>
      <w:r w:rsidRPr="00DF107C">
        <w:rPr>
          <w:rFonts w:ascii="Arial" w:eastAsia="宋体" w:hAnsi="Arial" w:hint="eastAsia"/>
          <w:szCs w:val="21"/>
        </w:rPr>
        <w:t>年第三季度共完成并购投资</w:t>
      </w:r>
      <w:r w:rsidRPr="00DF107C">
        <w:rPr>
          <w:rFonts w:ascii="Arial" w:eastAsia="宋体" w:hAnsi="Arial" w:hint="eastAsia"/>
          <w:szCs w:val="21"/>
        </w:rPr>
        <w:t>23</w:t>
      </w:r>
      <w:r w:rsidRPr="00DF107C">
        <w:rPr>
          <w:rFonts w:ascii="Arial" w:eastAsia="宋体" w:hAnsi="Arial" w:hint="eastAsia"/>
          <w:szCs w:val="21"/>
        </w:rPr>
        <w:t>起，占比</w:t>
      </w:r>
      <w:r w:rsidRPr="00DF107C">
        <w:rPr>
          <w:rFonts w:ascii="Arial" w:eastAsia="宋体" w:hAnsi="Arial" w:hint="eastAsia"/>
          <w:szCs w:val="21"/>
        </w:rPr>
        <w:t>6.0%</w:t>
      </w:r>
      <w:r w:rsidRPr="00DF107C">
        <w:rPr>
          <w:rFonts w:ascii="Arial" w:eastAsia="宋体" w:hAnsi="Arial" w:hint="eastAsia"/>
          <w:szCs w:val="21"/>
        </w:rPr>
        <w:t>。</w:t>
      </w:r>
      <w:proofErr w:type="gramStart"/>
      <w:r w:rsidRPr="00DF107C">
        <w:rPr>
          <w:rFonts w:ascii="Arial" w:eastAsia="宋体" w:hAnsi="Arial" w:hint="eastAsia"/>
          <w:szCs w:val="21"/>
        </w:rPr>
        <w:t>其余行业</w:t>
      </w:r>
      <w:proofErr w:type="gramEnd"/>
      <w:r w:rsidRPr="00DF107C">
        <w:rPr>
          <w:rFonts w:ascii="Arial" w:eastAsia="宋体" w:hAnsi="Arial" w:hint="eastAsia"/>
          <w:szCs w:val="21"/>
        </w:rPr>
        <w:t>的并购投资占比均较小，平均占比在</w:t>
      </w:r>
      <w:r w:rsidRPr="00DF107C">
        <w:rPr>
          <w:rFonts w:ascii="Arial" w:eastAsia="宋体" w:hAnsi="Arial" w:hint="eastAsia"/>
          <w:szCs w:val="21"/>
        </w:rPr>
        <w:t>3.3%</w:t>
      </w:r>
      <w:r w:rsidRPr="00DF107C">
        <w:rPr>
          <w:rFonts w:ascii="Arial" w:eastAsia="宋体" w:hAnsi="Arial" w:hint="eastAsia"/>
          <w:szCs w:val="21"/>
        </w:rPr>
        <w:t>左右。从并购投资交易规模来看，</w:t>
      </w:r>
      <w:r w:rsidRPr="00DF107C">
        <w:rPr>
          <w:rFonts w:ascii="Arial" w:eastAsia="宋体" w:hAnsi="Arial" w:hint="eastAsia"/>
          <w:szCs w:val="21"/>
        </w:rPr>
        <w:t>2012</w:t>
      </w:r>
      <w:r w:rsidRPr="00DF107C">
        <w:rPr>
          <w:rFonts w:ascii="Arial" w:eastAsia="宋体" w:hAnsi="Arial" w:hint="eastAsia"/>
          <w:szCs w:val="21"/>
        </w:rPr>
        <w:t>年至</w:t>
      </w:r>
      <w:r w:rsidRPr="00DF107C">
        <w:rPr>
          <w:rFonts w:ascii="Arial" w:eastAsia="宋体" w:hAnsi="Arial" w:hint="eastAsia"/>
          <w:szCs w:val="21"/>
        </w:rPr>
        <w:t>2014</w:t>
      </w:r>
      <w:r w:rsidRPr="00DF107C">
        <w:rPr>
          <w:rFonts w:ascii="Arial" w:eastAsia="宋体" w:hAnsi="Arial" w:hint="eastAsia"/>
          <w:szCs w:val="21"/>
        </w:rPr>
        <w:t>年第三季度，能源及矿产行业依然高居首位，期间共完成交易规模</w:t>
      </w:r>
      <w:r w:rsidRPr="00DF107C">
        <w:rPr>
          <w:rFonts w:ascii="Arial" w:eastAsia="宋体" w:hAnsi="Arial" w:hint="eastAsia"/>
          <w:szCs w:val="21"/>
        </w:rPr>
        <w:t>571.37</w:t>
      </w:r>
      <w:r w:rsidRPr="00DF107C">
        <w:rPr>
          <w:rFonts w:ascii="Arial" w:eastAsia="宋体" w:hAnsi="Arial" w:hint="eastAsia"/>
          <w:szCs w:val="21"/>
        </w:rPr>
        <w:t>亿美元，</w:t>
      </w:r>
      <w:proofErr w:type="gramStart"/>
      <w:r w:rsidRPr="00DF107C">
        <w:rPr>
          <w:rFonts w:ascii="Arial" w:eastAsia="宋体" w:hAnsi="Arial" w:hint="eastAsia"/>
          <w:szCs w:val="21"/>
        </w:rPr>
        <w:t>占规模总</w:t>
      </w:r>
      <w:proofErr w:type="gramEnd"/>
      <w:r w:rsidRPr="00DF107C">
        <w:rPr>
          <w:rFonts w:ascii="Arial" w:eastAsia="宋体" w:hAnsi="Arial" w:hint="eastAsia"/>
          <w:szCs w:val="21"/>
        </w:rPr>
        <w:t>比的</w:t>
      </w:r>
      <w:r w:rsidRPr="00DF107C">
        <w:rPr>
          <w:rFonts w:ascii="Arial" w:eastAsia="宋体" w:hAnsi="Arial" w:hint="eastAsia"/>
          <w:szCs w:val="21"/>
        </w:rPr>
        <w:t>55.3%</w:t>
      </w:r>
      <w:r w:rsidRPr="00DF107C">
        <w:rPr>
          <w:rFonts w:ascii="Arial" w:eastAsia="宋体" w:hAnsi="Arial" w:hint="eastAsia"/>
          <w:szCs w:val="21"/>
        </w:rPr>
        <w:t>；其次是房地产行业，期间完成的交易规模达</w:t>
      </w:r>
      <w:r w:rsidRPr="00DF107C">
        <w:rPr>
          <w:rFonts w:ascii="Arial" w:eastAsia="宋体" w:hAnsi="Arial" w:hint="eastAsia"/>
          <w:szCs w:val="21"/>
        </w:rPr>
        <w:t>102.11</w:t>
      </w:r>
      <w:r w:rsidRPr="00DF107C">
        <w:rPr>
          <w:rFonts w:ascii="Arial" w:eastAsia="宋体" w:hAnsi="Arial" w:hint="eastAsia"/>
          <w:szCs w:val="21"/>
        </w:rPr>
        <w:t>亿美元，占比</w:t>
      </w:r>
      <w:r w:rsidRPr="00DF107C">
        <w:rPr>
          <w:rFonts w:ascii="Arial" w:eastAsia="宋体" w:hAnsi="Arial" w:hint="eastAsia"/>
          <w:szCs w:val="21"/>
        </w:rPr>
        <w:t>9.9%</w:t>
      </w:r>
      <w:r w:rsidRPr="00DF107C">
        <w:rPr>
          <w:rFonts w:ascii="Arial" w:eastAsia="宋体" w:hAnsi="Arial" w:hint="eastAsia"/>
          <w:szCs w:val="21"/>
        </w:rPr>
        <w:t>并排名第二；其次是食品</w:t>
      </w:r>
      <w:r w:rsidRPr="00DF107C">
        <w:rPr>
          <w:rFonts w:ascii="Arial" w:eastAsia="宋体" w:hAnsi="Arial" w:hint="eastAsia"/>
          <w:szCs w:val="21"/>
        </w:rPr>
        <w:t>&amp;</w:t>
      </w:r>
      <w:r w:rsidRPr="00DF107C">
        <w:rPr>
          <w:rFonts w:ascii="Arial" w:eastAsia="宋体" w:hAnsi="Arial" w:hint="eastAsia"/>
          <w:szCs w:val="21"/>
        </w:rPr>
        <w:t>饮料行业，期间完成</w:t>
      </w:r>
      <w:r w:rsidRPr="00DF107C">
        <w:rPr>
          <w:rFonts w:ascii="Arial" w:eastAsia="宋体" w:hAnsi="Arial" w:hint="eastAsia"/>
          <w:szCs w:val="21"/>
        </w:rPr>
        <w:t>83.38</w:t>
      </w:r>
      <w:r w:rsidRPr="00DF107C">
        <w:rPr>
          <w:rFonts w:ascii="Arial" w:eastAsia="宋体" w:hAnsi="Arial" w:hint="eastAsia"/>
          <w:szCs w:val="21"/>
        </w:rPr>
        <w:t>亿美元的交易规模，这主要受益于</w:t>
      </w:r>
      <w:r w:rsidRPr="00DF107C">
        <w:rPr>
          <w:rFonts w:ascii="Arial" w:eastAsia="宋体" w:hAnsi="Arial" w:hint="eastAsia"/>
          <w:szCs w:val="21"/>
        </w:rPr>
        <w:t>2013</w:t>
      </w:r>
      <w:r w:rsidRPr="00DF107C">
        <w:rPr>
          <w:rFonts w:ascii="Arial" w:eastAsia="宋体" w:hAnsi="Arial" w:hint="eastAsia"/>
          <w:szCs w:val="21"/>
        </w:rPr>
        <w:t>年</w:t>
      </w:r>
      <w:r w:rsidRPr="00DF107C">
        <w:rPr>
          <w:rFonts w:ascii="Arial" w:eastAsia="宋体" w:hAnsi="Arial" w:hint="eastAsia"/>
          <w:szCs w:val="21"/>
        </w:rPr>
        <w:t>9</w:t>
      </w:r>
      <w:r w:rsidRPr="00DF107C">
        <w:rPr>
          <w:rFonts w:ascii="Arial" w:eastAsia="宋体" w:hAnsi="Arial" w:hint="eastAsia"/>
          <w:szCs w:val="21"/>
        </w:rPr>
        <w:t>月双汇斥资</w:t>
      </w:r>
      <w:r w:rsidRPr="00DF107C">
        <w:rPr>
          <w:rFonts w:ascii="Arial" w:eastAsia="宋体" w:hAnsi="Arial" w:hint="eastAsia"/>
          <w:szCs w:val="21"/>
        </w:rPr>
        <w:t>71.00</w:t>
      </w:r>
      <w:r w:rsidRPr="00DF107C">
        <w:rPr>
          <w:rFonts w:ascii="Arial" w:eastAsia="宋体" w:hAnsi="Arial" w:hint="eastAsia"/>
          <w:szCs w:val="21"/>
        </w:rPr>
        <w:t>亿美元收购美国史密斯菲尔德，拉高了整体规模。总体来看，能源及矿产为企业出海并购投资的热门行业，不论在活跃度或规模方面都稳居第一。一方面与</w:t>
      </w:r>
      <w:r w:rsidRPr="00DF107C">
        <w:rPr>
          <w:rFonts w:ascii="Arial" w:eastAsia="宋体" w:hAnsi="Arial"/>
          <w:szCs w:val="21"/>
        </w:rPr>
        <w:t>国内外的经济环境和政策导向密不可分</w:t>
      </w:r>
      <w:r w:rsidRPr="00DF107C">
        <w:rPr>
          <w:rFonts w:ascii="Arial" w:eastAsia="宋体" w:hAnsi="Arial" w:hint="eastAsia"/>
          <w:szCs w:val="21"/>
        </w:rPr>
        <w:t>，另一方面，国外物资丰富，企业走出去可以扩大资源开采范围，同时拓宽市场规模。相比较下，新兴产业的出海活跃度远远低于传统行业，但在全球信息化的大潮下，更多企业愿意投资海外互联网、光电设备等行业，以学习海外先进技术，同时扩大自身经营规模。</w:t>
      </w:r>
    </w:p>
    <w:p w:rsidR="00DF107C" w:rsidRPr="00DF107C" w:rsidRDefault="00DF107C" w:rsidP="000D5B6C">
      <w:pPr>
        <w:spacing w:line="360" w:lineRule="exact"/>
        <w:ind w:firstLineChars="200" w:firstLine="420"/>
        <w:rPr>
          <w:rFonts w:ascii="Arial" w:eastAsia="宋体" w:hAnsi="Arial"/>
          <w:szCs w:val="21"/>
        </w:rPr>
      </w:pPr>
    </w:p>
    <w:p w:rsidR="00DF107C" w:rsidRPr="005A7E42" w:rsidRDefault="00DF107C" w:rsidP="00DF107C">
      <w:pPr>
        <w:widowControl/>
        <w:rPr>
          <w:rFonts w:ascii="Arial" w:eastAsia="宋体" w:hAnsi="Arial" w:cs="宋体"/>
          <w:b/>
          <w:bCs/>
          <w:kern w:val="0"/>
          <w:sz w:val="18"/>
          <w:szCs w:val="18"/>
        </w:rPr>
      </w:pPr>
      <w:r w:rsidRPr="002203F3">
        <w:rPr>
          <w:rFonts w:ascii="Arial" w:eastAsia="宋体" w:hAnsi="Arial" w:cs="宋体" w:hint="eastAsia"/>
          <w:b/>
          <w:bCs/>
          <w:kern w:val="0"/>
          <w:sz w:val="18"/>
          <w:szCs w:val="18"/>
        </w:rPr>
        <w:t>表</w:t>
      </w:r>
      <w:r w:rsidRPr="002203F3">
        <w:rPr>
          <w:rFonts w:ascii="Arial" w:eastAsia="宋体" w:hAnsi="Arial" w:cs="宋体"/>
          <w:b/>
          <w:bCs/>
          <w:kern w:val="0"/>
          <w:sz w:val="18"/>
          <w:szCs w:val="18"/>
        </w:rPr>
        <w:t>2012-</w:t>
      </w:r>
      <w:r w:rsidRPr="00C2650A">
        <w:rPr>
          <w:rFonts w:ascii="Arial" w:eastAsia="宋体" w:hAnsi="Arial" w:cs="Arial"/>
          <w:b/>
          <w:bCs/>
          <w:kern w:val="0"/>
          <w:sz w:val="18"/>
          <w:szCs w:val="18"/>
        </w:rPr>
        <w:t>2014'Q3</w:t>
      </w:r>
      <w:r w:rsidRPr="002203F3">
        <w:rPr>
          <w:rFonts w:ascii="Arial" w:eastAsia="宋体" w:hAnsi="Arial" w:cs="宋体" w:hint="eastAsia"/>
          <w:b/>
          <w:bCs/>
          <w:kern w:val="0"/>
          <w:sz w:val="18"/>
          <w:szCs w:val="18"/>
        </w:rPr>
        <w:t>中国企业海外投资行业分布统计（按被并购方）</w:t>
      </w:r>
    </w:p>
    <w:tbl>
      <w:tblPr>
        <w:tblStyle w:val="a5"/>
        <w:tblW w:w="8768" w:type="dxa"/>
        <w:tblBorders>
          <w:left w:val="none" w:sz="0" w:space="0" w:color="auto"/>
          <w:right w:val="none" w:sz="0" w:space="0" w:color="auto"/>
          <w:insideH w:val="none" w:sz="0" w:space="0" w:color="auto"/>
          <w:insideV w:val="none" w:sz="0" w:space="0" w:color="auto"/>
        </w:tblBorders>
        <w:tblLook w:val="04A0"/>
      </w:tblPr>
      <w:tblGrid>
        <w:gridCol w:w="1782"/>
        <w:gridCol w:w="1031"/>
        <w:gridCol w:w="1191"/>
        <w:gridCol w:w="1191"/>
        <w:gridCol w:w="1191"/>
        <w:gridCol w:w="1191"/>
        <w:gridCol w:w="1191"/>
      </w:tblGrid>
      <w:tr w:rsidR="00DF107C" w:rsidRPr="007B182D" w:rsidTr="001A6D7C">
        <w:trPr>
          <w:trHeight w:val="238"/>
        </w:trPr>
        <w:tc>
          <w:tcPr>
            <w:tcW w:w="1782"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行业</w:t>
            </w:r>
          </w:p>
        </w:tc>
        <w:tc>
          <w:tcPr>
            <w:tcW w:w="1031"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案例数</w:t>
            </w:r>
          </w:p>
        </w:tc>
        <w:tc>
          <w:tcPr>
            <w:tcW w:w="1191"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比例</w:t>
            </w:r>
          </w:p>
        </w:tc>
        <w:tc>
          <w:tcPr>
            <w:tcW w:w="1191"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案例数（金）</w:t>
            </w:r>
          </w:p>
        </w:tc>
        <w:tc>
          <w:tcPr>
            <w:tcW w:w="1191"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并购总额</w:t>
            </w:r>
            <w:r w:rsidRPr="007B182D">
              <w:rPr>
                <w:rFonts w:ascii="Arial" w:eastAsia="宋体" w:hAnsi="Arial" w:cs="Arial"/>
                <w:b/>
                <w:bCs/>
                <w:kern w:val="0"/>
                <w:sz w:val="18"/>
                <w:szCs w:val="18"/>
              </w:rPr>
              <w:t>(US$M)</w:t>
            </w:r>
          </w:p>
        </w:tc>
        <w:tc>
          <w:tcPr>
            <w:tcW w:w="1191"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比例</w:t>
            </w:r>
          </w:p>
        </w:tc>
        <w:tc>
          <w:tcPr>
            <w:tcW w:w="1191"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平均并购金额</w:t>
            </w:r>
            <w:r w:rsidRPr="007B182D">
              <w:rPr>
                <w:rFonts w:ascii="Arial" w:eastAsia="宋体" w:hAnsi="Arial" w:cs="Arial"/>
                <w:b/>
                <w:bCs/>
                <w:kern w:val="0"/>
                <w:sz w:val="18"/>
                <w:szCs w:val="18"/>
              </w:rPr>
              <w:t>(US$M)</w:t>
            </w:r>
          </w:p>
        </w:tc>
      </w:tr>
      <w:tr w:rsidR="00DF107C" w:rsidRPr="007B182D" w:rsidTr="000D5B6C">
        <w:trPr>
          <w:trHeight w:val="238"/>
        </w:trPr>
        <w:tc>
          <w:tcPr>
            <w:tcW w:w="1782" w:type="dxa"/>
            <w:tcBorders>
              <w:top w:val="single" w:sz="4" w:space="0" w:color="000000" w:themeColor="text1"/>
            </w:tcBorders>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能源及矿产</w:t>
            </w:r>
          </w:p>
        </w:tc>
        <w:tc>
          <w:tcPr>
            <w:tcW w:w="1031" w:type="dxa"/>
            <w:tcBorders>
              <w:top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75 </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19.5%</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59 </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57,136.59 </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55.3%</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968.42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机械制造</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56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14.5%</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44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5,611.27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5.4%</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127.53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汽车</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23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6.0%</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551.34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0.5%</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45.95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清洁技术</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20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5.2%</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11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1,064.64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1.0%</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96.79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Arial"/>
                <w:sz w:val="18"/>
                <w:szCs w:val="18"/>
              </w:rPr>
            </w:pPr>
            <w:r w:rsidRPr="007B182D">
              <w:rPr>
                <w:rFonts w:ascii="Arial" w:eastAsia="宋体" w:hAnsi="Arial" w:cs="Arial"/>
                <w:sz w:val="18"/>
                <w:szCs w:val="18"/>
              </w:rPr>
              <w:t>生物技术</w:t>
            </w:r>
            <w:r w:rsidRPr="007B182D">
              <w:rPr>
                <w:rFonts w:ascii="Arial" w:eastAsia="宋体" w:hAnsi="Arial" w:cs="Arial" w:hint="eastAsia"/>
                <w:sz w:val="18"/>
                <w:szCs w:val="18"/>
              </w:rPr>
              <w:t>/</w:t>
            </w:r>
            <w:r w:rsidRPr="007B182D">
              <w:rPr>
                <w:rFonts w:ascii="Arial" w:eastAsia="宋体" w:hAnsi="Arial" w:cs="Arial"/>
                <w:sz w:val="18"/>
                <w:szCs w:val="18"/>
              </w:rPr>
              <w:t>医疗健康</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20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5.2%</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15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1,241.48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1.2%</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82.77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Arial"/>
                <w:sz w:val="18"/>
                <w:szCs w:val="18"/>
              </w:rPr>
            </w:pPr>
            <w:r w:rsidRPr="007B182D">
              <w:rPr>
                <w:rFonts w:ascii="Arial" w:eastAsia="宋体" w:hAnsi="Arial" w:cs="Arial"/>
                <w:sz w:val="18"/>
                <w:szCs w:val="18"/>
              </w:rPr>
              <w:lastRenderedPageBreak/>
              <w:t>IT</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18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4.7%</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491.50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0.5%</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30.72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金融</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18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4.7%</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17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5,789.83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5.6%</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340.58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电子及光电设备</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17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4.4%</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13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79.66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0.1%</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6.13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房地产</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4.2%</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10,211.24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9.9%</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638.20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互联网</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15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3.9%</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8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1,138.73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1.1%</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142.34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Arial"/>
                <w:sz w:val="18"/>
                <w:szCs w:val="18"/>
              </w:rPr>
            </w:pPr>
            <w:r w:rsidRPr="007B182D">
              <w:rPr>
                <w:rFonts w:ascii="Arial" w:eastAsia="宋体" w:hAnsi="Arial" w:cs="Arial"/>
                <w:sz w:val="18"/>
                <w:szCs w:val="18"/>
              </w:rPr>
              <w:t>农</w:t>
            </w:r>
            <w:r w:rsidRPr="007B182D">
              <w:rPr>
                <w:rFonts w:ascii="Arial" w:eastAsia="宋体" w:hAnsi="Arial" w:cs="Arial"/>
                <w:sz w:val="18"/>
                <w:szCs w:val="18"/>
              </w:rPr>
              <w:t>/</w:t>
            </w:r>
            <w:r w:rsidRPr="007B182D">
              <w:rPr>
                <w:rFonts w:ascii="Arial" w:eastAsia="宋体" w:hAnsi="Arial" w:cs="Arial"/>
                <w:sz w:val="18"/>
                <w:szCs w:val="18"/>
              </w:rPr>
              <w:t>林</w:t>
            </w:r>
            <w:r w:rsidRPr="007B182D">
              <w:rPr>
                <w:rFonts w:ascii="Arial" w:eastAsia="宋体" w:hAnsi="Arial" w:cs="Arial"/>
                <w:sz w:val="18"/>
                <w:szCs w:val="18"/>
              </w:rPr>
              <w:t>/</w:t>
            </w:r>
            <w:r w:rsidRPr="007B182D">
              <w:rPr>
                <w:rFonts w:ascii="Arial" w:eastAsia="宋体" w:hAnsi="Arial" w:cs="Arial"/>
                <w:sz w:val="18"/>
                <w:szCs w:val="18"/>
              </w:rPr>
              <w:t>牧</w:t>
            </w:r>
            <w:r w:rsidRPr="007B182D">
              <w:rPr>
                <w:rFonts w:ascii="Arial" w:eastAsia="宋体" w:hAnsi="Arial" w:cs="Arial"/>
                <w:sz w:val="18"/>
                <w:szCs w:val="18"/>
              </w:rPr>
              <w:t>/</w:t>
            </w:r>
            <w:r w:rsidRPr="007B182D">
              <w:rPr>
                <w:rFonts w:ascii="Arial" w:eastAsia="宋体" w:hAnsi="Arial" w:cs="Arial"/>
                <w:sz w:val="18"/>
                <w:szCs w:val="18"/>
              </w:rPr>
              <w:t>渔</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14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3.6%</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13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1,797.50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1.7%</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138.27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电信及增值业务</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3.1%</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10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1,258.86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1.2%</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125.89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化工原料及加工</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3.1%</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719.06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0.7%</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59.92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建筑</w:t>
            </w:r>
            <w:r w:rsidRPr="007B182D">
              <w:rPr>
                <w:rFonts w:ascii="Arial" w:eastAsia="宋体" w:hAnsi="Arial" w:hint="eastAsia"/>
                <w:sz w:val="18"/>
                <w:szCs w:val="18"/>
              </w:rPr>
              <w:t>/</w:t>
            </w:r>
            <w:r w:rsidRPr="007B182D">
              <w:rPr>
                <w:rFonts w:ascii="Arial" w:eastAsia="宋体" w:hAnsi="Arial" w:hint="eastAsia"/>
                <w:sz w:val="18"/>
                <w:szCs w:val="18"/>
              </w:rPr>
              <w:t>工程</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3.1%</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1,552.06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1.5%</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129.34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连锁及零售</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12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3.1%</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11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2,082.93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2.0%</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189.36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娱乐传媒</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9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2.3%</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9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2,914.06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2.8%</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323.78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食品</w:t>
            </w:r>
            <w:r w:rsidRPr="007B182D">
              <w:rPr>
                <w:rFonts w:ascii="Arial" w:eastAsia="宋体" w:hAnsi="Arial" w:hint="eastAsia"/>
                <w:sz w:val="18"/>
                <w:szCs w:val="18"/>
              </w:rPr>
              <w:t>&amp;</w:t>
            </w:r>
            <w:r w:rsidRPr="007B182D">
              <w:rPr>
                <w:rFonts w:ascii="Arial" w:eastAsia="宋体" w:hAnsi="Arial" w:hint="eastAsia"/>
                <w:sz w:val="18"/>
                <w:szCs w:val="18"/>
              </w:rPr>
              <w:t>饮料</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8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2.1%</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8,637.77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8.4%</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1,439.63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纺织及服装</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5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1.3%</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4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24.81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0.0%</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6.20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物流</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4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1.0%</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3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356.96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0.3%</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118.99 </w:t>
            </w:r>
          </w:p>
        </w:tc>
      </w:tr>
      <w:tr w:rsidR="00DF107C" w:rsidRPr="007B182D" w:rsidTr="000D5B6C">
        <w:trPr>
          <w:trHeight w:val="238"/>
        </w:trPr>
        <w:tc>
          <w:tcPr>
            <w:tcW w:w="1782" w:type="dxa"/>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教育与培训</w:t>
            </w:r>
          </w:p>
        </w:tc>
        <w:tc>
          <w:tcPr>
            <w:tcW w:w="103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0.3%</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0.00 </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0.0%</w:t>
            </w:r>
          </w:p>
        </w:tc>
        <w:tc>
          <w:tcPr>
            <w:tcW w:w="1191" w:type="dxa"/>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0.00 </w:t>
            </w:r>
          </w:p>
        </w:tc>
      </w:tr>
      <w:tr w:rsidR="00DF107C" w:rsidRPr="007B182D" w:rsidTr="000D5B6C">
        <w:trPr>
          <w:trHeight w:val="238"/>
        </w:trPr>
        <w:tc>
          <w:tcPr>
            <w:tcW w:w="1782" w:type="dxa"/>
            <w:tcBorders>
              <w:bottom w:val="single" w:sz="4" w:space="0" w:color="000000" w:themeColor="text1"/>
            </w:tcBorders>
            <w:noWrap/>
            <w:hideMark/>
          </w:tcPr>
          <w:p w:rsidR="00DF107C" w:rsidRPr="007B182D" w:rsidRDefault="00DF107C" w:rsidP="00B84F50">
            <w:pPr>
              <w:rPr>
                <w:rFonts w:ascii="Arial" w:eastAsia="宋体" w:hAnsi="Arial" w:cs="宋体"/>
                <w:sz w:val="18"/>
                <w:szCs w:val="18"/>
              </w:rPr>
            </w:pPr>
            <w:r w:rsidRPr="007B182D">
              <w:rPr>
                <w:rFonts w:ascii="Arial" w:eastAsia="宋体" w:hAnsi="Arial" w:hint="eastAsia"/>
                <w:sz w:val="18"/>
                <w:szCs w:val="18"/>
              </w:rPr>
              <w:t>其他</w:t>
            </w:r>
          </w:p>
        </w:tc>
        <w:tc>
          <w:tcPr>
            <w:tcW w:w="1031" w:type="dxa"/>
            <w:tcBorders>
              <w:bottom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18 </w:t>
            </w:r>
          </w:p>
        </w:tc>
        <w:tc>
          <w:tcPr>
            <w:tcW w:w="1191" w:type="dxa"/>
            <w:tcBorders>
              <w:bottom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4.7%</w:t>
            </w:r>
          </w:p>
        </w:tc>
        <w:tc>
          <w:tcPr>
            <w:tcW w:w="1191" w:type="dxa"/>
            <w:tcBorders>
              <w:bottom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14 </w:t>
            </w:r>
          </w:p>
        </w:tc>
        <w:tc>
          <w:tcPr>
            <w:tcW w:w="1191" w:type="dxa"/>
            <w:tcBorders>
              <w:bottom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612.47 </w:t>
            </w:r>
          </w:p>
        </w:tc>
        <w:tc>
          <w:tcPr>
            <w:tcW w:w="1191" w:type="dxa"/>
            <w:tcBorders>
              <w:bottom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0.6%</w:t>
            </w:r>
          </w:p>
        </w:tc>
        <w:tc>
          <w:tcPr>
            <w:tcW w:w="1191" w:type="dxa"/>
            <w:tcBorders>
              <w:bottom w:val="single" w:sz="4" w:space="0" w:color="000000" w:themeColor="text1"/>
            </w:tcBorders>
            <w:noWrap/>
            <w:hideMark/>
          </w:tcPr>
          <w:p w:rsidR="00DF107C" w:rsidRPr="007B182D" w:rsidRDefault="00DF107C" w:rsidP="00B84F50">
            <w:pPr>
              <w:jc w:val="right"/>
              <w:rPr>
                <w:rFonts w:ascii="Arial" w:eastAsia="宋体" w:hAnsi="Arial" w:cs="Arial"/>
                <w:sz w:val="18"/>
                <w:szCs w:val="18"/>
              </w:rPr>
            </w:pPr>
            <w:r w:rsidRPr="007B182D">
              <w:rPr>
                <w:rFonts w:ascii="Arial" w:eastAsia="宋体" w:hAnsi="Arial" w:cs="Arial"/>
                <w:sz w:val="18"/>
                <w:szCs w:val="18"/>
              </w:rPr>
              <w:t xml:space="preserve">43.75 </w:t>
            </w:r>
          </w:p>
        </w:tc>
      </w:tr>
      <w:tr w:rsidR="00DF107C" w:rsidRPr="007B182D" w:rsidTr="000D5B6C">
        <w:trPr>
          <w:trHeight w:val="253"/>
        </w:trPr>
        <w:tc>
          <w:tcPr>
            <w:tcW w:w="1782" w:type="dxa"/>
            <w:tcBorders>
              <w:top w:val="single" w:sz="4" w:space="0" w:color="000000" w:themeColor="text1"/>
            </w:tcBorders>
            <w:noWrap/>
            <w:hideMark/>
          </w:tcPr>
          <w:p w:rsidR="00DF107C" w:rsidRPr="007B182D" w:rsidRDefault="00DF107C" w:rsidP="00B84F50">
            <w:pPr>
              <w:rPr>
                <w:rFonts w:ascii="Arial" w:eastAsia="宋体" w:hAnsi="Arial" w:cs="宋体"/>
                <w:b/>
                <w:bCs/>
                <w:sz w:val="18"/>
                <w:szCs w:val="18"/>
              </w:rPr>
            </w:pPr>
            <w:r w:rsidRPr="007B182D">
              <w:rPr>
                <w:rFonts w:ascii="Arial" w:eastAsia="宋体" w:hAnsi="Arial" w:hint="eastAsia"/>
                <w:b/>
                <w:bCs/>
                <w:sz w:val="18"/>
                <w:szCs w:val="18"/>
              </w:rPr>
              <w:t>合计</w:t>
            </w:r>
          </w:p>
        </w:tc>
        <w:tc>
          <w:tcPr>
            <w:tcW w:w="1031" w:type="dxa"/>
            <w:tcBorders>
              <w:top w:val="single" w:sz="4" w:space="0" w:color="000000" w:themeColor="text1"/>
            </w:tcBorders>
            <w:noWrap/>
            <w:hideMark/>
          </w:tcPr>
          <w:p w:rsidR="00DF107C" w:rsidRPr="007B182D" w:rsidRDefault="00DF107C" w:rsidP="00B84F50">
            <w:pPr>
              <w:jc w:val="right"/>
              <w:rPr>
                <w:rFonts w:ascii="Arial" w:eastAsia="宋体" w:hAnsi="Arial" w:cs="Arial"/>
                <w:b/>
                <w:bCs/>
                <w:sz w:val="18"/>
                <w:szCs w:val="18"/>
              </w:rPr>
            </w:pPr>
            <w:r w:rsidRPr="007B182D">
              <w:rPr>
                <w:rFonts w:ascii="Arial" w:eastAsia="宋体" w:hAnsi="Arial" w:cs="Arial"/>
                <w:b/>
                <w:bCs/>
                <w:sz w:val="18"/>
                <w:szCs w:val="18"/>
              </w:rPr>
              <w:t xml:space="preserve">385 </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b/>
                <w:bCs/>
                <w:sz w:val="18"/>
                <w:szCs w:val="18"/>
              </w:rPr>
            </w:pPr>
            <w:r w:rsidRPr="007B182D">
              <w:rPr>
                <w:rFonts w:ascii="Arial" w:eastAsia="宋体" w:hAnsi="Arial" w:cs="Arial"/>
                <w:b/>
                <w:bCs/>
                <w:sz w:val="18"/>
                <w:szCs w:val="18"/>
              </w:rPr>
              <w:t>100.0%</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b/>
                <w:bCs/>
                <w:sz w:val="18"/>
                <w:szCs w:val="18"/>
              </w:rPr>
            </w:pPr>
            <w:r w:rsidRPr="007B182D">
              <w:rPr>
                <w:rFonts w:ascii="Arial" w:eastAsia="宋体" w:hAnsi="Arial" w:cs="Arial"/>
                <w:b/>
                <w:bCs/>
                <w:sz w:val="18"/>
                <w:szCs w:val="18"/>
              </w:rPr>
              <w:t xml:space="preserve">306 </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b/>
                <w:bCs/>
                <w:sz w:val="18"/>
                <w:szCs w:val="18"/>
              </w:rPr>
            </w:pPr>
            <w:r w:rsidRPr="007B182D">
              <w:rPr>
                <w:rFonts w:ascii="Arial" w:eastAsia="宋体" w:hAnsi="Arial" w:cs="Arial"/>
                <w:b/>
                <w:bCs/>
                <w:sz w:val="18"/>
                <w:szCs w:val="18"/>
              </w:rPr>
              <w:t xml:space="preserve">103,272.76 </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b/>
                <w:bCs/>
                <w:sz w:val="18"/>
                <w:szCs w:val="18"/>
              </w:rPr>
            </w:pPr>
            <w:r w:rsidRPr="007B182D">
              <w:rPr>
                <w:rFonts w:ascii="Arial" w:eastAsia="宋体" w:hAnsi="Arial" w:cs="Arial"/>
                <w:b/>
                <w:bCs/>
                <w:sz w:val="18"/>
                <w:szCs w:val="18"/>
              </w:rPr>
              <w:t>100.0%</w:t>
            </w:r>
          </w:p>
        </w:tc>
        <w:tc>
          <w:tcPr>
            <w:tcW w:w="1191" w:type="dxa"/>
            <w:tcBorders>
              <w:top w:val="single" w:sz="4" w:space="0" w:color="000000" w:themeColor="text1"/>
            </w:tcBorders>
            <w:noWrap/>
            <w:hideMark/>
          </w:tcPr>
          <w:p w:rsidR="00DF107C" w:rsidRPr="007B182D" w:rsidRDefault="00DF107C" w:rsidP="00B84F50">
            <w:pPr>
              <w:jc w:val="right"/>
              <w:rPr>
                <w:rFonts w:ascii="Arial" w:eastAsia="宋体" w:hAnsi="Arial" w:cs="Arial"/>
                <w:b/>
                <w:bCs/>
                <w:sz w:val="18"/>
                <w:szCs w:val="18"/>
              </w:rPr>
            </w:pPr>
            <w:r w:rsidRPr="007B182D">
              <w:rPr>
                <w:rFonts w:ascii="Arial" w:eastAsia="宋体" w:hAnsi="Arial" w:cs="Arial"/>
                <w:b/>
                <w:bCs/>
                <w:sz w:val="18"/>
                <w:szCs w:val="18"/>
              </w:rPr>
              <w:t xml:space="preserve">337.49 </w:t>
            </w:r>
          </w:p>
        </w:tc>
      </w:tr>
    </w:tbl>
    <w:p w:rsidR="00DF107C" w:rsidRPr="002F433A" w:rsidRDefault="00DF107C" w:rsidP="00DF107C">
      <w:pPr>
        <w:rPr>
          <w:rFonts w:ascii="Arial" w:eastAsia="楷体_GB2312" w:hAnsi="Arial"/>
          <w:szCs w:val="21"/>
        </w:rPr>
      </w:pPr>
      <w:r w:rsidRPr="005A7E42">
        <w:rPr>
          <w:rFonts w:ascii="Arial" w:eastAsia="宋体" w:hAnsi="Arial" w:hint="eastAsia"/>
          <w:sz w:val="18"/>
          <w:szCs w:val="21"/>
        </w:rPr>
        <w:t>来源：私募通</w:t>
      </w:r>
      <w:r w:rsidRPr="005A7E42">
        <w:rPr>
          <w:rFonts w:ascii="Arial" w:eastAsia="宋体" w:hAnsi="Arial"/>
          <w:sz w:val="18"/>
          <w:szCs w:val="21"/>
        </w:rPr>
        <w:t xml:space="preserve"> 2014.10                                                 </w:t>
      </w:r>
      <w:r w:rsidR="00B64B60">
        <w:rPr>
          <w:rFonts w:ascii="Arial" w:eastAsia="宋体" w:hAnsi="Arial" w:hint="eastAsia"/>
          <w:sz w:val="18"/>
          <w:szCs w:val="21"/>
        </w:rPr>
        <w:t xml:space="preserve">         </w:t>
      </w:r>
      <w:r w:rsidRPr="005A7E42">
        <w:rPr>
          <w:rFonts w:ascii="Arial" w:eastAsia="宋体" w:hAnsi="Arial"/>
          <w:sz w:val="18"/>
          <w:szCs w:val="21"/>
        </w:rPr>
        <w:t xml:space="preserve">   www.pedata.cn</w:t>
      </w:r>
    </w:p>
    <w:p w:rsidR="00DF107C" w:rsidRPr="000D5B6C" w:rsidRDefault="00DF107C" w:rsidP="000D5B6C">
      <w:pPr>
        <w:spacing w:line="360" w:lineRule="exact"/>
        <w:ind w:firstLineChars="200" w:firstLine="420"/>
        <w:rPr>
          <w:rFonts w:ascii="Arial" w:eastAsia="宋体" w:hAnsi="Arial"/>
          <w:szCs w:val="21"/>
        </w:rPr>
      </w:pPr>
    </w:p>
    <w:p w:rsidR="00DF107C" w:rsidRPr="000D5B6C" w:rsidRDefault="00DF107C" w:rsidP="000D5B6C">
      <w:pPr>
        <w:spacing w:line="360" w:lineRule="exact"/>
        <w:ind w:firstLineChars="200" w:firstLine="420"/>
        <w:rPr>
          <w:rFonts w:ascii="Arial" w:eastAsia="宋体" w:hAnsi="Arial"/>
          <w:szCs w:val="21"/>
        </w:rPr>
      </w:pPr>
      <w:r w:rsidRPr="000D5B6C">
        <w:rPr>
          <w:rFonts w:ascii="Arial" w:eastAsia="宋体" w:hAnsi="Arial" w:hint="eastAsia"/>
          <w:szCs w:val="21"/>
        </w:rPr>
        <w:t>整体来看，美国不论在并购活跃</w:t>
      </w:r>
      <w:proofErr w:type="gramStart"/>
      <w:r w:rsidRPr="000D5B6C">
        <w:rPr>
          <w:rFonts w:ascii="Arial" w:eastAsia="宋体" w:hAnsi="Arial" w:hint="eastAsia"/>
          <w:szCs w:val="21"/>
        </w:rPr>
        <w:t>度或者</w:t>
      </w:r>
      <w:proofErr w:type="gramEnd"/>
      <w:r w:rsidRPr="000D5B6C">
        <w:rPr>
          <w:rFonts w:ascii="Arial" w:eastAsia="宋体" w:hAnsi="Arial" w:hint="eastAsia"/>
          <w:szCs w:val="21"/>
        </w:rPr>
        <w:t>交易规模上都排列首位。</w:t>
      </w:r>
      <w:r w:rsidRPr="000D5B6C">
        <w:rPr>
          <w:rFonts w:ascii="Arial" w:eastAsia="宋体" w:hAnsi="Arial" w:hint="eastAsia"/>
          <w:szCs w:val="21"/>
        </w:rPr>
        <w:t>2012</w:t>
      </w:r>
      <w:r w:rsidRPr="000D5B6C">
        <w:rPr>
          <w:rFonts w:ascii="Arial" w:eastAsia="宋体" w:hAnsi="Arial" w:hint="eastAsia"/>
          <w:szCs w:val="21"/>
        </w:rPr>
        <w:t>年至</w:t>
      </w:r>
      <w:r w:rsidRPr="000D5B6C">
        <w:rPr>
          <w:rFonts w:ascii="Arial" w:eastAsia="宋体" w:hAnsi="Arial" w:hint="eastAsia"/>
          <w:szCs w:val="21"/>
        </w:rPr>
        <w:t>2014</w:t>
      </w:r>
      <w:r w:rsidRPr="000D5B6C">
        <w:rPr>
          <w:rFonts w:ascii="Arial" w:eastAsia="宋体" w:hAnsi="Arial" w:hint="eastAsia"/>
          <w:szCs w:val="21"/>
        </w:rPr>
        <w:t>年第三季度，中国企业共在美国完成</w:t>
      </w:r>
      <w:r w:rsidRPr="000D5B6C">
        <w:rPr>
          <w:rFonts w:ascii="Arial" w:eastAsia="宋体" w:hAnsi="Arial" w:hint="eastAsia"/>
          <w:szCs w:val="21"/>
        </w:rPr>
        <w:t>78</w:t>
      </w:r>
      <w:r w:rsidRPr="000D5B6C">
        <w:rPr>
          <w:rFonts w:ascii="Arial" w:eastAsia="宋体" w:hAnsi="Arial" w:hint="eastAsia"/>
          <w:szCs w:val="21"/>
        </w:rPr>
        <w:t>起并购投资，占比达</w:t>
      </w:r>
      <w:r w:rsidRPr="000D5B6C">
        <w:rPr>
          <w:rFonts w:ascii="Arial" w:eastAsia="宋体" w:hAnsi="Arial" w:hint="eastAsia"/>
          <w:szCs w:val="21"/>
        </w:rPr>
        <w:t>20.3%</w:t>
      </w:r>
      <w:r w:rsidRPr="000D5B6C">
        <w:rPr>
          <w:rFonts w:ascii="Arial" w:eastAsia="宋体" w:hAnsi="Arial" w:hint="eastAsia"/>
          <w:szCs w:val="21"/>
        </w:rPr>
        <w:t>；其中披露金额的</w:t>
      </w:r>
      <w:r w:rsidRPr="000D5B6C">
        <w:rPr>
          <w:rFonts w:ascii="Arial" w:eastAsia="宋体" w:hAnsi="Arial" w:hint="eastAsia"/>
          <w:szCs w:val="21"/>
        </w:rPr>
        <w:t>55</w:t>
      </w:r>
      <w:r w:rsidRPr="000D5B6C">
        <w:rPr>
          <w:rFonts w:ascii="Arial" w:eastAsia="宋体" w:hAnsi="Arial" w:hint="eastAsia"/>
          <w:szCs w:val="21"/>
        </w:rPr>
        <w:t>起案例共涉及金额</w:t>
      </w:r>
      <w:r w:rsidRPr="000D5B6C">
        <w:rPr>
          <w:rFonts w:ascii="Arial" w:eastAsia="宋体" w:hAnsi="Arial" w:hint="eastAsia"/>
          <w:szCs w:val="21"/>
        </w:rPr>
        <w:t>246.55</w:t>
      </w:r>
      <w:r w:rsidRPr="000D5B6C">
        <w:rPr>
          <w:rFonts w:ascii="Arial" w:eastAsia="宋体" w:hAnsi="Arial" w:hint="eastAsia"/>
          <w:szCs w:val="21"/>
        </w:rPr>
        <w:t>亿美元，占比达</w:t>
      </w:r>
      <w:r w:rsidRPr="000D5B6C">
        <w:rPr>
          <w:rFonts w:ascii="Arial" w:eastAsia="宋体" w:hAnsi="Arial" w:hint="eastAsia"/>
          <w:szCs w:val="21"/>
        </w:rPr>
        <w:t>23.9%</w:t>
      </w:r>
      <w:r w:rsidRPr="000D5B6C">
        <w:rPr>
          <w:rFonts w:ascii="Arial" w:eastAsia="宋体" w:hAnsi="Arial" w:hint="eastAsia"/>
          <w:szCs w:val="21"/>
        </w:rPr>
        <w:t>。在并购活跃度方面，排名第二的是德国，期间共完成并购投资</w:t>
      </w:r>
      <w:r w:rsidRPr="000D5B6C">
        <w:rPr>
          <w:rFonts w:ascii="Arial" w:eastAsia="宋体" w:hAnsi="Arial" w:hint="eastAsia"/>
          <w:szCs w:val="21"/>
        </w:rPr>
        <w:t>42</w:t>
      </w:r>
      <w:r w:rsidRPr="000D5B6C">
        <w:rPr>
          <w:rFonts w:ascii="Arial" w:eastAsia="宋体" w:hAnsi="Arial" w:hint="eastAsia"/>
          <w:szCs w:val="21"/>
        </w:rPr>
        <w:t>起，占比达</w:t>
      </w:r>
      <w:r w:rsidRPr="000D5B6C">
        <w:rPr>
          <w:rFonts w:ascii="Arial" w:eastAsia="宋体" w:hAnsi="Arial" w:hint="eastAsia"/>
          <w:szCs w:val="21"/>
        </w:rPr>
        <w:t>10.9%</w:t>
      </w:r>
      <w:r w:rsidRPr="000D5B6C">
        <w:rPr>
          <w:rFonts w:ascii="Arial" w:eastAsia="宋体" w:hAnsi="Arial" w:hint="eastAsia"/>
          <w:szCs w:val="21"/>
        </w:rPr>
        <w:t>；中国香港排名第三，共完成</w:t>
      </w:r>
      <w:r w:rsidRPr="000D5B6C">
        <w:rPr>
          <w:rFonts w:ascii="Arial" w:eastAsia="宋体" w:hAnsi="Arial" w:hint="eastAsia"/>
          <w:szCs w:val="21"/>
        </w:rPr>
        <w:t>33</w:t>
      </w:r>
      <w:r w:rsidRPr="000D5B6C">
        <w:rPr>
          <w:rFonts w:ascii="Arial" w:eastAsia="宋体" w:hAnsi="Arial" w:hint="eastAsia"/>
          <w:szCs w:val="21"/>
        </w:rPr>
        <w:t>起案例并占比</w:t>
      </w:r>
      <w:r w:rsidRPr="000D5B6C">
        <w:rPr>
          <w:rFonts w:ascii="Arial" w:eastAsia="宋体" w:hAnsi="Arial" w:hint="eastAsia"/>
          <w:szCs w:val="21"/>
        </w:rPr>
        <w:t>8.6%</w:t>
      </w:r>
      <w:r w:rsidRPr="000D5B6C">
        <w:rPr>
          <w:rFonts w:ascii="Arial" w:eastAsia="宋体" w:hAnsi="Arial" w:hint="eastAsia"/>
          <w:szCs w:val="21"/>
        </w:rPr>
        <w:t>；随后分别有加拿大、澳大利亚、英国和新加坡，完成的并购投资案例数分别为</w:t>
      </w:r>
      <w:r w:rsidRPr="000D5B6C">
        <w:rPr>
          <w:rFonts w:ascii="Arial" w:eastAsia="宋体" w:hAnsi="Arial" w:hint="eastAsia"/>
          <w:szCs w:val="21"/>
        </w:rPr>
        <w:t>30</w:t>
      </w:r>
      <w:r w:rsidRPr="000D5B6C">
        <w:rPr>
          <w:rFonts w:ascii="Arial" w:eastAsia="宋体" w:hAnsi="Arial" w:hint="eastAsia"/>
          <w:szCs w:val="21"/>
        </w:rPr>
        <w:t>、</w:t>
      </w:r>
      <w:r w:rsidRPr="000D5B6C">
        <w:rPr>
          <w:rFonts w:ascii="Arial" w:eastAsia="宋体" w:hAnsi="Arial" w:hint="eastAsia"/>
          <w:szCs w:val="21"/>
        </w:rPr>
        <w:t>27</w:t>
      </w:r>
      <w:r w:rsidRPr="000D5B6C">
        <w:rPr>
          <w:rFonts w:ascii="Arial" w:eastAsia="宋体" w:hAnsi="Arial" w:hint="eastAsia"/>
          <w:szCs w:val="21"/>
        </w:rPr>
        <w:t>、</w:t>
      </w:r>
      <w:r w:rsidRPr="000D5B6C">
        <w:rPr>
          <w:rFonts w:ascii="Arial" w:eastAsia="宋体" w:hAnsi="Arial" w:hint="eastAsia"/>
          <w:szCs w:val="21"/>
        </w:rPr>
        <w:t>22</w:t>
      </w:r>
      <w:r w:rsidRPr="000D5B6C">
        <w:rPr>
          <w:rFonts w:ascii="Arial" w:eastAsia="宋体" w:hAnsi="Arial" w:hint="eastAsia"/>
          <w:szCs w:val="21"/>
        </w:rPr>
        <w:t>、</w:t>
      </w:r>
      <w:r w:rsidRPr="000D5B6C">
        <w:rPr>
          <w:rFonts w:ascii="Arial" w:eastAsia="宋体" w:hAnsi="Arial" w:hint="eastAsia"/>
          <w:szCs w:val="21"/>
        </w:rPr>
        <w:t>14</w:t>
      </w:r>
      <w:r w:rsidRPr="000D5B6C">
        <w:rPr>
          <w:rFonts w:ascii="Arial" w:eastAsia="宋体" w:hAnsi="Arial" w:hint="eastAsia"/>
          <w:szCs w:val="21"/>
        </w:rPr>
        <w:t>。其余国家完成的投资个数均低于</w:t>
      </w:r>
      <w:r w:rsidRPr="000D5B6C">
        <w:rPr>
          <w:rFonts w:ascii="Arial" w:eastAsia="宋体" w:hAnsi="Arial" w:hint="eastAsia"/>
          <w:szCs w:val="21"/>
        </w:rPr>
        <w:t>10</w:t>
      </w:r>
      <w:r w:rsidRPr="000D5B6C">
        <w:rPr>
          <w:rFonts w:ascii="Arial" w:eastAsia="宋体" w:hAnsi="Arial" w:hint="eastAsia"/>
          <w:szCs w:val="21"/>
        </w:rPr>
        <w:t>起，</w:t>
      </w:r>
      <w:proofErr w:type="gramStart"/>
      <w:r w:rsidRPr="000D5B6C">
        <w:rPr>
          <w:rFonts w:ascii="Arial" w:eastAsia="宋体" w:hAnsi="Arial" w:hint="eastAsia"/>
          <w:szCs w:val="21"/>
        </w:rPr>
        <w:t>占比较</w:t>
      </w:r>
      <w:proofErr w:type="gramEnd"/>
      <w:r w:rsidRPr="000D5B6C">
        <w:rPr>
          <w:rFonts w:ascii="Arial" w:eastAsia="宋体" w:hAnsi="Arial" w:hint="eastAsia"/>
          <w:szCs w:val="21"/>
        </w:rPr>
        <w:t>小。在并购规模方面，除了美国，表现较为突出的为加拿大和葡萄牙，其中加拿大以</w:t>
      </w:r>
      <w:r w:rsidRPr="000D5B6C">
        <w:rPr>
          <w:rFonts w:ascii="Arial" w:eastAsia="宋体" w:hAnsi="Arial" w:hint="eastAsia"/>
          <w:szCs w:val="21"/>
        </w:rPr>
        <w:t>202.68</w:t>
      </w:r>
      <w:r w:rsidRPr="000D5B6C">
        <w:rPr>
          <w:rFonts w:ascii="Arial" w:eastAsia="宋体" w:hAnsi="Arial" w:hint="eastAsia"/>
          <w:szCs w:val="21"/>
        </w:rPr>
        <w:t>亿美元并占比</w:t>
      </w:r>
      <w:r w:rsidRPr="000D5B6C">
        <w:rPr>
          <w:rFonts w:ascii="Arial" w:eastAsia="宋体" w:hAnsi="Arial" w:hint="eastAsia"/>
          <w:szCs w:val="21"/>
        </w:rPr>
        <w:t>19.6%</w:t>
      </w:r>
      <w:r w:rsidRPr="000D5B6C">
        <w:rPr>
          <w:rFonts w:ascii="Arial" w:eastAsia="宋体" w:hAnsi="Arial" w:hint="eastAsia"/>
          <w:szCs w:val="21"/>
        </w:rPr>
        <w:t>的成绩排名第二；葡萄牙在</w:t>
      </w:r>
      <w:r w:rsidRPr="000D5B6C">
        <w:rPr>
          <w:rFonts w:ascii="Arial" w:eastAsia="宋体" w:hAnsi="Arial" w:hint="eastAsia"/>
          <w:szCs w:val="21"/>
        </w:rPr>
        <w:t>2012</w:t>
      </w:r>
      <w:r w:rsidRPr="000D5B6C">
        <w:rPr>
          <w:rFonts w:ascii="Arial" w:eastAsia="宋体" w:hAnsi="Arial" w:hint="eastAsia"/>
          <w:szCs w:val="21"/>
        </w:rPr>
        <w:t>年至</w:t>
      </w:r>
      <w:r w:rsidRPr="000D5B6C">
        <w:rPr>
          <w:rFonts w:ascii="Arial" w:eastAsia="宋体" w:hAnsi="Arial" w:hint="eastAsia"/>
          <w:szCs w:val="21"/>
        </w:rPr>
        <w:t>2014</w:t>
      </w:r>
      <w:r w:rsidRPr="000D5B6C">
        <w:rPr>
          <w:rFonts w:ascii="Arial" w:eastAsia="宋体" w:hAnsi="Arial" w:hint="eastAsia"/>
          <w:szCs w:val="21"/>
        </w:rPr>
        <w:t>年第三季度共完成</w:t>
      </w:r>
      <w:r w:rsidRPr="000D5B6C">
        <w:rPr>
          <w:rFonts w:ascii="Arial" w:eastAsia="宋体" w:hAnsi="Arial" w:hint="eastAsia"/>
          <w:szCs w:val="21"/>
        </w:rPr>
        <w:t>106.00</w:t>
      </w:r>
      <w:r w:rsidRPr="000D5B6C">
        <w:rPr>
          <w:rFonts w:ascii="Arial" w:eastAsia="宋体" w:hAnsi="Arial" w:hint="eastAsia"/>
          <w:szCs w:val="21"/>
        </w:rPr>
        <w:t>亿美元的并购投资规模，占全部金额的</w:t>
      </w:r>
      <w:r w:rsidRPr="000D5B6C">
        <w:rPr>
          <w:rFonts w:ascii="Arial" w:eastAsia="宋体" w:hAnsi="Arial" w:hint="eastAsia"/>
          <w:szCs w:val="21"/>
        </w:rPr>
        <w:t>10.2%</w:t>
      </w:r>
      <w:r w:rsidRPr="000D5B6C">
        <w:rPr>
          <w:rFonts w:ascii="Arial" w:eastAsia="宋体" w:hAnsi="Arial" w:hint="eastAsia"/>
          <w:szCs w:val="21"/>
        </w:rPr>
        <w:t>，其余国家及地区的海外并购投资规模相对较小。虽然金融危机后美国的经济受到重创，但随着美国政府采取了</w:t>
      </w:r>
      <w:r w:rsidRPr="000D5B6C">
        <w:rPr>
          <w:rFonts w:ascii="Arial" w:eastAsia="宋体" w:hAnsi="Arial" w:hint="eastAsia"/>
          <w:szCs w:val="21"/>
        </w:rPr>
        <w:t>QE</w:t>
      </w:r>
      <w:r w:rsidRPr="000D5B6C">
        <w:rPr>
          <w:rFonts w:ascii="Arial" w:eastAsia="宋体" w:hAnsi="Arial" w:hint="eastAsia"/>
          <w:szCs w:val="21"/>
        </w:rPr>
        <w:t>宽松、大规模建水、保障民生等一系列救市举措后，其经济复苏的趋势越来越明朗，投资者信息逐渐回升，美国依然为海外投资的热门标的国家。</w:t>
      </w:r>
    </w:p>
    <w:p w:rsidR="00DF107C" w:rsidRPr="000D5B6C" w:rsidRDefault="00DF107C" w:rsidP="000D5B6C">
      <w:pPr>
        <w:spacing w:line="360" w:lineRule="exact"/>
        <w:ind w:firstLineChars="200" w:firstLine="420"/>
        <w:rPr>
          <w:rFonts w:ascii="Arial" w:eastAsia="宋体" w:hAnsi="Arial"/>
          <w:szCs w:val="21"/>
        </w:rPr>
      </w:pPr>
    </w:p>
    <w:p w:rsidR="00DF107C" w:rsidRPr="00744D23" w:rsidRDefault="00DF107C" w:rsidP="00DF107C">
      <w:pPr>
        <w:widowControl/>
        <w:rPr>
          <w:rFonts w:ascii="Arial" w:eastAsia="宋体" w:hAnsi="Arial" w:cs="宋体"/>
          <w:b/>
          <w:bCs/>
          <w:kern w:val="0"/>
          <w:sz w:val="18"/>
          <w:szCs w:val="18"/>
        </w:rPr>
      </w:pPr>
      <w:r w:rsidRPr="002F433A">
        <w:rPr>
          <w:rFonts w:ascii="Arial" w:eastAsia="宋体" w:hAnsi="Arial" w:cs="宋体" w:hint="eastAsia"/>
          <w:b/>
          <w:bCs/>
          <w:kern w:val="0"/>
          <w:sz w:val="18"/>
          <w:szCs w:val="18"/>
        </w:rPr>
        <w:t>表</w:t>
      </w:r>
      <w:r w:rsidRPr="002F433A">
        <w:rPr>
          <w:rFonts w:ascii="Arial" w:eastAsia="宋体" w:hAnsi="Arial" w:cs="宋体"/>
          <w:b/>
          <w:bCs/>
          <w:kern w:val="0"/>
          <w:sz w:val="18"/>
          <w:szCs w:val="18"/>
        </w:rPr>
        <w:t>2012-</w:t>
      </w:r>
      <w:r w:rsidRPr="00C2650A">
        <w:rPr>
          <w:rFonts w:ascii="Arial" w:eastAsia="宋体" w:hAnsi="Arial" w:cs="Arial"/>
          <w:b/>
          <w:bCs/>
          <w:kern w:val="0"/>
          <w:sz w:val="18"/>
          <w:szCs w:val="18"/>
        </w:rPr>
        <w:t>2014'Q3</w:t>
      </w:r>
      <w:r w:rsidRPr="002F433A">
        <w:rPr>
          <w:rFonts w:ascii="Arial" w:eastAsia="宋体" w:hAnsi="Arial" w:cs="宋体" w:hint="eastAsia"/>
          <w:b/>
          <w:bCs/>
          <w:kern w:val="0"/>
          <w:sz w:val="18"/>
          <w:szCs w:val="18"/>
        </w:rPr>
        <w:t>中国企业海外投资</w:t>
      </w:r>
      <w:r>
        <w:rPr>
          <w:rFonts w:ascii="Arial" w:eastAsia="宋体" w:hAnsi="Arial" w:cs="宋体" w:hint="eastAsia"/>
          <w:b/>
          <w:bCs/>
          <w:kern w:val="0"/>
          <w:sz w:val="18"/>
          <w:szCs w:val="18"/>
        </w:rPr>
        <w:t>地域</w:t>
      </w:r>
      <w:r w:rsidRPr="002F433A">
        <w:rPr>
          <w:rFonts w:ascii="Arial" w:eastAsia="宋体" w:hAnsi="Arial" w:cs="宋体" w:hint="eastAsia"/>
          <w:b/>
          <w:bCs/>
          <w:kern w:val="0"/>
          <w:sz w:val="18"/>
          <w:szCs w:val="18"/>
        </w:rPr>
        <w:t>分布统计（按被并购方）</w:t>
      </w:r>
    </w:p>
    <w:tbl>
      <w:tblPr>
        <w:tblStyle w:val="a5"/>
        <w:tblW w:w="8762" w:type="dxa"/>
        <w:tblBorders>
          <w:left w:val="none" w:sz="0" w:space="0" w:color="auto"/>
          <w:right w:val="none" w:sz="0" w:space="0" w:color="auto"/>
          <w:insideH w:val="none" w:sz="0" w:space="0" w:color="auto"/>
          <w:insideV w:val="none" w:sz="0" w:space="0" w:color="auto"/>
        </w:tblBorders>
        <w:tblLook w:val="04A0"/>
      </w:tblPr>
      <w:tblGrid>
        <w:gridCol w:w="1701"/>
        <w:gridCol w:w="1063"/>
        <w:gridCol w:w="1195"/>
        <w:gridCol w:w="1195"/>
        <w:gridCol w:w="1218"/>
        <w:gridCol w:w="1195"/>
        <w:gridCol w:w="1195"/>
      </w:tblGrid>
      <w:tr w:rsidR="00DF107C" w:rsidRPr="007B182D" w:rsidTr="001A6D7C">
        <w:trPr>
          <w:trHeight w:val="240"/>
        </w:trPr>
        <w:tc>
          <w:tcPr>
            <w:tcW w:w="1701"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国家及地区</w:t>
            </w:r>
          </w:p>
        </w:tc>
        <w:tc>
          <w:tcPr>
            <w:tcW w:w="1063"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案例数</w:t>
            </w:r>
          </w:p>
        </w:tc>
        <w:tc>
          <w:tcPr>
            <w:tcW w:w="1195"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比例</w:t>
            </w:r>
          </w:p>
        </w:tc>
        <w:tc>
          <w:tcPr>
            <w:tcW w:w="1195"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案例数（金）</w:t>
            </w:r>
          </w:p>
        </w:tc>
        <w:tc>
          <w:tcPr>
            <w:tcW w:w="1218"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并购总额</w:t>
            </w:r>
            <w:r w:rsidRPr="007B182D">
              <w:rPr>
                <w:rFonts w:ascii="Arial" w:eastAsia="宋体" w:hAnsi="Arial" w:cs="Arial"/>
                <w:b/>
                <w:bCs/>
                <w:kern w:val="0"/>
                <w:sz w:val="18"/>
                <w:szCs w:val="18"/>
              </w:rPr>
              <w:t>(US$M)</w:t>
            </w:r>
          </w:p>
        </w:tc>
        <w:tc>
          <w:tcPr>
            <w:tcW w:w="1195"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比例</w:t>
            </w:r>
          </w:p>
        </w:tc>
        <w:tc>
          <w:tcPr>
            <w:tcW w:w="1195" w:type="dxa"/>
            <w:tcBorders>
              <w:bottom w:val="single" w:sz="4" w:space="0" w:color="000000" w:themeColor="text1"/>
            </w:tcBorders>
            <w:noWrap/>
            <w:vAlign w:val="center"/>
            <w:hideMark/>
          </w:tcPr>
          <w:p w:rsidR="00DF107C" w:rsidRPr="007B182D" w:rsidRDefault="00DF107C" w:rsidP="001A6D7C">
            <w:pPr>
              <w:widowControl/>
              <w:jc w:val="center"/>
              <w:rPr>
                <w:rFonts w:ascii="Arial" w:eastAsia="宋体" w:hAnsi="Arial" w:cs="宋体"/>
                <w:b/>
                <w:bCs/>
                <w:kern w:val="0"/>
                <w:sz w:val="18"/>
                <w:szCs w:val="18"/>
              </w:rPr>
            </w:pPr>
            <w:r w:rsidRPr="007B182D">
              <w:rPr>
                <w:rFonts w:ascii="Arial" w:eastAsia="宋体" w:hAnsi="Arial" w:cs="宋体" w:hint="eastAsia"/>
                <w:b/>
                <w:bCs/>
                <w:kern w:val="0"/>
                <w:sz w:val="18"/>
                <w:szCs w:val="18"/>
              </w:rPr>
              <w:t>平均并购金额</w:t>
            </w:r>
            <w:r w:rsidRPr="007B182D">
              <w:rPr>
                <w:rFonts w:ascii="Arial" w:eastAsia="宋体" w:hAnsi="Arial" w:cs="Arial"/>
                <w:b/>
                <w:bCs/>
                <w:kern w:val="0"/>
                <w:sz w:val="18"/>
                <w:szCs w:val="18"/>
              </w:rPr>
              <w:t>(US$M)</w:t>
            </w:r>
          </w:p>
        </w:tc>
      </w:tr>
      <w:tr w:rsidR="00DF107C" w:rsidRPr="007B182D" w:rsidTr="000D5B6C">
        <w:trPr>
          <w:trHeight w:val="240"/>
        </w:trPr>
        <w:tc>
          <w:tcPr>
            <w:tcW w:w="1701" w:type="dxa"/>
            <w:tcBorders>
              <w:top w:val="single" w:sz="4" w:space="0" w:color="000000" w:themeColor="text1"/>
            </w:tcBorders>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美国</w:t>
            </w:r>
          </w:p>
        </w:tc>
        <w:tc>
          <w:tcPr>
            <w:tcW w:w="1063"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78 </w:t>
            </w:r>
          </w:p>
        </w:tc>
        <w:tc>
          <w:tcPr>
            <w:tcW w:w="1195"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20.3%</w:t>
            </w:r>
          </w:p>
        </w:tc>
        <w:tc>
          <w:tcPr>
            <w:tcW w:w="1195"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55 </w:t>
            </w:r>
          </w:p>
        </w:tc>
        <w:tc>
          <w:tcPr>
            <w:tcW w:w="1218"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24,654.63 </w:t>
            </w:r>
          </w:p>
        </w:tc>
        <w:tc>
          <w:tcPr>
            <w:tcW w:w="1195"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23.9%</w:t>
            </w:r>
          </w:p>
        </w:tc>
        <w:tc>
          <w:tcPr>
            <w:tcW w:w="1195"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448.27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德国</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10.9%</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28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2,389.76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2.3%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85.35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中国香港</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8.6%</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30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5,132.48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5.0%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171.08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加拿大</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7.8%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28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20,267.83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19.6%</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723.85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澳大利亚</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27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7.0%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16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6,478.11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6.3%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404.88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英国</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5.7%</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19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6,051.12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5.9%</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318.48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新加坡</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14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3.6%</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387.48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0.4%</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32.29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法国</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2.1%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80.30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20.07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意大利</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2.1%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3,644.51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3.5%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455.56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lastRenderedPageBreak/>
              <w:t>日本</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14.95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2.14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荷兰</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1.6%</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1,379.17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344.79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加蓬</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1.6%</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37.91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6.32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葡萄牙</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1.6%</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10,569.77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10.2%</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1,761.63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西班牙</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1.6%</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1,444.70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1.4%</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240.78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俄罗斯</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15.12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15.12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新西兰</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985.23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197.05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中国台湾</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14.83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3.71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瑞典</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8.93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4.47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瑞士</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1,292.60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430.87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泰国</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892.43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0.9%</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223.11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印度尼西亚</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85.59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21.40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巴西</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143.95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71.98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比利时</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511.80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255.90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波兰</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90.86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30.29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玻利维亚</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58.92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19.64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丹麦</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9.64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3.21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韩国</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95.89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31.96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南非</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675.86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0.7%</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337.93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奥地利</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154.63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77.32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卢森堡</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1,552.25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776.13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马来西亚</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　</w:t>
            </w:r>
            <w:r w:rsidRPr="007B182D">
              <w:rPr>
                <w:rFonts w:ascii="Arial" w:eastAsia="宋体" w:hAnsi="Arial" w:cs="Arial" w:hint="eastAsia"/>
                <w:kern w:val="0"/>
                <w:sz w:val="18"/>
                <w:szCs w:val="18"/>
              </w:rPr>
              <w:t>N/A</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　</w:t>
            </w:r>
            <w:r w:rsidRPr="007B182D">
              <w:rPr>
                <w:rFonts w:ascii="Arial" w:eastAsia="宋体" w:hAnsi="Arial" w:cs="Arial" w:hint="eastAsia"/>
                <w:kern w:val="0"/>
                <w:sz w:val="18"/>
                <w:szCs w:val="18"/>
              </w:rPr>
              <w:t>N/A</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　</w:t>
            </w:r>
            <w:r w:rsidRPr="007B182D">
              <w:rPr>
                <w:rFonts w:ascii="Arial" w:eastAsia="宋体" w:hAnsi="Arial" w:cs="Arial" w:hint="eastAsia"/>
                <w:kern w:val="0"/>
                <w:sz w:val="18"/>
                <w:szCs w:val="18"/>
              </w:rPr>
              <w:t>N/A</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墨西哥</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15.22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7.61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特立尼达和多巴哥</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353.19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353.19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以色列</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291.63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145.82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印度</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25.71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12.85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英属维尔京群岛</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0.5%</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43.75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21.88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阿根廷</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600.00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0.6%</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600.00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阿联酋</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1.30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1.30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埃及</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3,100.00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3.0%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3,100.00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保加利亚</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6.62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6.62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厄立特里亚</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80.00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80.00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芬兰</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24.88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24.88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刚果</w:t>
            </w:r>
            <w:r w:rsidRPr="007B182D">
              <w:rPr>
                <w:rFonts w:ascii="Arial" w:eastAsia="宋体" w:hAnsi="Arial" w:cs="宋体" w:hint="eastAsia"/>
                <w:kern w:val="0"/>
                <w:sz w:val="18"/>
                <w:szCs w:val="18"/>
              </w:rPr>
              <w:t>(</w:t>
            </w:r>
            <w:r w:rsidRPr="007B182D">
              <w:rPr>
                <w:rFonts w:ascii="Arial" w:eastAsia="宋体" w:hAnsi="Arial" w:cs="宋体" w:hint="eastAsia"/>
                <w:kern w:val="0"/>
                <w:sz w:val="18"/>
                <w:szCs w:val="18"/>
              </w:rPr>
              <w:t>民</w:t>
            </w:r>
            <w:r w:rsidRPr="007B182D">
              <w:rPr>
                <w:rFonts w:ascii="Arial" w:eastAsia="宋体" w:hAnsi="Arial" w:cs="宋体" w:hint="eastAsia"/>
                <w:kern w:val="0"/>
                <w:sz w:val="18"/>
                <w:szCs w:val="18"/>
              </w:rPr>
              <w:t>)</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1,334.73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1.3%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1,334.73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哥伦比亚</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0.97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0.97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哈萨克斯坦</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15.00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15.00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吉布提</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185.00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0.2%</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185.00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吉尔吉斯</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281.81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281.81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柬埔寨</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24.00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24.00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开曼群岛</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463.83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0.4%</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463.83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蒙古</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2.51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2.51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秘鲁</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7,005.00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6.8%</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7,005.00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挪威</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5.05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5.05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土耳其</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67.60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0.1%</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67.60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lastRenderedPageBreak/>
              <w:t>乌克兰</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0.01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0.01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匈牙利</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0.49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0.49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越南</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15.80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15.80 </w:t>
            </w:r>
          </w:p>
        </w:tc>
      </w:tr>
      <w:tr w:rsidR="00DF107C" w:rsidRPr="007B182D" w:rsidTr="000D5B6C">
        <w:trPr>
          <w:trHeight w:val="240"/>
        </w:trPr>
        <w:tc>
          <w:tcPr>
            <w:tcW w:w="1701" w:type="dxa"/>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智利</w:t>
            </w:r>
          </w:p>
        </w:tc>
        <w:tc>
          <w:tcPr>
            <w:tcW w:w="1063"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0.3%</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 </w:t>
            </w:r>
          </w:p>
        </w:tc>
        <w:tc>
          <w:tcPr>
            <w:tcW w:w="1218"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14.28 </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0.0%</w:t>
            </w:r>
          </w:p>
        </w:tc>
        <w:tc>
          <w:tcPr>
            <w:tcW w:w="1195" w:type="dxa"/>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14.28 </w:t>
            </w:r>
          </w:p>
        </w:tc>
      </w:tr>
      <w:tr w:rsidR="00DF107C" w:rsidRPr="007B182D" w:rsidTr="000D5B6C">
        <w:trPr>
          <w:trHeight w:val="240"/>
        </w:trPr>
        <w:tc>
          <w:tcPr>
            <w:tcW w:w="1701" w:type="dxa"/>
            <w:tcBorders>
              <w:bottom w:val="single" w:sz="4" w:space="0" w:color="000000" w:themeColor="text1"/>
            </w:tcBorders>
            <w:noWrap/>
            <w:hideMark/>
          </w:tcPr>
          <w:p w:rsidR="00DF107C" w:rsidRPr="007B182D" w:rsidRDefault="00DF107C" w:rsidP="00B84F50">
            <w:pPr>
              <w:widowControl/>
              <w:jc w:val="left"/>
              <w:rPr>
                <w:rFonts w:ascii="Arial" w:eastAsia="宋体" w:hAnsi="Arial" w:cs="宋体"/>
                <w:kern w:val="0"/>
                <w:sz w:val="18"/>
                <w:szCs w:val="18"/>
              </w:rPr>
            </w:pPr>
            <w:r w:rsidRPr="007B182D">
              <w:rPr>
                <w:rFonts w:ascii="Arial" w:eastAsia="宋体" w:hAnsi="Arial" w:cs="宋体" w:hint="eastAsia"/>
                <w:kern w:val="0"/>
                <w:sz w:val="18"/>
                <w:szCs w:val="18"/>
              </w:rPr>
              <w:t>未披露</w:t>
            </w:r>
          </w:p>
        </w:tc>
        <w:tc>
          <w:tcPr>
            <w:tcW w:w="1063" w:type="dxa"/>
            <w:tcBorders>
              <w:bottom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3 </w:t>
            </w:r>
          </w:p>
        </w:tc>
        <w:tc>
          <w:tcPr>
            <w:tcW w:w="1195" w:type="dxa"/>
            <w:tcBorders>
              <w:bottom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0.8%</w:t>
            </w:r>
          </w:p>
        </w:tc>
        <w:tc>
          <w:tcPr>
            <w:tcW w:w="1195" w:type="dxa"/>
            <w:tcBorders>
              <w:bottom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2 </w:t>
            </w:r>
          </w:p>
        </w:tc>
        <w:tc>
          <w:tcPr>
            <w:tcW w:w="1218" w:type="dxa"/>
            <w:tcBorders>
              <w:bottom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193.10 </w:t>
            </w:r>
          </w:p>
        </w:tc>
        <w:tc>
          <w:tcPr>
            <w:tcW w:w="1195" w:type="dxa"/>
            <w:tcBorders>
              <w:bottom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0.2%</w:t>
            </w:r>
          </w:p>
        </w:tc>
        <w:tc>
          <w:tcPr>
            <w:tcW w:w="1195" w:type="dxa"/>
            <w:tcBorders>
              <w:bottom w:val="single" w:sz="4" w:space="0" w:color="000000" w:themeColor="text1"/>
            </w:tcBorders>
            <w:noWrap/>
            <w:hideMark/>
          </w:tcPr>
          <w:p w:rsidR="00DF107C" w:rsidRPr="007B182D" w:rsidRDefault="00DF107C" w:rsidP="00B84F50">
            <w:pPr>
              <w:widowControl/>
              <w:jc w:val="right"/>
              <w:rPr>
                <w:rFonts w:ascii="Arial" w:eastAsia="宋体" w:hAnsi="Arial" w:cs="Arial"/>
                <w:kern w:val="0"/>
                <w:sz w:val="18"/>
                <w:szCs w:val="18"/>
              </w:rPr>
            </w:pPr>
            <w:r w:rsidRPr="007B182D">
              <w:rPr>
                <w:rFonts w:ascii="Arial" w:eastAsia="宋体" w:hAnsi="Arial" w:cs="Arial"/>
                <w:kern w:val="0"/>
                <w:sz w:val="18"/>
                <w:szCs w:val="18"/>
              </w:rPr>
              <w:t xml:space="preserve">96.55 </w:t>
            </w:r>
          </w:p>
        </w:tc>
      </w:tr>
      <w:tr w:rsidR="00DF107C" w:rsidRPr="007B182D" w:rsidTr="000D5B6C">
        <w:trPr>
          <w:trHeight w:val="255"/>
        </w:trPr>
        <w:tc>
          <w:tcPr>
            <w:tcW w:w="1701" w:type="dxa"/>
            <w:tcBorders>
              <w:top w:val="single" w:sz="4" w:space="0" w:color="000000" w:themeColor="text1"/>
            </w:tcBorders>
            <w:noWrap/>
            <w:hideMark/>
          </w:tcPr>
          <w:p w:rsidR="00DF107C" w:rsidRPr="007B182D" w:rsidRDefault="00DF107C" w:rsidP="00B84F50">
            <w:pPr>
              <w:widowControl/>
              <w:jc w:val="left"/>
              <w:rPr>
                <w:rFonts w:ascii="Arial" w:eastAsia="宋体" w:hAnsi="Arial" w:cs="宋体"/>
                <w:b/>
                <w:bCs/>
                <w:kern w:val="0"/>
                <w:sz w:val="18"/>
                <w:szCs w:val="18"/>
              </w:rPr>
            </w:pPr>
            <w:r w:rsidRPr="007B182D">
              <w:rPr>
                <w:rFonts w:ascii="Arial" w:eastAsia="宋体" w:hAnsi="Arial" w:cs="宋体" w:hint="eastAsia"/>
                <w:b/>
                <w:bCs/>
                <w:kern w:val="0"/>
                <w:sz w:val="18"/>
                <w:szCs w:val="18"/>
              </w:rPr>
              <w:t>合计</w:t>
            </w:r>
          </w:p>
        </w:tc>
        <w:tc>
          <w:tcPr>
            <w:tcW w:w="1063"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b/>
                <w:bCs/>
                <w:kern w:val="0"/>
                <w:sz w:val="18"/>
                <w:szCs w:val="18"/>
              </w:rPr>
            </w:pPr>
            <w:r w:rsidRPr="007B182D">
              <w:rPr>
                <w:rFonts w:ascii="Arial" w:eastAsia="宋体" w:hAnsi="Arial" w:cs="Arial"/>
                <w:b/>
                <w:bCs/>
                <w:kern w:val="0"/>
                <w:sz w:val="18"/>
                <w:szCs w:val="18"/>
              </w:rPr>
              <w:t xml:space="preserve">385 </w:t>
            </w:r>
          </w:p>
        </w:tc>
        <w:tc>
          <w:tcPr>
            <w:tcW w:w="1195"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b/>
                <w:bCs/>
                <w:kern w:val="0"/>
                <w:sz w:val="18"/>
                <w:szCs w:val="18"/>
              </w:rPr>
            </w:pPr>
            <w:r w:rsidRPr="007B182D">
              <w:rPr>
                <w:rFonts w:ascii="Arial" w:eastAsia="宋体" w:hAnsi="Arial" w:cs="Arial"/>
                <w:b/>
                <w:bCs/>
                <w:kern w:val="0"/>
                <w:sz w:val="18"/>
                <w:szCs w:val="18"/>
              </w:rPr>
              <w:t>100.0%</w:t>
            </w:r>
          </w:p>
        </w:tc>
        <w:tc>
          <w:tcPr>
            <w:tcW w:w="1195"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b/>
                <w:bCs/>
                <w:kern w:val="0"/>
                <w:sz w:val="18"/>
                <w:szCs w:val="18"/>
              </w:rPr>
            </w:pPr>
            <w:r w:rsidRPr="007B182D">
              <w:rPr>
                <w:rFonts w:ascii="Arial" w:eastAsia="宋体" w:hAnsi="Arial" w:cs="Arial"/>
                <w:b/>
                <w:bCs/>
                <w:kern w:val="0"/>
                <w:sz w:val="18"/>
                <w:szCs w:val="18"/>
              </w:rPr>
              <w:t xml:space="preserve">306 </w:t>
            </w:r>
          </w:p>
        </w:tc>
        <w:tc>
          <w:tcPr>
            <w:tcW w:w="1218"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b/>
                <w:bCs/>
                <w:kern w:val="0"/>
                <w:sz w:val="18"/>
                <w:szCs w:val="18"/>
              </w:rPr>
            </w:pPr>
            <w:r w:rsidRPr="007B182D">
              <w:rPr>
                <w:rFonts w:ascii="Arial" w:eastAsia="宋体" w:hAnsi="Arial" w:cs="Arial"/>
                <w:b/>
                <w:bCs/>
                <w:kern w:val="0"/>
                <w:sz w:val="18"/>
                <w:szCs w:val="18"/>
              </w:rPr>
              <w:t xml:space="preserve">103,272.76 </w:t>
            </w:r>
          </w:p>
        </w:tc>
        <w:tc>
          <w:tcPr>
            <w:tcW w:w="1195"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b/>
                <w:bCs/>
                <w:kern w:val="0"/>
                <w:sz w:val="18"/>
                <w:szCs w:val="18"/>
              </w:rPr>
            </w:pPr>
            <w:r w:rsidRPr="007B182D">
              <w:rPr>
                <w:rFonts w:ascii="Arial" w:eastAsia="宋体" w:hAnsi="Arial" w:cs="Arial"/>
                <w:b/>
                <w:bCs/>
                <w:kern w:val="0"/>
                <w:sz w:val="18"/>
                <w:szCs w:val="18"/>
              </w:rPr>
              <w:t>100.0%</w:t>
            </w:r>
          </w:p>
        </w:tc>
        <w:tc>
          <w:tcPr>
            <w:tcW w:w="1195" w:type="dxa"/>
            <w:tcBorders>
              <w:top w:val="single" w:sz="4" w:space="0" w:color="000000" w:themeColor="text1"/>
            </w:tcBorders>
            <w:noWrap/>
            <w:hideMark/>
          </w:tcPr>
          <w:p w:rsidR="00DF107C" w:rsidRPr="007B182D" w:rsidRDefault="00DF107C" w:rsidP="00B84F50">
            <w:pPr>
              <w:widowControl/>
              <w:jc w:val="right"/>
              <w:rPr>
                <w:rFonts w:ascii="Arial" w:eastAsia="宋体" w:hAnsi="Arial" w:cs="Arial"/>
                <w:b/>
                <w:bCs/>
                <w:kern w:val="0"/>
                <w:sz w:val="18"/>
                <w:szCs w:val="18"/>
              </w:rPr>
            </w:pPr>
            <w:r w:rsidRPr="007B182D">
              <w:rPr>
                <w:rFonts w:ascii="Arial" w:eastAsia="宋体" w:hAnsi="Arial" w:cs="Arial"/>
                <w:b/>
                <w:bCs/>
                <w:kern w:val="0"/>
                <w:sz w:val="18"/>
                <w:szCs w:val="18"/>
              </w:rPr>
              <w:t xml:space="preserve">337.49 </w:t>
            </w:r>
          </w:p>
        </w:tc>
      </w:tr>
    </w:tbl>
    <w:p w:rsidR="00DF107C" w:rsidRPr="002F433A" w:rsidRDefault="00DF107C" w:rsidP="00DF107C">
      <w:pPr>
        <w:rPr>
          <w:rFonts w:ascii="Arial" w:eastAsia="楷体_GB2312" w:hAnsi="Arial"/>
          <w:szCs w:val="21"/>
        </w:rPr>
      </w:pPr>
      <w:r w:rsidRPr="005A7E42">
        <w:rPr>
          <w:rFonts w:ascii="Arial" w:eastAsia="宋体" w:hAnsi="Arial" w:hint="eastAsia"/>
          <w:sz w:val="18"/>
          <w:szCs w:val="21"/>
        </w:rPr>
        <w:t>来源：私募通</w:t>
      </w:r>
      <w:r w:rsidRPr="005A7E42">
        <w:rPr>
          <w:rFonts w:ascii="Arial" w:eastAsia="宋体" w:hAnsi="Arial"/>
          <w:sz w:val="18"/>
          <w:szCs w:val="21"/>
        </w:rPr>
        <w:t xml:space="preserve"> 2014.10                                                  </w:t>
      </w:r>
      <w:r w:rsidR="00B64B60">
        <w:rPr>
          <w:rFonts w:ascii="Arial" w:eastAsia="宋体" w:hAnsi="Arial" w:hint="eastAsia"/>
          <w:sz w:val="18"/>
          <w:szCs w:val="21"/>
        </w:rPr>
        <w:t xml:space="preserve">         </w:t>
      </w:r>
      <w:r w:rsidRPr="005A7E42">
        <w:rPr>
          <w:rFonts w:ascii="Arial" w:eastAsia="宋体" w:hAnsi="Arial"/>
          <w:sz w:val="18"/>
          <w:szCs w:val="21"/>
        </w:rPr>
        <w:t xml:space="preserve">  www.pedata.cn</w:t>
      </w:r>
    </w:p>
    <w:p w:rsidR="00DF107C" w:rsidRPr="000D5B6C" w:rsidRDefault="00DF107C" w:rsidP="000D5B6C">
      <w:pPr>
        <w:spacing w:line="360" w:lineRule="exact"/>
        <w:rPr>
          <w:rFonts w:ascii="Arial" w:eastAsia="宋体" w:hAnsi="Arial"/>
          <w:szCs w:val="21"/>
        </w:rPr>
      </w:pPr>
    </w:p>
    <w:p w:rsidR="00DF107C" w:rsidRPr="000D5B6C" w:rsidRDefault="00DF107C" w:rsidP="000D5B6C">
      <w:pPr>
        <w:spacing w:line="360" w:lineRule="exact"/>
        <w:ind w:firstLineChars="200" w:firstLine="420"/>
        <w:rPr>
          <w:rFonts w:ascii="Arial" w:eastAsia="宋体" w:hAnsi="Arial"/>
          <w:szCs w:val="21"/>
        </w:rPr>
      </w:pPr>
      <w:r w:rsidRPr="000D5B6C">
        <w:rPr>
          <w:rFonts w:ascii="Arial" w:eastAsia="宋体" w:hAnsi="Arial" w:hint="eastAsia"/>
          <w:szCs w:val="21"/>
        </w:rPr>
        <w:t>2012</w:t>
      </w:r>
      <w:r w:rsidRPr="000D5B6C">
        <w:rPr>
          <w:rFonts w:ascii="Arial" w:eastAsia="宋体" w:hAnsi="Arial" w:hint="eastAsia"/>
          <w:szCs w:val="21"/>
        </w:rPr>
        <w:t>年至</w:t>
      </w:r>
      <w:r w:rsidRPr="000D5B6C">
        <w:rPr>
          <w:rFonts w:ascii="Arial" w:eastAsia="宋体" w:hAnsi="Arial" w:hint="eastAsia"/>
          <w:szCs w:val="21"/>
        </w:rPr>
        <w:t>2014</w:t>
      </w:r>
      <w:r w:rsidRPr="000D5B6C">
        <w:rPr>
          <w:rFonts w:ascii="Arial" w:eastAsia="宋体" w:hAnsi="Arial" w:hint="eastAsia"/>
          <w:szCs w:val="21"/>
        </w:rPr>
        <w:t>年第三季度，在中国企业海外并购投资中，规模大于</w:t>
      </w:r>
      <w:r w:rsidRPr="000D5B6C">
        <w:rPr>
          <w:rFonts w:ascii="Arial" w:eastAsia="宋体" w:hAnsi="Arial" w:hint="eastAsia"/>
          <w:szCs w:val="21"/>
        </w:rPr>
        <w:t>1.00</w:t>
      </w:r>
      <w:r w:rsidRPr="000D5B6C">
        <w:rPr>
          <w:rFonts w:ascii="Arial" w:eastAsia="宋体" w:hAnsi="Arial" w:hint="eastAsia"/>
          <w:szCs w:val="21"/>
        </w:rPr>
        <w:t>美元的案例共完成</w:t>
      </w:r>
      <w:r w:rsidRPr="000D5B6C">
        <w:rPr>
          <w:rFonts w:ascii="Arial" w:eastAsia="宋体" w:hAnsi="Arial" w:hint="eastAsia"/>
          <w:szCs w:val="21"/>
        </w:rPr>
        <w:t>98</w:t>
      </w:r>
      <w:r w:rsidRPr="000D5B6C">
        <w:rPr>
          <w:rFonts w:ascii="Arial" w:eastAsia="宋体" w:hAnsi="Arial" w:hint="eastAsia"/>
          <w:szCs w:val="21"/>
        </w:rPr>
        <w:t>起，占比达</w:t>
      </w:r>
      <w:r w:rsidRPr="000D5B6C">
        <w:rPr>
          <w:rFonts w:ascii="Arial" w:eastAsia="宋体" w:hAnsi="Arial" w:hint="eastAsia"/>
          <w:szCs w:val="21"/>
        </w:rPr>
        <w:t>32.0%</w:t>
      </w:r>
      <w:r w:rsidRPr="000D5B6C">
        <w:rPr>
          <w:rFonts w:ascii="Arial" w:eastAsia="宋体" w:hAnsi="Arial" w:hint="eastAsia"/>
          <w:szCs w:val="21"/>
        </w:rPr>
        <w:t>；并购规模在</w:t>
      </w:r>
      <w:r w:rsidRPr="000D5B6C">
        <w:rPr>
          <w:rFonts w:ascii="Arial" w:eastAsia="宋体" w:hAnsi="Arial" w:hint="eastAsia"/>
          <w:szCs w:val="21"/>
        </w:rPr>
        <w:t>2,000.00</w:t>
      </w:r>
      <w:r w:rsidRPr="000D5B6C">
        <w:rPr>
          <w:rFonts w:ascii="Arial" w:eastAsia="宋体" w:hAnsi="Arial" w:hint="eastAsia"/>
          <w:szCs w:val="21"/>
        </w:rPr>
        <w:t>万美元至</w:t>
      </w:r>
      <w:r w:rsidRPr="000D5B6C">
        <w:rPr>
          <w:rFonts w:ascii="Arial" w:eastAsia="宋体" w:hAnsi="Arial" w:hint="eastAsia"/>
          <w:szCs w:val="21"/>
        </w:rPr>
        <w:t>1.00</w:t>
      </w:r>
      <w:r w:rsidRPr="000D5B6C">
        <w:rPr>
          <w:rFonts w:ascii="Arial" w:eastAsia="宋体" w:hAnsi="Arial" w:hint="eastAsia"/>
          <w:szCs w:val="21"/>
        </w:rPr>
        <w:t>亿美元之间的案例共</w:t>
      </w:r>
      <w:r w:rsidRPr="000D5B6C">
        <w:rPr>
          <w:rFonts w:ascii="Arial" w:eastAsia="宋体" w:hAnsi="Arial" w:hint="eastAsia"/>
          <w:szCs w:val="21"/>
        </w:rPr>
        <w:t>73</w:t>
      </w:r>
      <w:r w:rsidRPr="000D5B6C">
        <w:rPr>
          <w:rFonts w:ascii="Arial" w:eastAsia="宋体" w:hAnsi="Arial" w:hint="eastAsia"/>
          <w:szCs w:val="21"/>
        </w:rPr>
        <w:t>起，占全部交易量的</w:t>
      </w:r>
      <w:r w:rsidRPr="000D5B6C">
        <w:rPr>
          <w:rFonts w:ascii="Arial" w:eastAsia="宋体" w:hAnsi="Arial" w:hint="eastAsia"/>
          <w:szCs w:val="21"/>
        </w:rPr>
        <w:t>23.9%</w:t>
      </w:r>
      <w:r w:rsidRPr="000D5B6C">
        <w:rPr>
          <w:rFonts w:ascii="Arial" w:eastAsia="宋体" w:hAnsi="Arial" w:hint="eastAsia"/>
          <w:szCs w:val="21"/>
        </w:rPr>
        <w:t>；小于</w:t>
      </w:r>
      <w:r w:rsidRPr="000D5B6C">
        <w:rPr>
          <w:rFonts w:ascii="Arial" w:eastAsia="宋体" w:hAnsi="Arial" w:hint="eastAsia"/>
          <w:szCs w:val="21"/>
        </w:rPr>
        <w:t>2,000.00</w:t>
      </w:r>
      <w:r w:rsidRPr="000D5B6C">
        <w:rPr>
          <w:rFonts w:ascii="Arial" w:eastAsia="宋体" w:hAnsi="Arial" w:hint="eastAsia"/>
          <w:szCs w:val="21"/>
        </w:rPr>
        <w:t>万美元的海外投资交易达</w:t>
      </w:r>
      <w:r w:rsidRPr="000D5B6C">
        <w:rPr>
          <w:rFonts w:ascii="Arial" w:eastAsia="宋体" w:hAnsi="Arial" w:hint="eastAsia"/>
          <w:szCs w:val="21"/>
        </w:rPr>
        <w:t>135</w:t>
      </w:r>
      <w:r w:rsidRPr="000D5B6C">
        <w:rPr>
          <w:rFonts w:ascii="Arial" w:eastAsia="宋体" w:hAnsi="Arial" w:hint="eastAsia"/>
          <w:szCs w:val="21"/>
        </w:rPr>
        <w:t>起，占比为</w:t>
      </w:r>
      <w:r w:rsidRPr="000D5B6C">
        <w:rPr>
          <w:rFonts w:ascii="Arial" w:eastAsia="宋体" w:hAnsi="Arial" w:hint="eastAsia"/>
          <w:szCs w:val="21"/>
        </w:rPr>
        <w:t>44.1%</w:t>
      </w:r>
      <w:r w:rsidRPr="000D5B6C">
        <w:rPr>
          <w:rFonts w:ascii="Arial" w:eastAsia="宋体" w:hAnsi="Arial" w:hint="eastAsia"/>
          <w:szCs w:val="21"/>
        </w:rPr>
        <w:t>。整体来看，大额交易和小额交易的活跃度占比基本相当，其中大部分大额并购都集中在能源及矿产、机械制造、房地产等传统行业。</w:t>
      </w:r>
    </w:p>
    <w:p w:rsidR="00DF107C" w:rsidRPr="000D5B6C" w:rsidRDefault="00DF107C" w:rsidP="000D5B6C">
      <w:pPr>
        <w:spacing w:line="360" w:lineRule="exact"/>
        <w:ind w:firstLine="200"/>
        <w:rPr>
          <w:rFonts w:ascii="Arial" w:eastAsia="宋体" w:hAnsi="Arial"/>
          <w:szCs w:val="21"/>
        </w:rPr>
      </w:pPr>
    </w:p>
    <w:p w:rsidR="00DF107C" w:rsidRPr="00D37411" w:rsidRDefault="00DF107C" w:rsidP="00DF107C">
      <w:pPr>
        <w:widowControl/>
        <w:rPr>
          <w:rFonts w:ascii="Arial" w:eastAsia="宋体" w:hAnsi="Arial" w:cs="宋体"/>
          <w:b/>
          <w:bCs/>
          <w:kern w:val="0"/>
          <w:sz w:val="18"/>
          <w:szCs w:val="18"/>
        </w:rPr>
      </w:pPr>
      <w:r w:rsidRPr="00D37411">
        <w:rPr>
          <w:rFonts w:ascii="Arial" w:eastAsia="宋体" w:hAnsi="Arial" w:cs="宋体" w:hint="eastAsia"/>
          <w:b/>
          <w:bCs/>
          <w:kern w:val="0"/>
          <w:sz w:val="18"/>
          <w:szCs w:val="18"/>
        </w:rPr>
        <w:t>图</w:t>
      </w:r>
      <w:r w:rsidRPr="00D37411">
        <w:rPr>
          <w:rFonts w:ascii="Arial" w:eastAsia="宋体" w:hAnsi="Arial" w:cs="宋体"/>
          <w:b/>
          <w:bCs/>
          <w:kern w:val="0"/>
          <w:sz w:val="18"/>
          <w:szCs w:val="18"/>
        </w:rPr>
        <w:t>2012-2014'Q3</w:t>
      </w:r>
      <w:r w:rsidRPr="00D37411">
        <w:rPr>
          <w:rFonts w:ascii="Arial" w:eastAsia="宋体" w:hAnsi="Arial" w:cs="宋体" w:hint="eastAsia"/>
          <w:b/>
          <w:bCs/>
          <w:kern w:val="0"/>
          <w:sz w:val="18"/>
          <w:szCs w:val="18"/>
        </w:rPr>
        <w:t>中国企业海外投资价格范围分布统计（按并购案例数，</w:t>
      </w:r>
      <w:proofErr w:type="gramStart"/>
      <w:r w:rsidRPr="00D37411">
        <w:rPr>
          <w:rFonts w:ascii="Arial" w:eastAsia="宋体" w:hAnsi="Arial" w:cs="宋体" w:hint="eastAsia"/>
          <w:b/>
          <w:bCs/>
          <w:kern w:val="0"/>
          <w:sz w:val="18"/>
          <w:szCs w:val="18"/>
        </w:rPr>
        <w:t>个</w:t>
      </w:r>
      <w:proofErr w:type="gramEnd"/>
      <w:r w:rsidRPr="00D37411">
        <w:rPr>
          <w:rFonts w:ascii="Arial" w:eastAsia="宋体" w:hAnsi="Arial" w:cs="宋体" w:hint="eastAsia"/>
          <w:b/>
          <w:bCs/>
          <w:kern w:val="0"/>
          <w:sz w:val="18"/>
          <w:szCs w:val="18"/>
        </w:rPr>
        <w:t>）</w:t>
      </w:r>
    </w:p>
    <w:p w:rsidR="00DF107C" w:rsidRPr="00D37411" w:rsidRDefault="00DF107C" w:rsidP="00DF107C">
      <w:pPr>
        <w:pStyle w:val="a3"/>
      </w:pPr>
      <w:r w:rsidRPr="007537D8">
        <w:rPr>
          <w:noProof/>
        </w:rPr>
        <w:drawing>
          <wp:inline distT="0" distB="0" distL="0" distR="0">
            <wp:extent cx="4791600" cy="3582000"/>
            <wp:effectExtent l="19050" t="0" r="28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107C" w:rsidRPr="002372F3" w:rsidRDefault="00DF107C" w:rsidP="002372F3">
      <w:pPr>
        <w:spacing w:line="360" w:lineRule="exact"/>
        <w:ind w:firstLineChars="200" w:firstLine="420"/>
        <w:rPr>
          <w:rFonts w:ascii="Arial" w:eastAsia="宋体" w:hAnsi="Arial"/>
          <w:szCs w:val="21"/>
        </w:rPr>
      </w:pPr>
    </w:p>
    <w:p w:rsidR="0006259D" w:rsidRPr="002372F3" w:rsidRDefault="001B6F58" w:rsidP="002372F3">
      <w:pPr>
        <w:spacing w:line="360" w:lineRule="exact"/>
        <w:ind w:firstLineChars="200" w:firstLine="422"/>
        <w:rPr>
          <w:rFonts w:ascii="Arial" w:eastAsia="宋体" w:hAnsi="Arial"/>
          <w:szCs w:val="21"/>
        </w:rPr>
      </w:pPr>
      <w:r w:rsidRPr="002372F3">
        <w:rPr>
          <w:rFonts w:ascii="Arial" w:eastAsia="宋体" w:hAnsi="Arial" w:hint="eastAsia"/>
          <w:b/>
          <w:szCs w:val="21"/>
        </w:rPr>
        <w:t>小结：</w:t>
      </w:r>
      <w:r w:rsidR="002372F3">
        <w:rPr>
          <w:rFonts w:ascii="Arial" w:eastAsia="宋体" w:hAnsi="Arial" w:hint="eastAsia"/>
          <w:szCs w:val="21"/>
        </w:rPr>
        <w:t>从</w:t>
      </w:r>
      <w:r w:rsidRPr="002372F3">
        <w:rPr>
          <w:rFonts w:ascii="Arial" w:eastAsia="宋体" w:hAnsi="Arial" w:hint="eastAsia"/>
          <w:szCs w:val="21"/>
        </w:rPr>
        <w:t>国家整体的战略环境</w:t>
      </w:r>
      <w:r w:rsidR="002372F3">
        <w:rPr>
          <w:rFonts w:ascii="Arial" w:eastAsia="宋体" w:hAnsi="Arial" w:hint="eastAsia"/>
          <w:szCs w:val="21"/>
        </w:rPr>
        <w:t>上看</w:t>
      </w:r>
      <w:r w:rsidRPr="002372F3">
        <w:rPr>
          <w:rFonts w:ascii="Arial" w:eastAsia="宋体" w:hAnsi="Arial" w:hint="eastAsia"/>
          <w:szCs w:val="21"/>
        </w:rPr>
        <w:t>，企业海外投资存在巨大的利好因素和发展空间。</w:t>
      </w:r>
      <w:r w:rsidR="00841E55" w:rsidRPr="002372F3">
        <w:rPr>
          <w:rFonts w:ascii="Arial" w:eastAsia="宋体" w:hAnsi="Arial" w:hint="eastAsia"/>
          <w:szCs w:val="21"/>
        </w:rPr>
        <w:t>基于国家的“走出去战略”，政府积极引导各类所有制企业有序地到境外投资，积极开展有利于改善当地基础设施和人民生活的项目合作。在此背景下，</w:t>
      </w:r>
      <w:r w:rsidR="00841E55" w:rsidRPr="002372F3">
        <w:rPr>
          <w:rFonts w:ascii="Arial" w:eastAsia="宋体" w:hAnsi="Arial" w:hint="eastAsia"/>
          <w:szCs w:val="21"/>
        </w:rPr>
        <w:t>VC/PE</w:t>
      </w:r>
      <w:r w:rsidR="00841E55" w:rsidRPr="002372F3">
        <w:rPr>
          <w:rFonts w:ascii="Arial" w:eastAsia="宋体" w:hAnsi="Arial" w:hint="eastAsia"/>
          <w:szCs w:val="21"/>
        </w:rPr>
        <w:t>机构也积极参与企业的海外投资并购中。上海自贸区作为中国企业走出去的重要平台和通道，备案制改革和金融创新政策，为境外投资带来了一系列的便利和效益。对投资机构来说，最大的好处在于资金的保证和决策的速度以及决策之后进行交易的确定性，这些都大大提高了机构在参与跨境投资时的竞争力。</w:t>
      </w:r>
    </w:p>
    <w:p w:rsidR="002372F3" w:rsidRPr="002372F3" w:rsidRDefault="002372F3" w:rsidP="002372F3">
      <w:pPr>
        <w:spacing w:line="360" w:lineRule="exact"/>
        <w:ind w:firstLineChars="200" w:firstLine="420"/>
        <w:rPr>
          <w:rFonts w:ascii="Arial" w:eastAsia="宋体" w:hAnsi="Arial"/>
          <w:szCs w:val="21"/>
        </w:rPr>
      </w:pPr>
    </w:p>
    <w:p w:rsidR="00B64B60" w:rsidRPr="00B90C90" w:rsidRDefault="00B64B60" w:rsidP="00B64B60">
      <w:pPr>
        <w:widowControl/>
        <w:jc w:val="left"/>
        <w:rPr>
          <w:rFonts w:ascii="Arial" w:eastAsia="宋体" w:hAnsi="宋体" w:cs="Arial"/>
          <w:kern w:val="0"/>
          <w:szCs w:val="21"/>
        </w:rPr>
      </w:pPr>
    </w:p>
    <w:sectPr w:rsidR="00B64B60" w:rsidRPr="00B90C90" w:rsidSect="00F257FD">
      <w:pgSz w:w="11906" w:h="16838"/>
      <w:pgMar w:top="1531" w:right="1134" w:bottom="130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8E0" w:rsidRDefault="00D448E0" w:rsidP="001A6D7C">
      <w:r>
        <w:separator/>
      </w:r>
    </w:p>
  </w:endnote>
  <w:endnote w:type="continuationSeparator" w:id="0">
    <w:p w:rsidR="00D448E0" w:rsidRDefault="00D448E0" w:rsidP="001A6D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8E0" w:rsidRDefault="00D448E0" w:rsidP="001A6D7C">
      <w:r>
        <w:separator/>
      </w:r>
    </w:p>
  </w:footnote>
  <w:footnote w:type="continuationSeparator" w:id="0">
    <w:p w:rsidR="00D448E0" w:rsidRDefault="00D448E0" w:rsidP="001A6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E2F5C"/>
    <w:multiLevelType w:val="hybridMultilevel"/>
    <w:tmpl w:val="470CF3EE"/>
    <w:lvl w:ilvl="0" w:tplc="A0404180">
      <w:start w:val="1"/>
      <w:numFmt w:val="bullet"/>
      <w:lvlText w:val=""/>
      <w:lvlJc w:val="left"/>
      <w:pPr>
        <w:tabs>
          <w:tab w:val="num" w:pos="720"/>
        </w:tabs>
        <w:ind w:left="720" w:hanging="360"/>
      </w:pPr>
      <w:rPr>
        <w:rFonts w:ascii="Wingdings" w:hAnsi="Wingdings" w:hint="default"/>
      </w:rPr>
    </w:lvl>
    <w:lvl w:ilvl="1" w:tplc="5B5893A2" w:tentative="1">
      <w:start w:val="1"/>
      <w:numFmt w:val="bullet"/>
      <w:lvlText w:val=""/>
      <w:lvlJc w:val="left"/>
      <w:pPr>
        <w:tabs>
          <w:tab w:val="num" w:pos="1440"/>
        </w:tabs>
        <w:ind w:left="1440" w:hanging="360"/>
      </w:pPr>
      <w:rPr>
        <w:rFonts w:ascii="Wingdings" w:hAnsi="Wingdings" w:hint="default"/>
      </w:rPr>
    </w:lvl>
    <w:lvl w:ilvl="2" w:tplc="5A40D458" w:tentative="1">
      <w:start w:val="1"/>
      <w:numFmt w:val="bullet"/>
      <w:lvlText w:val=""/>
      <w:lvlJc w:val="left"/>
      <w:pPr>
        <w:tabs>
          <w:tab w:val="num" w:pos="2160"/>
        </w:tabs>
        <w:ind w:left="2160" w:hanging="360"/>
      </w:pPr>
      <w:rPr>
        <w:rFonts w:ascii="Wingdings" w:hAnsi="Wingdings" w:hint="default"/>
      </w:rPr>
    </w:lvl>
    <w:lvl w:ilvl="3" w:tplc="E156627C" w:tentative="1">
      <w:start w:val="1"/>
      <w:numFmt w:val="bullet"/>
      <w:lvlText w:val=""/>
      <w:lvlJc w:val="left"/>
      <w:pPr>
        <w:tabs>
          <w:tab w:val="num" w:pos="2880"/>
        </w:tabs>
        <w:ind w:left="2880" w:hanging="360"/>
      </w:pPr>
      <w:rPr>
        <w:rFonts w:ascii="Wingdings" w:hAnsi="Wingdings" w:hint="default"/>
      </w:rPr>
    </w:lvl>
    <w:lvl w:ilvl="4" w:tplc="B4FCDD3C" w:tentative="1">
      <w:start w:val="1"/>
      <w:numFmt w:val="bullet"/>
      <w:lvlText w:val=""/>
      <w:lvlJc w:val="left"/>
      <w:pPr>
        <w:tabs>
          <w:tab w:val="num" w:pos="3600"/>
        </w:tabs>
        <w:ind w:left="3600" w:hanging="360"/>
      </w:pPr>
      <w:rPr>
        <w:rFonts w:ascii="Wingdings" w:hAnsi="Wingdings" w:hint="default"/>
      </w:rPr>
    </w:lvl>
    <w:lvl w:ilvl="5" w:tplc="CD2E033A" w:tentative="1">
      <w:start w:val="1"/>
      <w:numFmt w:val="bullet"/>
      <w:lvlText w:val=""/>
      <w:lvlJc w:val="left"/>
      <w:pPr>
        <w:tabs>
          <w:tab w:val="num" w:pos="4320"/>
        </w:tabs>
        <w:ind w:left="4320" w:hanging="360"/>
      </w:pPr>
      <w:rPr>
        <w:rFonts w:ascii="Wingdings" w:hAnsi="Wingdings" w:hint="default"/>
      </w:rPr>
    </w:lvl>
    <w:lvl w:ilvl="6" w:tplc="39EEB05C" w:tentative="1">
      <w:start w:val="1"/>
      <w:numFmt w:val="bullet"/>
      <w:lvlText w:val=""/>
      <w:lvlJc w:val="left"/>
      <w:pPr>
        <w:tabs>
          <w:tab w:val="num" w:pos="5040"/>
        </w:tabs>
        <w:ind w:left="5040" w:hanging="360"/>
      </w:pPr>
      <w:rPr>
        <w:rFonts w:ascii="Wingdings" w:hAnsi="Wingdings" w:hint="default"/>
      </w:rPr>
    </w:lvl>
    <w:lvl w:ilvl="7" w:tplc="3BFE03E6" w:tentative="1">
      <w:start w:val="1"/>
      <w:numFmt w:val="bullet"/>
      <w:lvlText w:val=""/>
      <w:lvlJc w:val="left"/>
      <w:pPr>
        <w:tabs>
          <w:tab w:val="num" w:pos="5760"/>
        </w:tabs>
        <w:ind w:left="5760" w:hanging="360"/>
      </w:pPr>
      <w:rPr>
        <w:rFonts w:ascii="Wingdings" w:hAnsi="Wingdings" w:hint="default"/>
      </w:rPr>
    </w:lvl>
    <w:lvl w:ilvl="8" w:tplc="10BA0FB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636F"/>
    <w:rsid w:val="0006259D"/>
    <w:rsid w:val="000A6E60"/>
    <w:rsid w:val="000C1567"/>
    <w:rsid w:val="000D5B6C"/>
    <w:rsid w:val="000E4A9A"/>
    <w:rsid w:val="001070E9"/>
    <w:rsid w:val="00110ECF"/>
    <w:rsid w:val="00111204"/>
    <w:rsid w:val="00184835"/>
    <w:rsid w:val="001A6D7C"/>
    <w:rsid w:val="001B636F"/>
    <w:rsid w:val="001B6F58"/>
    <w:rsid w:val="00215AC0"/>
    <w:rsid w:val="002372F3"/>
    <w:rsid w:val="00286195"/>
    <w:rsid w:val="00303049"/>
    <w:rsid w:val="00365FF1"/>
    <w:rsid w:val="0045637A"/>
    <w:rsid w:val="004B6606"/>
    <w:rsid w:val="00596415"/>
    <w:rsid w:val="00602AE4"/>
    <w:rsid w:val="006148E2"/>
    <w:rsid w:val="006A0E2A"/>
    <w:rsid w:val="006B3B4A"/>
    <w:rsid w:val="0072177A"/>
    <w:rsid w:val="00841E55"/>
    <w:rsid w:val="00843DA4"/>
    <w:rsid w:val="008A470A"/>
    <w:rsid w:val="008A5353"/>
    <w:rsid w:val="00936F48"/>
    <w:rsid w:val="00963BF0"/>
    <w:rsid w:val="009E499D"/>
    <w:rsid w:val="009F3170"/>
    <w:rsid w:val="009F5B95"/>
    <w:rsid w:val="00AB5381"/>
    <w:rsid w:val="00B046FA"/>
    <w:rsid w:val="00B64B60"/>
    <w:rsid w:val="00B76B20"/>
    <w:rsid w:val="00B90C90"/>
    <w:rsid w:val="00BC74B5"/>
    <w:rsid w:val="00D34088"/>
    <w:rsid w:val="00D448E0"/>
    <w:rsid w:val="00D759E9"/>
    <w:rsid w:val="00DB713B"/>
    <w:rsid w:val="00DC5DAF"/>
    <w:rsid w:val="00DF107C"/>
    <w:rsid w:val="00E3688D"/>
    <w:rsid w:val="00F257FD"/>
    <w:rsid w:val="00FA4C42"/>
    <w:rsid w:val="00FB083A"/>
    <w:rsid w:val="00FB7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FF1"/>
    <w:pPr>
      <w:widowControl w:val="0"/>
      <w:jc w:val="both"/>
    </w:pPr>
  </w:style>
  <w:style w:type="paragraph" w:styleId="2">
    <w:name w:val="heading 2"/>
    <w:basedOn w:val="a"/>
    <w:next w:val="a"/>
    <w:link w:val="2Char"/>
    <w:uiPriority w:val="9"/>
    <w:unhideWhenUsed/>
    <w:qFormat/>
    <w:rsid w:val="00DF107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3BF0"/>
    <w:pPr>
      <w:widowControl w:val="0"/>
      <w:jc w:val="both"/>
    </w:pPr>
  </w:style>
  <w:style w:type="paragraph" w:styleId="a4">
    <w:name w:val="Balloon Text"/>
    <w:basedOn w:val="a"/>
    <w:link w:val="Char"/>
    <w:uiPriority w:val="99"/>
    <w:semiHidden/>
    <w:unhideWhenUsed/>
    <w:rsid w:val="00963BF0"/>
    <w:rPr>
      <w:sz w:val="18"/>
      <w:szCs w:val="18"/>
    </w:rPr>
  </w:style>
  <w:style w:type="character" w:customStyle="1" w:styleId="Char">
    <w:name w:val="批注框文本 Char"/>
    <w:basedOn w:val="a0"/>
    <w:link w:val="a4"/>
    <w:uiPriority w:val="99"/>
    <w:semiHidden/>
    <w:rsid w:val="00963BF0"/>
    <w:rPr>
      <w:sz w:val="18"/>
      <w:szCs w:val="18"/>
    </w:rPr>
  </w:style>
  <w:style w:type="character" w:customStyle="1" w:styleId="2Char">
    <w:name w:val="标题 2 Char"/>
    <w:basedOn w:val="a0"/>
    <w:link w:val="2"/>
    <w:uiPriority w:val="9"/>
    <w:rsid w:val="00DF107C"/>
    <w:rPr>
      <w:rFonts w:asciiTheme="majorHAnsi" w:eastAsiaTheme="majorEastAsia" w:hAnsiTheme="majorHAnsi" w:cstheme="majorBidi"/>
      <w:b/>
      <w:bCs/>
      <w:sz w:val="32"/>
      <w:szCs w:val="32"/>
    </w:rPr>
  </w:style>
  <w:style w:type="table" w:styleId="a5">
    <w:name w:val="Table Grid"/>
    <w:basedOn w:val="a1"/>
    <w:uiPriority w:val="59"/>
    <w:rsid w:val="000D5B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unhideWhenUsed/>
    <w:rsid w:val="001A6D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A6D7C"/>
    <w:rPr>
      <w:sz w:val="18"/>
      <w:szCs w:val="18"/>
    </w:rPr>
  </w:style>
  <w:style w:type="paragraph" w:styleId="a7">
    <w:name w:val="footer"/>
    <w:basedOn w:val="a"/>
    <w:link w:val="Char1"/>
    <w:uiPriority w:val="99"/>
    <w:unhideWhenUsed/>
    <w:rsid w:val="001A6D7C"/>
    <w:pPr>
      <w:tabs>
        <w:tab w:val="center" w:pos="4153"/>
        <w:tab w:val="right" w:pos="8306"/>
      </w:tabs>
      <w:snapToGrid w:val="0"/>
      <w:jc w:val="left"/>
    </w:pPr>
    <w:rPr>
      <w:sz w:val="18"/>
      <w:szCs w:val="18"/>
    </w:rPr>
  </w:style>
  <w:style w:type="character" w:customStyle="1" w:styleId="Char1">
    <w:name w:val="页脚 Char"/>
    <w:basedOn w:val="a0"/>
    <w:link w:val="a7"/>
    <w:uiPriority w:val="99"/>
    <w:rsid w:val="001A6D7C"/>
    <w:rPr>
      <w:sz w:val="18"/>
      <w:szCs w:val="18"/>
    </w:rPr>
  </w:style>
  <w:style w:type="character" w:customStyle="1" w:styleId="16">
    <w:name w:val="16"/>
    <w:basedOn w:val="a0"/>
    <w:rsid w:val="00B64B60"/>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134037">
      <w:bodyDiv w:val="1"/>
      <w:marLeft w:val="0"/>
      <w:marRight w:val="0"/>
      <w:marTop w:val="0"/>
      <w:marBottom w:val="0"/>
      <w:divBdr>
        <w:top w:val="none" w:sz="0" w:space="0" w:color="auto"/>
        <w:left w:val="none" w:sz="0" w:space="0" w:color="auto"/>
        <w:bottom w:val="none" w:sz="0" w:space="0" w:color="auto"/>
        <w:right w:val="none" w:sz="0" w:space="0" w:color="auto"/>
      </w:divBdr>
      <w:divsChild>
        <w:div w:id="334041698">
          <w:marLeft w:val="446"/>
          <w:marRight w:val="0"/>
          <w:marTop w:val="120"/>
          <w:marBottom w:val="0"/>
          <w:divBdr>
            <w:top w:val="none" w:sz="0" w:space="0" w:color="auto"/>
            <w:left w:val="none" w:sz="0" w:space="0" w:color="auto"/>
            <w:bottom w:val="none" w:sz="0" w:space="0" w:color="auto"/>
            <w:right w:val="none" w:sz="0" w:space="0" w:color="auto"/>
          </w:divBdr>
        </w:div>
        <w:div w:id="944851160">
          <w:marLeft w:val="446"/>
          <w:marRight w:val="0"/>
          <w:marTop w:val="120"/>
          <w:marBottom w:val="0"/>
          <w:divBdr>
            <w:top w:val="none" w:sz="0" w:space="0" w:color="auto"/>
            <w:left w:val="none" w:sz="0" w:space="0" w:color="auto"/>
            <w:bottom w:val="none" w:sz="0" w:space="0" w:color="auto"/>
            <w:right w:val="none" w:sz="0" w:space="0" w:color="auto"/>
          </w:divBdr>
        </w:div>
      </w:divsChild>
    </w:div>
    <w:div w:id="9382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6361;&#32043;&#23159;zero2ipo\&#24120;&#35268;&#24182;&#36141;&#25253;&#21578;\2014&#24180;&#24182;&#36141;&#23395;&#24230;&#25253;&#21578;\2014&#24180;&#19977;&#23395;&#25253;\&#19987;&#39064;&#8212;&#8212;&#28023;&#22806;&#25237;&#36164;\&#36807;&#31243;&#25991;&#20214;\&#25968;&#25454;&#33609;&#31295;\&#31532;&#19968;&#31456;&#25968;&#25454;&#33609;&#31295;.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26361;&#32043;&#23159;zero2ipo\&#24120;&#35268;&#24182;&#36141;&#25253;&#21578;\2014&#24180;&#24182;&#36141;&#23395;&#24230;&#25253;&#21578;\2014&#24180;&#19977;&#23395;&#25253;\&#19987;&#39064;&#8212;&#8212;&#28023;&#22806;&#25237;&#36164;\&#36807;&#31243;&#25991;&#20214;\&#21152;&#23494;&#25991;&#20214;\&#28023;&#22806;&#25237;&#36164;&#31532;&#20108;&#31456;&#22270;&#3492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26361;&#32043;&#23159;zero2ipo\&#24120;&#35268;&#24182;&#36141;&#25253;&#21578;\2014&#24180;&#24182;&#36141;&#23395;&#24230;&#25253;&#21578;\2014&#24180;&#19977;&#23395;&#25253;\&#19987;&#39064;&#8212;&#8212;&#28023;&#22806;&#25237;&#36164;\&#36807;&#31243;&#25991;&#20214;\&#21152;&#23494;&#25991;&#20214;\&#28023;&#22806;&#25237;&#36164;&#31532;&#20108;&#31456;&#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l">
              <a:defRPr sz="900" b="1" i="0" baseline="0"/>
            </a:pPr>
            <a:r>
              <a:rPr lang="en-US" altLang="zh-CN" sz="900" b="1" i="0" baseline="0"/>
              <a:t>2007</a:t>
            </a:r>
            <a:r>
              <a:rPr lang="zh-CN" altLang="en-US" sz="900" b="1" i="0" baseline="0"/>
              <a:t>年</a:t>
            </a:r>
            <a:r>
              <a:rPr lang="en-US" altLang="zh-CN" sz="900" b="1" i="0" baseline="0"/>
              <a:t>-2012</a:t>
            </a:r>
            <a:r>
              <a:rPr lang="zh-CN" altLang="en-US" sz="900" b="1" i="0" baseline="0"/>
              <a:t>年中国汇率变动与对外直接投资净值比较</a:t>
            </a:r>
            <a:endParaRPr lang="zh-CN" sz="900" b="1" i="0" baseline="0"/>
          </a:p>
        </c:rich>
      </c:tx>
      <c:layout>
        <c:manualLayout>
          <c:xMode val="edge"/>
          <c:yMode val="edge"/>
          <c:x val="0.24386509725352701"/>
          <c:y val="4.6096873255164712E-2"/>
        </c:manualLayout>
      </c:layout>
      <c:spPr>
        <a:noFill/>
        <a:ln w="25400">
          <a:noFill/>
        </a:ln>
      </c:spPr>
    </c:title>
    <c:plotArea>
      <c:layout>
        <c:manualLayout>
          <c:layoutTarget val="inner"/>
          <c:xMode val="edge"/>
          <c:yMode val="edge"/>
          <c:x val="0.14649156857834544"/>
          <c:y val="0.17552680067001675"/>
          <c:w val="0.70171591952584289"/>
          <c:h val="0.54078699050809664"/>
        </c:manualLayout>
      </c:layout>
      <c:barChart>
        <c:barDir val="col"/>
        <c:grouping val="clustered"/>
        <c:ser>
          <c:idx val="1"/>
          <c:order val="0"/>
          <c:tx>
            <c:strRef>
              <c:f>[第一章数据草稿.xlsx]Sheet3!$A$2</c:f>
              <c:strCache>
                <c:ptCount val="1"/>
                <c:pt idx="0">
                  <c:v>对外直接投资净值（亿美元）</c:v>
                </c:pt>
              </c:strCache>
            </c:strRef>
          </c:tx>
          <c:spPr>
            <a:solidFill>
              <a:srgbClr val="333399"/>
            </a:solidFill>
            <a:ln w="25400">
              <a:noFill/>
            </a:ln>
          </c:spPr>
          <c:dLbls>
            <c:dLbl>
              <c:idx val="3"/>
              <c:layout>
                <c:manualLayout>
                  <c:x val="0"/>
                  <c:y val="1.4182021217197258E-2"/>
                </c:manualLayout>
              </c:layout>
              <c:showVal val="1"/>
            </c:dLbl>
            <c:dLbl>
              <c:idx val="4"/>
              <c:layout>
                <c:manualLayout>
                  <c:x val="0"/>
                  <c:y val="-3.9000558347291998E-2"/>
                </c:manualLayout>
              </c:layout>
              <c:showVal val="1"/>
            </c:dLbl>
            <c:showVal val="1"/>
          </c:dLbls>
          <c:cat>
            <c:numRef>
              <c:f>[第一章数据草稿.xlsx]Sheet3!$B$1:$G$1</c:f>
              <c:numCache>
                <c:formatCode>General</c:formatCode>
                <c:ptCount val="6"/>
                <c:pt idx="0">
                  <c:v>2007</c:v>
                </c:pt>
                <c:pt idx="1">
                  <c:v>2008</c:v>
                </c:pt>
                <c:pt idx="2">
                  <c:v>2009</c:v>
                </c:pt>
                <c:pt idx="3">
                  <c:v>2010</c:v>
                </c:pt>
                <c:pt idx="4">
                  <c:v>2011</c:v>
                </c:pt>
                <c:pt idx="5">
                  <c:v>2012</c:v>
                </c:pt>
              </c:numCache>
            </c:numRef>
          </c:cat>
          <c:val>
            <c:numRef>
              <c:f>[第一章数据草稿.xlsx]Sheet3!$B$2:$G$2</c:f>
              <c:numCache>
                <c:formatCode>#,##0.00_ </c:formatCode>
                <c:ptCount val="6"/>
                <c:pt idx="0">
                  <c:v>265.0609</c:v>
                </c:pt>
                <c:pt idx="1">
                  <c:v>559.07169999999996</c:v>
                </c:pt>
                <c:pt idx="2">
                  <c:v>565.28990000000351</c:v>
                </c:pt>
                <c:pt idx="3">
                  <c:v>688.11310000000003</c:v>
                </c:pt>
                <c:pt idx="4">
                  <c:v>746.54039999999998</c:v>
                </c:pt>
                <c:pt idx="5">
                  <c:v>878.03530000000001</c:v>
                </c:pt>
              </c:numCache>
            </c:numRef>
          </c:val>
        </c:ser>
        <c:axId val="143283328"/>
        <c:axId val="143284864"/>
      </c:barChart>
      <c:lineChart>
        <c:grouping val="standard"/>
        <c:ser>
          <c:idx val="0"/>
          <c:order val="1"/>
          <c:tx>
            <c:strRef>
              <c:f>[第一章数据草稿.xlsx]Sheet3!$A$3</c:f>
              <c:strCache>
                <c:ptCount val="1"/>
                <c:pt idx="0">
                  <c:v>人民币对美元汇率（1美元=人民币）</c:v>
                </c:pt>
              </c:strCache>
            </c:strRef>
          </c:tx>
          <c:spPr>
            <a:ln>
              <a:solidFill>
                <a:srgbClr val="99CCFF"/>
              </a:solidFill>
            </a:ln>
          </c:spPr>
          <c:marker>
            <c:symbol val="circle"/>
            <c:size val="7"/>
            <c:spPr>
              <a:solidFill>
                <a:srgbClr val="FF0000"/>
              </a:solidFill>
            </c:spPr>
          </c:marker>
          <c:dLbls>
            <c:dLbl>
              <c:idx val="3"/>
              <c:layout>
                <c:manualLayout>
                  <c:x val="-5.1054762501043495E-2"/>
                  <c:y val="-4.6703238414293823E-2"/>
                </c:manualLayout>
              </c:layout>
              <c:dLblPos val="r"/>
              <c:showVal val="1"/>
            </c:dLbl>
            <c:dLbl>
              <c:idx val="4"/>
              <c:layout>
                <c:manualLayout>
                  <c:x val="-6.8244427748550304E-4"/>
                  <c:y val="3.8388888888888924E-2"/>
                </c:manualLayout>
              </c:layout>
              <c:dLblPos val="r"/>
              <c:showVal val="1"/>
            </c:dLbl>
            <c:dLbl>
              <c:idx val="5"/>
              <c:layout>
                <c:manualLayout>
                  <c:x val="4.6184990399866432E-3"/>
                  <c:y val="6.4793411501954988E-3"/>
                </c:manualLayout>
              </c:layout>
              <c:dLblPos val="r"/>
              <c:showVal val="1"/>
            </c:dLbl>
            <c:dLblPos val="t"/>
            <c:showVal val="1"/>
          </c:dLbls>
          <c:cat>
            <c:numRef>
              <c:f>[第一章数据草稿.xlsx]Sheet3!$B$1:$G$1</c:f>
              <c:numCache>
                <c:formatCode>General</c:formatCode>
                <c:ptCount val="6"/>
                <c:pt idx="0">
                  <c:v>2007</c:v>
                </c:pt>
                <c:pt idx="1">
                  <c:v>2008</c:v>
                </c:pt>
                <c:pt idx="2">
                  <c:v>2009</c:v>
                </c:pt>
                <c:pt idx="3">
                  <c:v>2010</c:v>
                </c:pt>
                <c:pt idx="4">
                  <c:v>2011</c:v>
                </c:pt>
                <c:pt idx="5">
                  <c:v>2012</c:v>
                </c:pt>
              </c:numCache>
            </c:numRef>
          </c:cat>
          <c:val>
            <c:numRef>
              <c:f>[第一章数据草稿.xlsx]Sheet3!$B$3:$G$3</c:f>
              <c:numCache>
                <c:formatCode>#,##0.00_ </c:formatCode>
                <c:ptCount val="6"/>
                <c:pt idx="0">
                  <c:v>7.6039999999999965</c:v>
                </c:pt>
                <c:pt idx="1">
                  <c:v>6.9451000000000001</c:v>
                </c:pt>
                <c:pt idx="2">
                  <c:v>6.8310000000000004</c:v>
                </c:pt>
                <c:pt idx="3">
                  <c:v>6.7695000000000007</c:v>
                </c:pt>
                <c:pt idx="4">
                  <c:v>6.4588000000000001</c:v>
                </c:pt>
                <c:pt idx="5">
                  <c:v>6.3124999999999956</c:v>
                </c:pt>
              </c:numCache>
            </c:numRef>
          </c:val>
        </c:ser>
        <c:marker val="1"/>
        <c:axId val="143321728"/>
        <c:axId val="143320192"/>
      </c:lineChart>
      <c:catAx>
        <c:axId val="143283328"/>
        <c:scaling>
          <c:orientation val="minMax"/>
        </c:scaling>
        <c:axPos val="b"/>
        <c:numFmt formatCode="General" sourceLinked="1"/>
        <c:majorTickMark val="in"/>
        <c:tickLblPos val="nextTo"/>
        <c:spPr>
          <a:ln w="25400">
            <a:solidFill>
              <a:srgbClr val="000000"/>
            </a:solidFill>
            <a:prstDash val="solid"/>
          </a:ln>
        </c:spPr>
        <c:txPr>
          <a:bodyPr rot="0" vert="horz"/>
          <a:lstStyle/>
          <a:p>
            <a:pPr>
              <a:defRPr/>
            </a:pPr>
            <a:endParaRPr lang="zh-CN"/>
          </a:p>
        </c:txPr>
        <c:crossAx val="143284864"/>
        <c:crosses val="autoZero"/>
        <c:lblAlgn val="ctr"/>
        <c:lblOffset val="100"/>
        <c:tickMarkSkip val="1"/>
      </c:catAx>
      <c:valAx>
        <c:axId val="143284864"/>
        <c:scaling>
          <c:orientation val="minMax"/>
        </c:scaling>
        <c:axPos val="l"/>
        <c:numFmt formatCode="#,##0_ " sourceLinked="0"/>
        <c:majorTickMark val="in"/>
        <c:tickLblPos val="nextTo"/>
        <c:txPr>
          <a:bodyPr rot="0" vert="horz"/>
          <a:lstStyle/>
          <a:p>
            <a:pPr>
              <a:defRPr/>
            </a:pPr>
            <a:endParaRPr lang="zh-CN"/>
          </a:p>
        </c:txPr>
        <c:crossAx val="143283328"/>
        <c:crosses val="autoZero"/>
        <c:crossBetween val="between"/>
      </c:valAx>
      <c:valAx>
        <c:axId val="143320192"/>
        <c:scaling>
          <c:orientation val="minMax"/>
        </c:scaling>
        <c:axPos val="r"/>
        <c:numFmt formatCode="#,##0.00_ " sourceLinked="1"/>
        <c:tickLblPos val="nextTo"/>
        <c:crossAx val="143321728"/>
        <c:crosses val="max"/>
        <c:crossBetween val="between"/>
      </c:valAx>
      <c:catAx>
        <c:axId val="143321728"/>
        <c:scaling>
          <c:orientation val="minMax"/>
        </c:scaling>
        <c:delete val="1"/>
        <c:axPos val="b"/>
        <c:numFmt formatCode="General" sourceLinked="1"/>
        <c:tickLblPos val="none"/>
        <c:crossAx val="143320192"/>
        <c:crosses val="autoZero"/>
        <c:auto val="1"/>
        <c:lblAlgn val="ctr"/>
        <c:lblOffset val="100"/>
      </c:catAx>
      <c:spPr>
        <a:noFill/>
        <a:ln w="25400">
          <a:noFill/>
        </a:ln>
      </c:spPr>
    </c:plotArea>
    <c:legend>
      <c:legendPos val="b"/>
      <c:layout>
        <c:manualLayout>
          <c:xMode val="edge"/>
          <c:yMode val="edge"/>
          <c:x val="7.0549920694548809E-2"/>
          <c:y val="0.80354299274148522"/>
          <c:w val="0.85788734451958149"/>
          <c:h val="7.9415968732551703E-2"/>
        </c:manualLayout>
      </c:layout>
      <c:spPr>
        <a:noFill/>
        <a:ln w="25400">
          <a:noFill/>
        </a:ln>
      </c:spPr>
    </c:legend>
    <c:plotVisOnly val="1"/>
    <c:dispBlanksAs val="gap"/>
  </c:chart>
  <c:spPr>
    <a:noFill/>
    <a:ln w="3175">
      <a:solidFill>
        <a:srgbClr val="000000"/>
      </a:solidFill>
      <a:prstDash val="solid"/>
    </a:ln>
  </c:spPr>
  <c:txPr>
    <a:bodyPr/>
    <a:lstStyle/>
    <a:p>
      <a:pPr>
        <a:defRPr sz="900" b="0" i="0" u="none" strike="noStrike" baseline="0">
          <a:solidFill>
            <a:srgbClr val="000000"/>
          </a:solidFill>
          <a:latin typeface="Arial" pitchFamily="34" charset="0"/>
          <a:ea typeface="宋体" pitchFamily="2" charset="-122"/>
          <a:cs typeface="Arial Narrow"/>
        </a:defRPr>
      </a:pPr>
      <a:endParaRPr lang="zh-CN"/>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900" b="1" i="0" u="none" strike="noStrike" baseline="0">
                <a:solidFill>
                  <a:srgbClr val="000000"/>
                </a:solidFill>
                <a:latin typeface="Arial"/>
                <a:ea typeface="Arial"/>
                <a:cs typeface="Arial"/>
              </a:defRPr>
            </a:pPr>
            <a:r>
              <a:rPr lang="en-US" altLang="zh-CN" sz="900" b="1" i="0" strike="noStrike">
                <a:solidFill>
                  <a:srgbClr val="000000"/>
                </a:solidFill>
                <a:latin typeface="Arial"/>
                <a:cs typeface="Arial"/>
              </a:rPr>
              <a:t>2009-2014'Q3</a:t>
            </a:r>
            <a:r>
              <a:rPr lang="zh-CN" altLang="en-US" sz="900" b="1" i="0" strike="noStrike">
                <a:solidFill>
                  <a:srgbClr val="000000"/>
                </a:solidFill>
                <a:latin typeface="Arial"/>
                <a:cs typeface="Arial"/>
              </a:rPr>
              <a:t>中国企业海外投资</a:t>
            </a:r>
            <a:r>
              <a:rPr lang="zh-CN" altLang="en-US" sz="900" b="1" i="0" strike="noStrike">
                <a:solidFill>
                  <a:srgbClr val="000000"/>
                </a:solidFill>
                <a:latin typeface="宋体"/>
                <a:ea typeface="宋体"/>
              </a:rPr>
              <a:t>趋势</a:t>
            </a:r>
          </a:p>
        </c:rich>
      </c:tx>
      <c:layout>
        <c:manualLayout>
          <c:xMode val="edge"/>
          <c:yMode val="edge"/>
          <c:x val="0.29886968862175606"/>
          <c:y val="3.8588621824990781E-2"/>
        </c:manualLayout>
      </c:layout>
      <c:spPr>
        <a:noFill/>
        <a:ln w="25400">
          <a:noFill/>
        </a:ln>
      </c:spPr>
    </c:title>
    <c:plotArea>
      <c:layout>
        <c:manualLayout>
          <c:layoutTarget val="inner"/>
          <c:xMode val="edge"/>
          <c:yMode val="edge"/>
          <c:x val="0.15577051506803569"/>
          <c:y val="0.16134115019542303"/>
          <c:w val="0.66469175223308485"/>
          <c:h val="0.57979508654383605"/>
        </c:manualLayout>
      </c:layout>
      <c:barChart>
        <c:barDir val="col"/>
        <c:grouping val="clustered"/>
        <c:ser>
          <c:idx val="2"/>
          <c:order val="0"/>
          <c:tx>
            <c:strRef>
              <c:f>[海外投资第二章图表.xlsx]Sheet1!$K$4</c:f>
              <c:strCache>
                <c:ptCount val="1"/>
                <c:pt idx="0">
                  <c:v>并购总额 (US$M)</c:v>
                </c:pt>
              </c:strCache>
            </c:strRef>
          </c:tx>
          <c:spPr>
            <a:solidFill>
              <a:srgbClr val="000080"/>
            </a:solidFill>
          </c:spPr>
          <c:dLbls>
            <c:dLbl>
              <c:idx val="1"/>
              <c:layout>
                <c:manualLayout>
                  <c:x val="7.9186568960278522E-3"/>
                  <c:y val="6.8002204984883947E-3"/>
                </c:manualLayout>
              </c:layout>
              <c:showVal val="1"/>
            </c:dLbl>
            <c:dLbl>
              <c:idx val="2"/>
              <c:layout>
                <c:manualLayout>
                  <c:x val="-2.6395522986759597E-3"/>
                  <c:y val="6.8002204984883375E-3"/>
                </c:manualLayout>
              </c:layout>
              <c:showVal val="1"/>
            </c:dLbl>
            <c:dLbl>
              <c:idx val="4"/>
              <c:layout>
                <c:manualLayout>
                  <c:x val="0"/>
                  <c:y val="-2.3800771744709081E-2"/>
                </c:manualLayout>
              </c:layout>
              <c:showVal val="1"/>
            </c:dLbl>
            <c:dLbl>
              <c:idx val="5"/>
              <c:layout>
                <c:manualLayout>
                  <c:x val="-7.9188647347915447E-3"/>
                  <c:y val="3.4001102492441674E-3"/>
                </c:manualLayout>
              </c:layout>
              <c:showVal val="1"/>
            </c:dLbl>
            <c:showVal val="1"/>
          </c:dLbls>
          <c:cat>
            <c:strRef>
              <c:f>[海外投资第二章图表.xlsx]Sheet1!$J$5:$J$10</c:f>
              <c:strCache>
                <c:ptCount val="6"/>
                <c:pt idx="0">
                  <c:v>2009</c:v>
                </c:pt>
                <c:pt idx="1">
                  <c:v>2010</c:v>
                </c:pt>
                <c:pt idx="2">
                  <c:v>2011</c:v>
                </c:pt>
                <c:pt idx="3">
                  <c:v>2012</c:v>
                </c:pt>
                <c:pt idx="4">
                  <c:v>2013</c:v>
                </c:pt>
                <c:pt idx="5">
                  <c:v>2014          Q1-Q3</c:v>
                </c:pt>
              </c:strCache>
            </c:strRef>
          </c:cat>
          <c:val>
            <c:numRef>
              <c:f>[海外投资第二章图表.xlsx]Sheet1!$K$5:$K$10</c:f>
              <c:numCache>
                <c:formatCode>#,##0.00;[Red]\-#,##0.00</c:formatCode>
                <c:ptCount val="6"/>
                <c:pt idx="0">
                  <c:v>16098.83</c:v>
                </c:pt>
                <c:pt idx="1">
                  <c:v>13195.09</c:v>
                </c:pt>
                <c:pt idx="2">
                  <c:v>28098.920000000009</c:v>
                </c:pt>
                <c:pt idx="3">
                  <c:v>30354.667003916162</c:v>
                </c:pt>
                <c:pt idx="4">
                  <c:v>45753.097584650175</c:v>
                </c:pt>
                <c:pt idx="5">
                  <c:v>27164.993047119788</c:v>
                </c:pt>
              </c:numCache>
            </c:numRef>
          </c:val>
        </c:ser>
        <c:axId val="143067776"/>
        <c:axId val="143066240"/>
      </c:barChart>
      <c:lineChart>
        <c:grouping val="standard"/>
        <c:ser>
          <c:idx val="0"/>
          <c:order val="1"/>
          <c:tx>
            <c:strRef>
              <c:f>[海外投资第二章图表.xlsx]Sheet1!$L$4</c:f>
              <c:strCache>
                <c:ptCount val="1"/>
                <c:pt idx="0">
                  <c:v>案例数</c:v>
                </c:pt>
              </c:strCache>
            </c:strRef>
          </c:tx>
          <c:spPr>
            <a:ln w="38100">
              <a:solidFill>
                <a:srgbClr val="99CCFF"/>
              </a:solidFill>
              <a:prstDash val="solid"/>
            </a:ln>
          </c:spPr>
          <c:marker>
            <c:symbol val="circle"/>
            <c:size val="6"/>
            <c:spPr>
              <a:solidFill>
                <a:srgbClr val="FF0000"/>
              </a:solidFill>
              <a:ln>
                <a:solidFill>
                  <a:srgbClr val="FF0000"/>
                </a:solidFill>
                <a:prstDash val="solid"/>
              </a:ln>
            </c:spPr>
          </c:marker>
          <c:dLbls>
            <c:dLbl>
              <c:idx val="1"/>
              <c:layout>
                <c:manualLayout>
                  <c:x val="-3.959328448013924E-2"/>
                  <c:y val="-4.4201433240173997E-2"/>
                </c:manualLayout>
              </c:layout>
              <c:showVal val="1"/>
            </c:dLbl>
            <c:dLbl>
              <c:idx val="2"/>
              <c:layout>
                <c:manualLayout>
                  <c:x val="-4.2232836778815029E-2"/>
                  <c:y val="-3.7401212741685917E-2"/>
                </c:manualLayout>
              </c:layout>
              <c:showVal val="1"/>
            </c:dLbl>
            <c:dLbl>
              <c:idx val="3"/>
              <c:layout>
                <c:manualLayout>
                  <c:x val="-4.2232836778815092E-2"/>
                  <c:y val="-4.0801322990929784E-2"/>
                </c:manualLayout>
              </c:layout>
              <c:showVal val="1"/>
            </c:dLbl>
            <c:dLbl>
              <c:idx val="4"/>
              <c:layout>
                <c:manualLayout>
                  <c:x val="5.3445613156357027E-3"/>
                  <c:y val="6.8001116694583995E-3"/>
                </c:manualLayout>
              </c:layout>
              <c:showVal val="1"/>
            </c:dLbl>
            <c:dLbl>
              <c:idx val="5"/>
              <c:layout>
                <c:manualLayout>
                  <c:x val="-1.8476866090731601E-2"/>
                  <c:y val="-4.0801322990929784E-2"/>
                </c:manualLayout>
              </c:layout>
              <c:showVal val="1"/>
            </c:dLbl>
            <c:showVal val="1"/>
          </c:dLbls>
          <c:cat>
            <c:strRef>
              <c:f>[海外投资第二章图表.xlsx]Sheet1!$J$5:$J$10</c:f>
              <c:strCache>
                <c:ptCount val="6"/>
                <c:pt idx="0">
                  <c:v>2009</c:v>
                </c:pt>
                <c:pt idx="1">
                  <c:v>2010</c:v>
                </c:pt>
                <c:pt idx="2">
                  <c:v>2011</c:v>
                </c:pt>
                <c:pt idx="3">
                  <c:v>2012</c:v>
                </c:pt>
                <c:pt idx="4">
                  <c:v>2013</c:v>
                </c:pt>
                <c:pt idx="5">
                  <c:v>2014          Q1-Q3</c:v>
                </c:pt>
              </c:strCache>
            </c:strRef>
          </c:cat>
          <c:val>
            <c:numRef>
              <c:f>[海外投资第二章图表.xlsx]Sheet1!$L$5:$L$10</c:f>
              <c:numCache>
                <c:formatCode>General</c:formatCode>
                <c:ptCount val="6"/>
                <c:pt idx="0">
                  <c:v>38</c:v>
                </c:pt>
                <c:pt idx="1">
                  <c:v>57</c:v>
                </c:pt>
                <c:pt idx="2">
                  <c:v>110</c:v>
                </c:pt>
                <c:pt idx="3">
                  <c:v>123</c:v>
                </c:pt>
                <c:pt idx="4">
                  <c:v>149</c:v>
                </c:pt>
                <c:pt idx="5">
                  <c:v>113</c:v>
                </c:pt>
              </c:numCache>
            </c:numRef>
          </c:val>
        </c:ser>
        <c:dLbls>
          <c:showVal val="1"/>
        </c:dLbls>
        <c:marker val="1"/>
        <c:axId val="143058816"/>
        <c:axId val="143060352"/>
      </c:lineChart>
      <c:dateAx>
        <c:axId val="143058816"/>
        <c:scaling>
          <c:orientation val="minMax"/>
        </c:scaling>
        <c:axPos val="b"/>
        <c:numFmt formatCode="General" sourceLinked="0"/>
        <c:majorTickMark val="in"/>
        <c:tickLblPos val="nextTo"/>
        <c:txPr>
          <a:bodyPr rot="0" vert="horz"/>
          <a:lstStyle/>
          <a:p>
            <a:pPr>
              <a:defRPr/>
            </a:pPr>
            <a:endParaRPr lang="zh-CN"/>
          </a:p>
        </c:txPr>
        <c:crossAx val="143060352"/>
        <c:crosses val="autoZero"/>
        <c:lblOffset val="100"/>
        <c:baseTimeUnit val="days"/>
        <c:majorUnit val="1"/>
        <c:minorUnit val="1"/>
      </c:dateAx>
      <c:valAx>
        <c:axId val="143060352"/>
        <c:scaling>
          <c:orientation val="minMax"/>
        </c:scaling>
        <c:axPos val="l"/>
        <c:numFmt formatCode="#,##0.00_ " sourceLinked="0"/>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43058816"/>
        <c:crosses val="autoZero"/>
        <c:crossBetween val="between"/>
      </c:valAx>
      <c:valAx>
        <c:axId val="143066240"/>
        <c:scaling>
          <c:orientation val="minMax"/>
        </c:scaling>
        <c:axPos val="r"/>
        <c:numFmt formatCode="#,##0.00;[Red]\-#,##0.00" sourceLinked="1"/>
        <c:tickLblPos val="nextTo"/>
        <c:crossAx val="143067776"/>
        <c:crosses val="max"/>
        <c:crossBetween val="between"/>
      </c:valAx>
      <c:catAx>
        <c:axId val="143067776"/>
        <c:scaling>
          <c:orientation val="minMax"/>
        </c:scaling>
        <c:delete val="1"/>
        <c:axPos val="b"/>
        <c:numFmt formatCode="General" sourceLinked="1"/>
        <c:tickLblPos val="none"/>
        <c:crossAx val="143066240"/>
        <c:crosses val="autoZero"/>
        <c:lblAlgn val="ctr"/>
        <c:lblOffset val="100"/>
      </c:catAx>
      <c:spPr>
        <a:noFill/>
        <a:ln w="25400">
          <a:noFill/>
        </a:ln>
      </c:spPr>
    </c:plotArea>
    <c:legend>
      <c:legendPos val="b"/>
      <c:layout>
        <c:manualLayout>
          <c:xMode val="edge"/>
          <c:yMode val="edge"/>
          <c:x val="0.2266401590457259"/>
          <c:y val="0.82978831162253763"/>
          <c:w val="0.46035520494198184"/>
          <c:h val="5.4380079868452114E-2"/>
        </c:manualLayout>
      </c:layout>
      <c:spPr>
        <a:noFill/>
        <a:ln w="25400">
          <a:noFill/>
        </a:ln>
      </c:spPr>
      <c:txPr>
        <a:bodyPr/>
        <a:lstStyle/>
        <a:p>
          <a:pPr>
            <a:defRPr sz="900" b="1" i="0" u="none" strike="noStrike" baseline="0">
              <a:solidFill>
                <a:srgbClr val="000000"/>
              </a:solidFill>
              <a:latin typeface="Arial"/>
              <a:ea typeface="Arial"/>
              <a:cs typeface="Arial"/>
            </a:defRPr>
          </a:pPr>
          <a:endParaRPr lang="zh-CN"/>
        </a:p>
      </c:txPr>
    </c:legend>
    <c:plotVisOnly val="1"/>
    <c:dispBlanksAs val="gap"/>
  </c:chart>
  <c:spPr>
    <a:no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zh-CN"/>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ctr">
              <a:defRPr sz="900" b="1" baseline="0"/>
            </a:pPr>
            <a:r>
              <a:rPr lang="en-US" sz="900" b="1" baseline="0"/>
              <a:t>2012-2014'Q3</a:t>
            </a:r>
            <a:r>
              <a:rPr lang="zh-CN" sz="900" b="1" baseline="0"/>
              <a:t>中国海外投资价格范围分布统计</a:t>
            </a:r>
            <a:endParaRPr lang="en-US" sz="900" b="1" baseline="0"/>
          </a:p>
          <a:p>
            <a:pPr algn="ctr">
              <a:defRPr sz="900" b="1" baseline="0"/>
            </a:pPr>
            <a:r>
              <a:rPr lang="zh-CN" sz="900" b="1" baseline="0"/>
              <a:t>（按并购案例数，个）</a:t>
            </a:r>
          </a:p>
        </c:rich>
      </c:tx>
      <c:layout>
        <c:manualLayout>
          <c:xMode val="edge"/>
          <c:yMode val="edge"/>
          <c:x val="0.24982511061023471"/>
          <c:y val="3.9004745951982132E-2"/>
        </c:manualLayout>
      </c:layout>
      <c:spPr>
        <a:noFill/>
        <a:ln w="25400">
          <a:noFill/>
        </a:ln>
      </c:spPr>
    </c:title>
    <c:plotArea>
      <c:layout>
        <c:manualLayout>
          <c:layoutTarget val="inner"/>
          <c:xMode val="edge"/>
          <c:yMode val="edge"/>
          <c:x val="0.28164725770097671"/>
          <c:y val="0.20397906197654939"/>
          <c:w val="0.41351888667992548"/>
          <c:h val="0.5531922077483582"/>
        </c:manualLayout>
      </c:layout>
      <c:pieChart>
        <c:varyColors val="1"/>
        <c:ser>
          <c:idx val="1"/>
          <c:order val="0"/>
          <c:spPr>
            <a:solidFill>
              <a:srgbClr val="000080"/>
            </a:solidFill>
            <a:ln w="25400">
              <a:noFill/>
            </a:ln>
          </c:spPr>
          <c:dPt>
            <c:idx val="1"/>
            <c:spPr>
              <a:solidFill>
                <a:srgbClr val="3366FF"/>
              </a:solidFill>
              <a:ln w="25400">
                <a:noFill/>
              </a:ln>
            </c:spPr>
          </c:dPt>
          <c:dPt>
            <c:idx val="2"/>
            <c:spPr>
              <a:solidFill>
                <a:srgbClr val="00CCFF"/>
              </a:solidFill>
              <a:ln w="25400">
                <a:noFill/>
              </a:ln>
            </c:spPr>
          </c:dPt>
          <c:dLbls>
            <c:dLbl>
              <c:idx val="0"/>
              <c:layout>
                <c:manualLayout>
                  <c:x val="3.2994474100280204E-2"/>
                  <c:y val="1.4876026135030994E-2"/>
                </c:manualLayout>
              </c:layout>
              <c:dLblPos val="bestFit"/>
              <c:showVal val="1"/>
              <c:showCatName val="1"/>
              <c:showPercent val="1"/>
            </c:dLbl>
            <c:dLbl>
              <c:idx val="1"/>
              <c:layout>
                <c:manualLayout>
                  <c:x val="-4.7226396193338432E-2"/>
                  <c:y val="-1.8445840312674485E-2"/>
                </c:manualLayout>
              </c:layout>
              <c:dLblPos val="bestFit"/>
              <c:showVal val="1"/>
              <c:showCatName val="1"/>
              <c:showPercent val="1"/>
            </c:dLbl>
            <c:dLbl>
              <c:idx val="2"/>
              <c:layout>
                <c:manualLayout>
                  <c:x val="-4.76594335846139E-2"/>
                  <c:y val="-3.1784511428465896E-2"/>
                </c:manualLayout>
              </c:layout>
              <c:dLblPos val="bestFit"/>
              <c:showVal val="1"/>
              <c:showCatName val="1"/>
              <c:showPercent val="1"/>
            </c:dLbl>
            <c:numFmt formatCode="0.0%" sourceLinked="0"/>
            <c:spPr>
              <a:noFill/>
              <a:ln w="25400">
                <a:noFill/>
              </a:ln>
            </c:spPr>
            <c:showVal val="1"/>
            <c:showCatName val="1"/>
            <c:showPercent val="1"/>
            <c:showLeaderLines val="1"/>
          </c:dLbls>
          <c:cat>
            <c:strRef>
              <c:f>[海外投资第二章图表.xlsx]第二章图表!$J$140:$J$142</c:f>
              <c:strCache>
                <c:ptCount val="3"/>
                <c:pt idx="0">
                  <c:v>小于US$20M</c:v>
                </c:pt>
                <c:pt idx="1">
                  <c:v>US$20M-US$100M</c:v>
                </c:pt>
                <c:pt idx="2">
                  <c:v>大于US$100M</c:v>
                </c:pt>
              </c:strCache>
            </c:strRef>
          </c:cat>
          <c:val>
            <c:numRef>
              <c:f>[海外投资第二章图表.xlsx]第二章图表!$K$140:$K$142</c:f>
              <c:numCache>
                <c:formatCode>General</c:formatCode>
                <c:ptCount val="3"/>
                <c:pt idx="0">
                  <c:v>135</c:v>
                </c:pt>
                <c:pt idx="1">
                  <c:v>73</c:v>
                </c:pt>
                <c:pt idx="2">
                  <c:v>98</c:v>
                </c:pt>
              </c:numCache>
            </c:numRef>
          </c:val>
        </c:ser>
        <c:dLbls>
          <c:showVal val="1"/>
          <c:showCatName val="1"/>
          <c:showPercent val="1"/>
        </c:dLbls>
        <c:firstSliceAng val="0"/>
      </c:pieChart>
      <c:spPr>
        <a:noFill/>
        <a:ln w="25400">
          <a:noFill/>
        </a:ln>
      </c:spPr>
    </c:plotArea>
    <c:plotVisOnly val="1"/>
    <c:dispBlanksAs val="zero"/>
  </c:chart>
  <c:spPr>
    <a:noFill/>
    <a:ln w="3175">
      <a:solidFill>
        <a:srgbClr val="000000"/>
      </a:solidFill>
      <a:prstDash val="solid"/>
    </a:ln>
  </c:spPr>
  <c:txPr>
    <a:bodyPr/>
    <a:lstStyle/>
    <a:p>
      <a:pPr>
        <a:defRPr sz="900" b="0" i="0" u="none" strike="noStrike" baseline="0">
          <a:solidFill>
            <a:srgbClr val="000000"/>
          </a:solidFill>
          <a:latin typeface="Arial"/>
          <a:ea typeface="宋体" pitchFamily="2" charset="-122"/>
          <a:cs typeface="Arial"/>
        </a:defRPr>
      </a:pPr>
      <a:endParaRPr lang="zh-CN"/>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0.00992</cdr:x>
      <cdr:y>0.9174</cdr:y>
    </cdr:from>
    <cdr:to>
      <cdr:x>0.99008</cdr:x>
      <cdr:y>0.98674</cdr:y>
    </cdr:to>
    <cdr:grpSp>
      <cdr:nvGrpSpPr>
        <cdr:cNvPr id="40961" name="Group 1025"/>
        <cdr:cNvGrpSpPr>
          <a:grpSpLocks xmlns:a="http://schemas.openxmlformats.org/drawingml/2006/main"/>
        </cdr:cNvGrpSpPr>
      </cdr:nvGrpSpPr>
      <cdr:grpSpPr bwMode="auto">
        <a:xfrm xmlns:a="http://schemas.openxmlformats.org/drawingml/2006/main">
          <a:off x="47533" y="3286127"/>
          <a:ext cx="4696534" cy="248376"/>
          <a:chOff x="1" y="480"/>
          <a:chExt cx="503" cy="24"/>
        </a:xfrm>
      </cdr:grpSpPr>
      <cdr:sp macro="" textlink="">
        <cdr:nvSpPr>
          <cdr:cNvPr id="40962" name="Rectangle 1026"/>
          <cdr:cNvSpPr>
            <a:spLocks xmlns:a="http://schemas.openxmlformats.org/drawingml/2006/main" noChangeArrowheads="1"/>
          </cdr:cNvSpPr>
        </cdr:nvSpPr>
        <cdr:spPr bwMode="auto">
          <a:xfrm xmlns:a="http://schemas.openxmlformats.org/drawingml/2006/main">
            <a:off x="4" y="484"/>
            <a:ext cx="500" cy="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18288" anchor="ctr" upright="1"/>
          <a:lstStyle xmlns:a="http://schemas.openxmlformats.org/drawingml/2006/main"/>
          <a:p xmlns:a="http://schemas.openxmlformats.org/drawingml/2006/main">
            <a:pPr algn="l" rtl="0">
              <a:defRPr sz="1000"/>
            </a:pPr>
            <a:r>
              <a:rPr lang="zh-CN" altLang="en-US" sz="900" b="0" i="0" u="none" strike="noStrike" baseline="0">
                <a:solidFill>
                  <a:srgbClr val="000000"/>
                </a:solidFill>
                <a:latin typeface="Arial" pitchFamily="34" charset="0"/>
                <a:ea typeface="宋体" pitchFamily="2" charset="-122"/>
              </a:rPr>
              <a:t>来源：国家统计局  </a:t>
            </a:r>
            <a:r>
              <a:rPr lang="en-US" altLang="zh-CN" sz="900" b="0" i="0" u="none" strike="noStrike" baseline="0">
                <a:solidFill>
                  <a:srgbClr val="000000"/>
                </a:solidFill>
                <a:latin typeface="Arial" pitchFamily="34" charset="0"/>
                <a:ea typeface="宋体" pitchFamily="2" charset="-122"/>
                <a:cs typeface="Arial"/>
              </a:rPr>
              <a:t>2014.10</a:t>
            </a:r>
            <a:endParaRPr lang="en-US" altLang="zh-CN" sz="1000" b="0" i="0" u="none" strike="noStrike" baseline="0">
              <a:solidFill>
                <a:srgbClr val="000000"/>
              </a:solidFill>
              <a:latin typeface="Arial"/>
              <a:cs typeface="Arial"/>
            </a:endParaRPr>
          </a:p>
        </cdr:txBody>
      </cdr:sp>
      <cdr:grpSp>
        <cdr:nvGrpSpPr>
          <cdr:cNvPr id="40963" name="Group 1027"/>
          <cdr:cNvGrpSpPr>
            <a:grpSpLocks xmlns:a="http://schemas.openxmlformats.org/drawingml/2006/main"/>
          </cdr:cNvGrpSpPr>
        </cdr:nvGrpSpPr>
        <cdr:grpSpPr bwMode="auto">
          <a:xfrm xmlns:a="http://schemas.openxmlformats.org/drawingml/2006/main">
            <a:off x="1" y="480"/>
            <a:ext cx="503" cy="0"/>
            <a:chOff x="1" y="480"/>
            <a:chExt cx="503" cy="0"/>
          </a:xfrm>
        </cdr:grpSpPr>
        <cdr:sp macro="" textlink="">
          <cdr:nvSpPr>
            <cdr:cNvPr id="40964" name="Line 1028"/>
            <cdr:cNvSpPr>
              <a:spLocks xmlns:a="http://schemas.openxmlformats.org/drawingml/2006/main" noChangeShapeType="1"/>
            </cdr:cNvSpPr>
          </cdr:nvSpPr>
          <cdr:spPr bwMode="auto">
            <a:xfrm xmlns:a="http://schemas.openxmlformats.org/drawingml/2006/main">
              <a:off x="1" y="480"/>
              <a:ext cx="172"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sp>
        <cdr:sp macro="" textlink="">
          <cdr:nvSpPr>
            <cdr:cNvPr id="40965" name="Line 1029"/>
            <cdr:cNvSpPr>
              <a:spLocks xmlns:a="http://schemas.openxmlformats.org/drawingml/2006/main" noChangeShapeType="1"/>
            </cdr:cNvSpPr>
          </cdr:nvSpPr>
          <cdr:spPr bwMode="auto">
            <a:xfrm xmlns:a="http://schemas.openxmlformats.org/drawingml/2006/main" flipV="1">
              <a:off x="173" y="480"/>
              <a:ext cx="331"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sp>
      </cdr:grpSp>
    </cdr:grpSp>
  </cdr:relSizeAnchor>
</c:userShapes>
</file>

<file path=word/drawings/drawing2.xml><?xml version="1.0" encoding="utf-8"?>
<c:userShapes xmlns:c="http://schemas.openxmlformats.org/drawingml/2006/chart">
  <cdr:relSizeAnchor xmlns:cdr="http://schemas.openxmlformats.org/drawingml/2006/chartDrawing">
    <cdr:from>
      <cdr:x>0.01972</cdr:x>
      <cdr:y>0.92127</cdr:y>
    </cdr:from>
    <cdr:to>
      <cdr:x>0.99008</cdr:x>
      <cdr:y>0.98674</cdr:y>
    </cdr:to>
    <cdr:grpSp>
      <cdr:nvGrpSpPr>
        <cdr:cNvPr id="39937" name="Group 1"/>
        <cdr:cNvGrpSpPr>
          <a:grpSpLocks xmlns:a="http://schemas.openxmlformats.org/drawingml/2006/main"/>
        </cdr:cNvGrpSpPr>
      </cdr:nvGrpSpPr>
      <cdr:grpSpPr bwMode="auto">
        <a:xfrm xmlns:a="http://schemas.openxmlformats.org/drawingml/2006/main">
          <a:off x="94490" y="3308764"/>
          <a:ext cx="4649577" cy="235137"/>
          <a:chOff x="307" y="433"/>
          <a:chExt cx="490" cy="24"/>
        </a:xfrm>
      </cdr:grpSpPr>
      <cdr:sp macro="" textlink="">
        <cdr:nvSpPr>
          <cdr:cNvPr id="39938" name="Rectangle 2"/>
          <cdr:cNvSpPr>
            <a:spLocks xmlns:a="http://schemas.openxmlformats.org/drawingml/2006/main" noChangeArrowheads="1"/>
          </cdr:cNvSpPr>
        </cdr:nvSpPr>
        <cdr:spPr bwMode="auto">
          <a:xfrm xmlns:a="http://schemas.openxmlformats.org/drawingml/2006/main">
            <a:off x="310" y="437"/>
            <a:ext cx="487" cy="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18288" anchor="ctr" upright="1"/>
          <a:lstStyle xmlns:a="http://schemas.openxmlformats.org/drawingml/2006/main"/>
          <a:p xmlns:a="http://schemas.openxmlformats.org/drawingml/2006/main">
            <a:pPr algn="l" rtl="0">
              <a:defRPr sz="1000"/>
            </a:pPr>
            <a:r>
              <a:rPr lang="zh-CN" altLang="en-US" sz="900" b="0" i="0" strike="noStrike">
                <a:solidFill>
                  <a:srgbClr val="000000"/>
                </a:solidFill>
                <a:latin typeface="宋体"/>
                <a:ea typeface="宋体"/>
              </a:rPr>
              <a:t>来源：私募通</a:t>
            </a:r>
            <a:r>
              <a:rPr lang="zh-CN" altLang="en-US" sz="900" b="0" i="0" strike="noStrike">
                <a:solidFill>
                  <a:srgbClr val="000000"/>
                </a:solidFill>
                <a:latin typeface="Arial"/>
                <a:cs typeface="Arial"/>
              </a:rPr>
              <a:t> </a:t>
            </a:r>
            <a:r>
              <a:rPr lang="en-US" altLang="zh-CN" sz="900" b="0" i="0" strike="noStrike">
                <a:solidFill>
                  <a:srgbClr val="000000"/>
                </a:solidFill>
                <a:latin typeface="Arial"/>
                <a:cs typeface="Arial"/>
              </a:rPr>
              <a:t>2014.10                                                                                    www.pedata.cn         </a:t>
            </a:r>
          </a:p>
        </cdr:txBody>
      </cdr:sp>
      <cdr:grpSp>
        <cdr:nvGrpSpPr>
          <cdr:cNvPr id="39939" name="Group 3"/>
          <cdr:cNvGrpSpPr>
            <a:grpSpLocks xmlns:a="http://schemas.openxmlformats.org/drawingml/2006/main"/>
          </cdr:cNvGrpSpPr>
        </cdr:nvGrpSpPr>
        <cdr:grpSpPr bwMode="auto">
          <a:xfrm xmlns:a="http://schemas.openxmlformats.org/drawingml/2006/main">
            <a:off x="307" y="433"/>
            <a:ext cx="490" cy="0"/>
            <a:chOff x="1" y="480"/>
            <a:chExt cx="503" cy="0"/>
          </a:xfrm>
        </cdr:grpSpPr>
        <cdr:sp macro="" textlink="">
          <cdr:nvSpPr>
            <cdr:cNvPr id="39940" name="Line 4"/>
            <cdr:cNvSpPr>
              <a:spLocks xmlns:a="http://schemas.openxmlformats.org/drawingml/2006/main" noChangeShapeType="1"/>
            </cdr:cNvSpPr>
          </cdr:nvSpPr>
          <cdr:spPr bwMode="auto">
            <a:xfrm xmlns:a="http://schemas.openxmlformats.org/drawingml/2006/main">
              <a:off x="1" y="480"/>
              <a:ext cx="172"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sp>
        <cdr:sp macro="" textlink="">
          <cdr:nvSpPr>
            <cdr:cNvPr id="39941" name="Line 5"/>
            <cdr:cNvSpPr>
              <a:spLocks xmlns:a="http://schemas.openxmlformats.org/drawingml/2006/main" noChangeShapeType="1"/>
            </cdr:cNvSpPr>
          </cdr:nvSpPr>
          <cdr:spPr bwMode="auto">
            <a:xfrm xmlns:a="http://schemas.openxmlformats.org/drawingml/2006/main" flipV="1">
              <a:off x="173" y="480"/>
              <a:ext cx="331"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sp>
      </cdr:grpSp>
    </cdr:grpSp>
  </cdr:relSizeAnchor>
</c:userShapes>
</file>

<file path=word/drawings/drawing3.xml><?xml version="1.0" encoding="utf-8"?>
<c:userShapes xmlns:c="http://schemas.openxmlformats.org/drawingml/2006/chart">
  <cdr:relSizeAnchor xmlns:cdr="http://schemas.openxmlformats.org/drawingml/2006/chartDrawing">
    <cdr:from>
      <cdr:x>0.01139</cdr:x>
      <cdr:y>0.90132</cdr:y>
    </cdr:from>
    <cdr:to>
      <cdr:x>0.99081</cdr:x>
      <cdr:y>0.98971</cdr:y>
    </cdr:to>
    <cdr:grpSp>
      <cdr:nvGrpSpPr>
        <cdr:cNvPr id="26" name="Group 1"/>
        <cdr:cNvGrpSpPr>
          <a:grpSpLocks xmlns:a="http://schemas.openxmlformats.org/drawingml/2006/main"/>
        </cdr:cNvGrpSpPr>
      </cdr:nvGrpSpPr>
      <cdr:grpSpPr bwMode="auto">
        <a:xfrm xmlns:a="http://schemas.openxmlformats.org/drawingml/2006/main">
          <a:off x="54576" y="3228528"/>
          <a:ext cx="4692989" cy="316613"/>
          <a:chOff x="1" y="480"/>
          <a:chExt cx="503" cy="24"/>
        </a:xfrm>
      </cdr:grpSpPr>
    </cdr:grpSp>
  </cdr:relSizeAnchor>
  <cdr:relSizeAnchor xmlns:cdr="http://schemas.openxmlformats.org/drawingml/2006/chartDrawing">
    <cdr:from>
      <cdr:x>0.01324</cdr:x>
      <cdr:y>0.92392</cdr:y>
    </cdr:from>
    <cdr:to>
      <cdr:x>0.99071</cdr:x>
      <cdr:y>0.99734</cdr:y>
    </cdr:to>
    <cdr:grpSp>
      <cdr:nvGrpSpPr>
        <cdr:cNvPr id="63489" name="Group 1"/>
        <cdr:cNvGrpSpPr>
          <a:grpSpLocks xmlns:a="http://schemas.openxmlformats.org/drawingml/2006/main"/>
        </cdr:cNvGrpSpPr>
      </cdr:nvGrpSpPr>
      <cdr:grpSpPr bwMode="auto">
        <a:xfrm xmlns:a="http://schemas.openxmlformats.org/drawingml/2006/main">
          <a:off x="63441" y="3309481"/>
          <a:ext cx="4683645" cy="262991"/>
          <a:chOff x="1" y="484"/>
          <a:chExt cx="503" cy="20"/>
        </a:xfrm>
      </cdr:grpSpPr>
      <cdr:sp macro="" textlink="">
        <cdr:nvSpPr>
          <cdr:cNvPr id="33794" name="Rectangle 2"/>
          <cdr:cNvSpPr>
            <a:spLocks xmlns:a="http://schemas.openxmlformats.org/drawingml/2006/main" noChangeArrowheads="1"/>
          </cdr:cNvSpPr>
        </cdr:nvSpPr>
        <cdr:spPr bwMode="auto">
          <a:xfrm xmlns:a="http://schemas.openxmlformats.org/drawingml/2006/main">
            <a:off x="4" y="484"/>
            <a:ext cx="500" cy="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18288" anchor="ctr" upright="1"/>
          <a:lstStyle xmlns:a="http://schemas.openxmlformats.org/drawingml/2006/main"/>
          <a:p xmlns:a="http://schemas.openxmlformats.org/drawingml/2006/main">
            <a:pPr algn="l" rtl="0">
              <a:defRPr sz="1000"/>
            </a:pPr>
            <a:r>
              <a:rPr lang="zh-CN" altLang="en-US" sz="900" b="0" i="0" u="none" strike="noStrike" baseline="0">
                <a:solidFill>
                  <a:srgbClr val="000000"/>
                </a:solidFill>
                <a:latin typeface="宋体"/>
                <a:ea typeface="宋体"/>
              </a:rPr>
              <a:t>来源：私募通</a:t>
            </a:r>
            <a:r>
              <a:rPr lang="zh-CN" altLang="en-US" sz="900" b="0" i="0" u="none" strike="noStrike" baseline="0">
                <a:solidFill>
                  <a:srgbClr val="000000"/>
                </a:solidFill>
                <a:latin typeface="Arial"/>
                <a:cs typeface="Arial"/>
              </a:rPr>
              <a:t> </a:t>
            </a:r>
            <a:r>
              <a:rPr lang="en-US" altLang="zh-CN" sz="900" b="0" i="0" u="none" strike="noStrike" baseline="0">
                <a:solidFill>
                  <a:srgbClr val="000000"/>
                </a:solidFill>
                <a:latin typeface="Arial"/>
                <a:cs typeface="Arial"/>
              </a:rPr>
              <a:t>2014.10                                                                                 www.pedata.cn</a:t>
            </a:r>
            <a:r>
              <a:rPr lang="en-US" altLang="zh-CN" sz="1000" b="0" i="0" u="none" strike="noStrike" baseline="0">
                <a:solidFill>
                  <a:srgbClr val="000000"/>
                </a:solidFill>
                <a:latin typeface="Arial"/>
                <a:cs typeface="Arial"/>
              </a:rPr>
              <a:t>             </a:t>
            </a:r>
          </a:p>
        </cdr:txBody>
      </cdr:sp>
      <cdr:grpSp>
        <cdr:nvGrpSpPr>
          <cdr:cNvPr id="28" name="Group 3"/>
          <cdr:cNvGrpSpPr>
            <a:grpSpLocks xmlns:a="http://schemas.openxmlformats.org/drawingml/2006/main"/>
          </cdr:cNvGrpSpPr>
        </cdr:nvGrpSpPr>
        <cdr:grpSpPr bwMode="auto">
          <a:xfrm xmlns:a="http://schemas.openxmlformats.org/drawingml/2006/main">
            <a:off x="1" y="484"/>
            <a:ext cx="503" cy="0"/>
            <a:chOff x="1" y="484"/>
            <a:chExt cx="503" cy="0"/>
          </a:xfrm>
        </cdr:grpSpPr>
      </cdr:grpSp>
      <cdr:grpSp>
        <cdr:nvGrpSpPr>
          <cdr:cNvPr id="63492" name="Group 3"/>
          <cdr:cNvGrpSpPr>
            <a:grpSpLocks xmlns:a="http://schemas.openxmlformats.org/drawingml/2006/main"/>
          </cdr:cNvGrpSpPr>
        </cdr:nvGrpSpPr>
        <cdr:grpSpPr bwMode="auto">
          <a:xfrm xmlns:a="http://schemas.openxmlformats.org/drawingml/2006/main">
            <a:off x="1" y="484"/>
            <a:ext cx="503" cy="0"/>
            <a:chOff x="1" y="484"/>
            <a:chExt cx="503" cy="0"/>
          </a:xfrm>
        </cdr:grpSpPr>
        <cdr:sp macro="" textlink="">
          <cdr:nvSpPr>
            <cdr:cNvPr id="33796" name="Line 4"/>
            <cdr:cNvSpPr>
              <a:spLocks xmlns:a="http://schemas.openxmlformats.org/drawingml/2006/main" noChangeShapeType="1"/>
            </cdr:cNvSpPr>
          </cdr:nvSpPr>
          <cdr:spPr bwMode="auto">
            <a:xfrm xmlns:a="http://schemas.openxmlformats.org/drawingml/2006/main">
              <a:off x="1" y="480"/>
              <a:ext cx="172"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txBody>
            <a:bodyPr xmlns:a="http://schemas.openxmlformats.org/drawingml/2006/main"/>
            <a:lstStyle xmlns:a="http://schemas.openxmlformats.org/drawingml/2006/main"/>
            <a:p xmlns:a="http://schemas.openxmlformats.org/drawingml/2006/main">
              <a:endParaRPr lang="zh-CN" altLang="en-US"/>
            </a:p>
          </cdr:txBody>
        </cdr:sp>
        <cdr:sp macro="" textlink="">
          <cdr:nvSpPr>
            <cdr:cNvPr id="33797" name="Line 5"/>
            <cdr:cNvSpPr>
              <a:spLocks xmlns:a="http://schemas.openxmlformats.org/drawingml/2006/main" noChangeShapeType="1"/>
            </cdr:cNvSpPr>
          </cdr:nvSpPr>
          <cdr:spPr bwMode="auto">
            <a:xfrm xmlns:a="http://schemas.openxmlformats.org/drawingml/2006/main" flipV="1">
              <a:off x="173" y="480"/>
              <a:ext cx="331"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txBody>
            <a:bodyPr xmlns:a="http://schemas.openxmlformats.org/drawingml/2006/main"/>
            <a:lstStyle xmlns:a="http://schemas.openxmlformats.org/drawingml/2006/main"/>
            <a:p xmlns:a="http://schemas.openxmlformats.org/drawingml/2006/main">
              <a:endParaRPr lang="zh-CN" altLang="en-US"/>
            </a:p>
          </cdr:txBody>
        </cdr:sp>
      </cdr:grpSp>
    </cdr:grpSp>
  </cdr:relSizeAnchor>
  <cdr:relSizeAnchor xmlns:cdr="http://schemas.openxmlformats.org/drawingml/2006/chartDrawing">
    <cdr:from>
      <cdr:x>6.40775E-5</cdr:x>
      <cdr:y>0.00012</cdr:y>
    </cdr:from>
    <cdr:to>
      <cdr:x>0.00017</cdr:x>
      <cdr:y>0.00012</cdr:y>
    </cdr:to>
    <cdr:grpSp>
      <cdr:nvGrpSpPr>
        <cdr:cNvPr id="63495" name="Group 7"/>
        <cdr:cNvGrpSpPr>
          <a:grpSpLocks xmlns:a="http://schemas.openxmlformats.org/drawingml/2006/main"/>
        </cdr:cNvGrpSpPr>
      </cdr:nvGrpSpPr>
      <cdr:grpSpPr bwMode="auto">
        <a:xfrm xmlns:a="http://schemas.openxmlformats.org/drawingml/2006/main">
          <a:off x="307" y="430"/>
          <a:ext cx="508" cy="0"/>
          <a:chOff x="307" y="430"/>
          <a:chExt cx="508" cy="0"/>
        </a:xfrm>
      </cdr:grpSpPr>
      <cdr:grpSp>
        <cdr:nvGrpSpPr>
          <cdr:cNvPr id="63497" name="Group 9"/>
          <cdr:cNvGrpSpPr>
            <a:grpSpLocks xmlns:a="http://schemas.openxmlformats.org/drawingml/2006/main"/>
          </cdr:cNvGrpSpPr>
        </cdr:nvGrpSpPr>
        <cdr:grpSpPr bwMode="auto">
          <a:xfrm xmlns:a="http://schemas.openxmlformats.org/drawingml/2006/main">
            <a:off x="307" y="433"/>
            <a:ext cx="490" cy="0"/>
            <a:chOff x="1" y="480"/>
            <a:chExt cx="503" cy="0"/>
          </a:xfrm>
        </cdr:grpSpPr>
        <cdr:sp macro="" textlink="">
          <cdr:nvSpPr>
            <cdr:cNvPr id="63498" name="Line 10"/>
            <cdr:cNvSpPr>
              <a:spLocks xmlns:a="http://schemas.openxmlformats.org/drawingml/2006/main" noChangeShapeType="1"/>
            </cdr:cNvSpPr>
          </cdr:nvSpPr>
          <cdr:spPr bwMode="auto">
            <a:xfrm xmlns:a="http://schemas.openxmlformats.org/drawingml/2006/main">
              <a:off x="1" y="480"/>
              <a:ext cx="172"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sp>
        <cdr:sp macro="" textlink="">
          <cdr:nvSpPr>
            <cdr:cNvPr id="63499" name="Line 11"/>
            <cdr:cNvSpPr>
              <a:spLocks xmlns:a="http://schemas.openxmlformats.org/drawingml/2006/main" noChangeShapeType="1"/>
            </cdr:cNvSpPr>
          </cdr:nvSpPr>
          <cdr:spPr bwMode="auto">
            <a:xfrm xmlns:a="http://schemas.openxmlformats.org/drawingml/2006/main" flipV="1">
              <a:off x="173" y="480"/>
              <a:ext cx="331"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sp>
      </cdr:grpSp>
    </cdr:grp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7</Pages>
  <Words>1175</Words>
  <Characters>6700</Characters>
  <Application>Microsoft Office Word</Application>
  <DocSecurity>0</DocSecurity>
  <Lines>55</Lines>
  <Paragraphs>15</Paragraphs>
  <ScaleCrop>false</ScaleCrop>
  <Company>微软中国</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oliviacao</dc:creator>
  <cp:keywords/>
  <dc:description/>
  <cp:lastModifiedBy>guoshaolian</cp:lastModifiedBy>
  <cp:revision>8</cp:revision>
  <dcterms:created xsi:type="dcterms:W3CDTF">2015-01-22T02:03:00Z</dcterms:created>
  <dcterms:modified xsi:type="dcterms:W3CDTF">2015-02-06T08:38:00Z</dcterms:modified>
</cp:coreProperties>
</file>