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54B" w:rsidRPr="00EB0A8A" w:rsidRDefault="0091654B" w:rsidP="00EB0A8A">
      <w:pPr>
        <w:widowControl/>
        <w:jc w:val="center"/>
        <w:rPr>
          <w:rFonts w:hAnsi="宋体" w:cs="Arial"/>
          <w:b/>
          <w:color w:val="000000"/>
          <w:kern w:val="0"/>
          <w:sz w:val="28"/>
          <w:szCs w:val="28"/>
        </w:rPr>
      </w:pPr>
      <w:proofErr w:type="gramStart"/>
      <w:r>
        <w:rPr>
          <w:rFonts w:hAnsi="宋体" w:cs="Arial" w:hint="eastAsia"/>
          <w:b/>
          <w:color w:val="000000"/>
          <w:kern w:val="0"/>
          <w:sz w:val="28"/>
          <w:szCs w:val="28"/>
        </w:rPr>
        <w:t>清科数据</w:t>
      </w:r>
      <w:proofErr w:type="gramEnd"/>
      <w:r>
        <w:rPr>
          <w:rFonts w:hAnsi="宋体" w:cs="Arial" w:hint="eastAsia"/>
          <w:b/>
          <w:color w:val="000000"/>
          <w:kern w:val="0"/>
          <w:sz w:val="28"/>
          <w:szCs w:val="28"/>
        </w:rPr>
        <w:t>：</w:t>
      </w:r>
      <w:r>
        <w:rPr>
          <w:rFonts w:hAnsi="宋体" w:cs="Arial" w:hint="eastAsia"/>
          <w:b/>
          <w:color w:val="000000"/>
          <w:kern w:val="0"/>
          <w:sz w:val="28"/>
          <w:szCs w:val="28"/>
        </w:rPr>
        <w:t>2013</w:t>
      </w:r>
      <w:r>
        <w:rPr>
          <w:rFonts w:hAnsi="宋体" w:cs="Arial" w:hint="eastAsia"/>
          <w:b/>
          <w:color w:val="000000"/>
          <w:kern w:val="0"/>
          <w:sz w:val="28"/>
          <w:szCs w:val="28"/>
        </w:rPr>
        <w:t>年</w:t>
      </w:r>
      <w:r>
        <w:rPr>
          <w:rFonts w:hAnsi="宋体" w:cs="Arial" w:hint="eastAsia"/>
          <w:b/>
          <w:color w:val="000000"/>
          <w:kern w:val="0"/>
          <w:sz w:val="28"/>
          <w:szCs w:val="28"/>
        </w:rPr>
        <w:t>LP</w:t>
      </w:r>
      <w:r w:rsidRPr="00CB0317">
        <w:rPr>
          <w:rFonts w:hAnsi="宋体" w:cs="Arial" w:hint="eastAsia"/>
          <w:b/>
          <w:color w:val="000000"/>
          <w:kern w:val="0"/>
          <w:sz w:val="28"/>
          <w:szCs w:val="28"/>
        </w:rPr>
        <w:t>数量增至</w:t>
      </w:r>
      <w:r w:rsidRPr="00CB0317">
        <w:rPr>
          <w:rFonts w:hAnsi="宋体" w:cs="Arial"/>
          <w:b/>
          <w:color w:val="000000"/>
          <w:kern w:val="0"/>
          <w:sz w:val="28"/>
          <w:szCs w:val="28"/>
        </w:rPr>
        <w:t>8,</w:t>
      </w:r>
      <w:r>
        <w:rPr>
          <w:rFonts w:hAnsi="宋体" w:cs="Arial" w:hint="eastAsia"/>
          <w:b/>
          <w:color w:val="000000"/>
          <w:kern w:val="0"/>
          <w:sz w:val="28"/>
          <w:szCs w:val="28"/>
        </w:rPr>
        <w:t>622</w:t>
      </w:r>
      <w:r>
        <w:rPr>
          <w:rFonts w:hAnsi="宋体" w:cs="Arial" w:hint="eastAsia"/>
          <w:b/>
          <w:color w:val="000000"/>
          <w:kern w:val="0"/>
          <w:sz w:val="28"/>
          <w:szCs w:val="28"/>
        </w:rPr>
        <w:t>家</w:t>
      </w:r>
      <w:r>
        <w:rPr>
          <w:rFonts w:hAnsi="宋体" w:cs="Arial" w:hint="eastAsia"/>
          <w:b/>
          <w:color w:val="000000"/>
          <w:kern w:val="0"/>
          <w:sz w:val="28"/>
          <w:szCs w:val="28"/>
        </w:rPr>
        <w:t xml:space="preserve"> </w:t>
      </w:r>
      <w:r>
        <w:rPr>
          <w:rFonts w:hAnsi="宋体" w:cs="Arial" w:hint="eastAsia"/>
          <w:b/>
          <w:color w:val="000000"/>
          <w:kern w:val="0"/>
          <w:sz w:val="28"/>
          <w:szCs w:val="28"/>
        </w:rPr>
        <w:t>本土</w:t>
      </w:r>
      <w:r>
        <w:rPr>
          <w:rFonts w:hAnsi="宋体" w:cs="Arial" w:hint="eastAsia"/>
          <w:b/>
          <w:color w:val="000000"/>
          <w:kern w:val="0"/>
          <w:sz w:val="28"/>
          <w:szCs w:val="28"/>
        </w:rPr>
        <w:t>LP</w:t>
      </w:r>
      <w:r>
        <w:rPr>
          <w:rFonts w:hAnsi="宋体" w:cs="Arial" w:hint="eastAsia"/>
          <w:b/>
          <w:color w:val="000000"/>
          <w:kern w:val="0"/>
          <w:sz w:val="28"/>
          <w:szCs w:val="28"/>
        </w:rPr>
        <w:t>与</w:t>
      </w:r>
      <w:r>
        <w:rPr>
          <w:rFonts w:hAnsi="宋体" w:cs="Arial" w:hint="eastAsia"/>
          <w:b/>
          <w:color w:val="000000"/>
          <w:kern w:val="0"/>
          <w:sz w:val="28"/>
          <w:szCs w:val="28"/>
        </w:rPr>
        <w:t>GP</w:t>
      </w:r>
      <w:r>
        <w:rPr>
          <w:rFonts w:hAnsi="宋体" w:cs="Arial" w:hint="eastAsia"/>
          <w:b/>
          <w:color w:val="000000"/>
          <w:kern w:val="0"/>
          <w:sz w:val="28"/>
          <w:szCs w:val="28"/>
        </w:rPr>
        <w:t>一起走向成熟</w:t>
      </w:r>
    </w:p>
    <w:p w:rsidR="0091654B" w:rsidRDefault="0091654B" w:rsidP="00123B4D">
      <w:pPr>
        <w:widowControl/>
        <w:spacing w:line="360" w:lineRule="exact"/>
        <w:jc w:val="center"/>
        <w:rPr>
          <w:rFonts w:cs="Arial"/>
          <w:color w:val="000000"/>
          <w:kern w:val="0"/>
          <w:szCs w:val="21"/>
        </w:rPr>
      </w:pPr>
      <w:r>
        <w:rPr>
          <w:rFonts w:cs="Arial"/>
          <w:color w:val="000000"/>
          <w:kern w:val="0"/>
          <w:szCs w:val="21"/>
        </w:rPr>
        <w:t>201</w:t>
      </w:r>
      <w:r>
        <w:rPr>
          <w:rFonts w:cs="Arial" w:hint="eastAsia"/>
          <w:color w:val="000000"/>
          <w:kern w:val="0"/>
          <w:szCs w:val="21"/>
        </w:rPr>
        <w:t>4</w:t>
      </w:r>
      <w:r>
        <w:rPr>
          <w:rFonts w:cs="Arial"/>
          <w:color w:val="000000"/>
          <w:kern w:val="0"/>
          <w:szCs w:val="21"/>
        </w:rPr>
        <w:t>-</w:t>
      </w:r>
      <w:r>
        <w:rPr>
          <w:rFonts w:cs="Arial" w:hint="eastAsia"/>
          <w:color w:val="000000"/>
          <w:kern w:val="0"/>
          <w:szCs w:val="21"/>
        </w:rPr>
        <w:t>1</w:t>
      </w:r>
      <w:r>
        <w:rPr>
          <w:rFonts w:cs="Arial"/>
          <w:color w:val="000000"/>
          <w:kern w:val="0"/>
          <w:szCs w:val="21"/>
        </w:rPr>
        <w:t>-</w:t>
      </w:r>
      <w:r w:rsidR="00666879">
        <w:rPr>
          <w:rFonts w:cs="Arial" w:hint="eastAsia"/>
          <w:color w:val="000000"/>
          <w:kern w:val="0"/>
          <w:szCs w:val="21"/>
        </w:rPr>
        <w:t>8</w:t>
      </w:r>
      <w:r w:rsidR="003A18EB">
        <w:rPr>
          <w:rFonts w:cs="Arial" w:hint="eastAsia"/>
          <w:color w:val="000000"/>
          <w:kern w:val="0"/>
          <w:szCs w:val="21"/>
        </w:rPr>
        <w:t xml:space="preserve"> </w:t>
      </w:r>
      <w:proofErr w:type="gramStart"/>
      <w:r w:rsidR="003A18EB">
        <w:rPr>
          <w:rFonts w:cs="Arial" w:hint="eastAsia"/>
          <w:color w:val="000000"/>
          <w:kern w:val="0"/>
          <w:szCs w:val="21"/>
        </w:rPr>
        <w:t>清科</w:t>
      </w:r>
      <w:r>
        <w:rPr>
          <w:rFonts w:cs="Arial" w:hint="eastAsia"/>
          <w:color w:val="000000"/>
          <w:kern w:val="0"/>
          <w:szCs w:val="21"/>
        </w:rPr>
        <w:t>研究中心</w:t>
      </w:r>
      <w:proofErr w:type="gramEnd"/>
      <w:r>
        <w:rPr>
          <w:rFonts w:cs="Arial"/>
          <w:color w:val="000000"/>
          <w:kern w:val="0"/>
          <w:szCs w:val="21"/>
        </w:rPr>
        <w:t xml:space="preserve"> </w:t>
      </w:r>
      <w:r>
        <w:rPr>
          <w:rFonts w:cs="Arial" w:hint="eastAsia"/>
          <w:color w:val="000000"/>
          <w:kern w:val="0"/>
          <w:szCs w:val="21"/>
        </w:rPr>
        <w:t>闫洁</w:t>
      </w:r>
    </w:p>
    <w:p w:rsidR="0091654B" w:rsidRDefault="0091654B" w:rsidP="0091654B">
      <w:pPr>
        <w:spacing w:line="360" w:lineRule="auto"/>
        <w:rPr>
          <w:kern w:val="0"/>
        </w:rPr>
      </w:pPr>
    </w:p>
    <w:p w:rsidR="0091654B" w:rsidRPr="0000355F" w:rsidRDefault="00E74906" w:rsidP="0091654B">
      <w:pPr>
        <w:spacing w:line="360" w:lineRule="exact"/>
        <w:ind w:firstLine="420"/>
        <w:rPr>
          <w:kern w:val="0"/>
        </w:rPr>
      </w:pPr>
      <w:r>
        <w:rPr>
          <w:rFonts w:cs="Arial"/>
          <w:color w:val="252525"/>
          <w:szCs w:val="21"/>
          <w:shd w:val="clear" w:color="auto" w:fill="FFFFFF"/>
        </w:rPr>
        <w:t>大中华区著</w:t>
      </w:r>
      <w:r w:rsidR="00F54768">
        <w:rPr>
          <w:rFonts w:cs="Arial" w:hint="eastAsia"/>
          <w:color w:val="252525"/>
          <w:szCs w:val="21"/>
          <w:shd w:val="clear" w:color="auto" w:fill="FFFFFF"/>
        </w:rPr>
        <w:t>名</w:t>
      </w:r>
      <w:r>
        <w:rPr>
          <w:rFonts w:cs="Arial" w:hint="eastAsia"/>
          <w:color w:val="252525"/>
          <w:szCs w:val="21"/>
          <w:shd w:val="clear" w:color="auto" w:fill="FFFFFF"/>
        </w:rPr>
        <w:t>股权投资</w:t>
      </w:r>
      <w:r w:rsidR="0091654B">
        <w:rPr>
          <w:rFonts w:cs="Arial"/>
          <w:color w:val="252525"/>
          <w:szCs w:val="21"/>
          <w:shd w:val="clear" w:color="auto" w:fill="FFFFFF"/>
        </w:rPr>
        <w:t>研究机构清科研究中心最新数据显示，</w:t>
      </w:r>
      <w:r w:rsidR="0091654B">
        <w:rPr>
          <w:rFonts w:cs="Arial"/>
          <w:color w:val="252525"/>
          <w:szCs w:val="21"/>
          <w:shd w:val="clear" w:color="auto" w:fill="FFFFFF"/>
        </w:rPr>
        <w:t>201</w:t>
      </w:r>
      <w:r w:rsidR="0091654B">
        <w:rPr>
          <w:rFonts w:cs="Arial" w:hint="eastAsia"/>
          <w:color w:val="252525"/>
          <w:szCs w:val="21"/>
          <w:shd w:val="clear" w:color="auto" w:fill="FFFFFF"/>
        </w:rPr>
        <w:t>3</w:t>
      </w:r>
      <w:r w:rsidR="0091654B">
        <w:rPr>
          <w:rFonts w:cs="Arial"/>
          <w:color w:val="252525"/>
          <w:szCs w:val="21"/>
          <w:shd w:val="clear" w:color="auto" w:fill="FFFFFF"/>
        </w:rPr>
        <w:t>年全年，</w:t>
      </w:r>
      <w:r w:rsidR="0091654B">
        <w:rPr>
          <w:rFonts w:cs="Arial" w:hint="eastAsia"/>
          <w:color w:val="252525"/>
          <w:szCs w:val="21"/>
          <w:shd w:val="clear" w:color="auto" w:fill="FFFFFF"/>
        </w:rPr>
        <w:t>中国股权投资市场仍处在较低迷的状态</w:t>
      </w:r>
      <w:r w:rsidR="0091654B">
        <w:rPr>
          <w:rFonts w:cs="Arial"/>
          <w:color w:val="252525"/>
          <w:szCs w:val="21"/>
          <w:shd w:val="clear" w:color="auto" w:fill="FFFFFF"/>
        </w:rPr>
        <w:t>，</w:t>
      </w:r>
      <w:r w:rsidR="0091654B">
        <w:rPr>
          <w:rFonts w:cs="Arial" w:hint="eastAsia"/>
          <w:color w:val="252525"/>
          <w:szCs w:val="21"/>
          <w:shd w:val="clear" w:color="auto" w:fill="FFFFFF"/>
        </w:rPr>
        <w:t>LP</w:t>
      </w:r>
      <w:r w:rsidR="0091654B">
        <w:rPr>
          <w:rFonts w:cs="Arial" w:hint="eastAsia"/>
          <w:color w:val="252525"/>
          <w:szCs w:val="21"/>
          <w:shd w:val="clear" w:color="auto" w:fill="FFFFFF"/>
        </w:rPr>
        <w:t>市场整体发展也相对缓慢，</w:t>
      </w:r>
      <w:r w:rsidR="0091654B">
        <w:rPr>
          <w:rFonts w:cs="Arial"/>
          <w:color w:val="252525"/>
          <w:szCs w:val="21"/>
          <w:shd w:val="clear" w:color="auto" w:fill="FFFFFF"/>
        </w:rPr>
        <w:t>LP</w:t>
      </w:r>
      <w:r w:rsidR="0091654B">
        <w:rPr>
          <w:rFonts w:cs="Arial"/>
          <w:color w:val="252525"/>
          <w:szCs w:val="21"/>
          <w:shd w:val="clear" w:color="auto" w:fill="FFFFFF"/>
        </w:rPr>
        <w:t>数量以及可投资金额继续保持着低速增长</w:t>
      </w:r>
      <w:r w:rsidR="0091654B">
        <w:rPr>
          <w:rFonts w:cs="Arial" w:hint="eastAsia"/>
          <w:color w:val="252525"/>
          <w:szCs w:val="21"/>
          <w:shd w:val="clear" w:color="auto" w:fill="FFFFFF"/>
        </w:rPr>
        <w:t>，股权投资基金背后的投资者们又度过了较为艰难的一年，尤其是本土的</w:t>
      </w:r>
      <w:r w:rsidR="0091654B">
        <w:rPr>
          <w:rFonts w:cs="Arial" w:hint="eastAsia"/>
          <w:color w:val="252525"/>
          <w:szCs w:val="21"/>
          <w:shd w:val="clear" w:color="auto" w:fill="FFFFFF"/>
        </w:rPr>
        <w:t>LP</w:t>
      </w:r>
      <w:r w:rsidR="0091654B">
        <w:rPr>
          <w:rFonts w:cs="Arial" w:hint="eastAsia"/>
          <w:color w:val="252525"/>
          <w:szCs w:val="21"/>
          <w:shd w:val="clear" w:color="auto" w:fill="FFFFFF"/>
        </w:rPr>
        <w:t>群体，投资态度愈发谨慎。</w:t>
      </w:r>
      <w:r w:rsidR="0091654B">
        <w:rPr>
          <w:rFonts w:cs="Arial"/>
          <w:color w:val="252525"/>
          <w:szCs w:val="21"/>
          <w:shd w:val="clear" w:color="auto" w:fill="FFFFFF"/>
        </w:rPr>
        <w:t>从</w:t>
      </w:r>
      <w:r w:rsidR="0091654B">
        <w:rPr>
          <w:rFonts w:cs="Arial"/>
          <w:color w:val="252525"/>
          <w:szCs w:val="21"/>
          <w:shd w:val="clear" w:color="auto" w:fill="FFFFFF"/>
        </w:rPr>
        <w:t>LP</w:t>
      </w:r>
      <w:r w:rsidR="0091654B">
        <w:rPr>
          <w:rFonts w:cs="Arial"/>
          <w:color w:val="252525"/>
          <w:szCs w:val="21"/>
          <w:shd w:val="clear" w:color="auto" w:fill="FFFFFF"/>
        </w:rPr>
        <w:t>的机构类型来看，本土</w:t>
      </w:r>
      <w:r w:rsidR="0091654B">
        <w:rPr>
          <w:rFonts w:cs="Arial"/>
          <w:color w:val="252525"/>
          <w:szCs w:val="21"/>
          <w:shd w:val="clear" w:color="auto" w:fill="FFFFFF"/>
        </w:rPr>
        <w:t>LP</w:t>
      </w:r>
      <w:r w:rsidR="0091654B">
        <w:rPr>
          <w:rFonts w:cs="Arial"/>
          <w:color w:val="252525"/>
          <w:szCs w:val="21"/>
          <w:shd w:val="clear" w:color="auto" w:fill="FFFFFF"/>
        </w:rPr>
        <w:t>数量占据市场八成，可</w:t>
      </w:r>
      <w:proofErr w:type="gramStart"/>
      <w:r w:rsidR="0091654B">
        <w:rPr>
          <w:rFonts w:cs="Arial"/>
          <w:color w:val="252525"/>
          <w:szCs w:val="21"/>
          <w:shd w:val="clear" w:color="auto" w:fill="FFFFFF"/>
        </w:rPr>
        <w:t>投资本量方面</w:t>
      </w:r>
      <w:proofErr w:type="gramEnd"/>
      <w:r w:rsidR="0091654B">
        <w:rPr>
          <w:rFonts w:cs="Arial"/>
          <w:color w:val="252525"/>
          <w:szCs w:val="21"/>
          <w:shd w:val="clear" w:color="auto" w:fill="FFFFFF"/>
        </w:rPr>
        <w:t>虽</w:t>
      </w:r>
      <w:r w:rsidR="0091654B">
        <w:rPr>
          <w:rFonts w:cs="Arial" w:hint="eastAsia"/>
          <w:color w:val="252525"/>
          <w:szCs w:val="21"/>
          <w:shd w:val="clear" w:color="auto" w:fill="FFFFFF"/>
        </w:rPr>
        <w:t>仍</w:t>
      </w:r>
      <w:r w:rsidR="0091654B">
        <w:rPr>
          <w:rFonts w:cs="Arial"/>
          <w:color w:val="252525"/>
          <w:szCs w:val="21"/>
          <w:shd w:val="clear" w:color="auto" w:fill="FFFFFF"/>
        </w:rPr>
        <w:t>与外资有着较大差距，但其增长势头较为强劲</w:t>
      </w:r>
      <w:r w:rsidR="0091654B">
        <w:rPr>
          <w:rFonts w:cs="Arial" w:hint="eastAsia"/>
          <w:color w:val="252525"/>
          <w:szCs w:val="21"/>
          <w:shd w:val="clear" w:color="auto" w:fill="FFFFFF"/>
        </w:rPr>
        <w:t>，未来的发展相对乐观。</w:t>
      </w:r>
    </w:p>
    <w:p w:rsidR="0091654B" w:rsidRDefault="0091654B" w:rsidP="0091654B">
      <w:pPr>
        <w:spacing w:line="360" w:lineRule="exact"/>
        <w:ind w:firstLine="420"/>
        <w:rPr>
          <w:kern w:val="0"/>
        </w:rPr>
      </w:pPr>
    </w:p>
    <w:p w:rsidR="0091654B" w:rsidRPr="00AB75DB" w:rsidRDefault="0091654B" w:rsidP="0091654B">
      <w:pPr>
        <w:spacing w:line="360" w:lineRule="exact"/>
        <w:ind w:firstLine="420"/>
        <w:rPr>
          <w:b/>
          <w:kern w:val="0"/>
        </w:rPr>
      </w:pPr>
      <w:r w:rsidRPr="00AB75DB">
        <w:rPr>
          <w:rFonts w:hint="eastAsia"/>
          <w:b/>
          <w:kern w:val="0"/>
        </w:rPr>
        <w:t>VC/PE</w:t>
      </w:r>
      <w:r w:rsidRPr="00AB75DB">
        <w:rPr>
          <w:rFonts w:hint="eastAsia"/>
          <w:b/>
          <w:kern w:val="0"/>
        </w:rPr>
        <w:t>行业深度调整，浮躁褪去，回归理性</w:t>
      </w:r>
    </w:p>
    <w:p w:rsidR="0091654B" w:rsidRPr="00AB75DB" w:rsidRDefault="0091654B" w:rsidP="0091654B">
      <w:pPr>
        <w:spacing w:line="360" w:lineRule="exact"/>
        <w:ind w:firstLine="420"/>
        <w:rPr>
          <w:kern w:val="0"/>
        </w:rPr>
      </w:pPr>
    </w:p>
    <w:p w:rsidR="0091654B" w:rsidRDefault="0091654B" w:rsidP="0091654B">
      <w:pPr>
        <w:spacing w:line="360" w:lineRule="exact"/>
        <w:ind w:firstLine="420"/>
        <w:rPr>
          <w:kern w:val="0"/>
        </w:rPr>
      </w:pPr>
      <w:r w:rsidRPr="00352FC9">
        <w:rPr>
          <w:kern w:val="0"/>
        </w:rPr>
        <w:t>从</w:t>
      </w:r>
      <w:r w:rsidRPr="00352FC9">
        <w:rPr>
          <w:kern w:val="0"/>
        </w:rPr>
        <w:t>LP</w:t>
      </w:r>
      <w:r w:rsidRPr="00352FC9">
        <w:rPr>
          <w:kern w:val="0"/>
        </w:rPr>
        <w:t>数量上分析，截至</w:t>
      </w:r>
      <w:r w:rsidRPr="00352FC9">
        <w:rPr>
          <w:kern w:val="0"/>
        </w:rPr>
        <w:t>201</w:t>
      </w:r>
      <w:r>
        <w:rPr>
          <w:rFonts w:hint="eastAsia"/>
          <w:kern w:val="0"/>
        </w:rPr>
        <w:t>3</w:t>
      </w:r>
      <w:r w:rsidR="00800A7A">
        <w:rPr>
          <w:kern w:val="0"/>
        </w:rPr>
        <w:t>年底，</w:t>
      </w:r>
      <w:proofErr w:type="gramStart"/>
      <w:r w:rsidR="00800A7A">
        <w:rPr>
          <w:kern w:val="0"/>
        </w:rPr>
        <w:t>清科研究中心</w:t>
      </w:r>
      <w:proofErr w:type="gramEnd"/>
      <w:r w:rsidRPr="00352FC9">
        <w:rPr>
          <w:kern w:val="0"/>
        </w:rPr>
        <w:t>收录的</w:t>
      </w:r>
      <w:r w:rsidRPr="00352FC9">
        <w:rPr>
          <w:kern w:val="0"/>
        </w:rPr>
        <w:t>LP</w:t>
      </w:r>
      <w:r w:rsidRPr="00352FC9">
        <w:rPr>
          <w:kern w:val="0"/>
        </w:rPr>
        <w:t>共</w:t>
      </w:r>
      <w:r w:rsidR="00800A7A">
        <w:rPr>
          <w:rFonts w:hint="eastAsia"/>
          <w:kern w:val="0"/>
        </w:rPr>
        <w:t>8</w:t>
      </w:r>
      <w:r w:rsidRPr="00352FC9">
        <w:rPr>
          <w:kern w:val="0"/>
        </w:rPr>
        <w:t>,</w:t>
      </w:r>
      <w:r>
        <w:rPr>
          <w:rFonts w:hint="eastAsia"/>
          <w:kern w:val="0"/>
        </w:rPr>
        <w:t>622</w:t>
      </w:r>
      <w:r w:rsidRPr="00352FC9">
        <w:rPr>
          <w:kern w:val="0"/>
        </w:rPr>
        <w:t>家，在所有收录的</w:t>
      </w:r>
      <w:r w:rsidRPr="00352FC9">
        <w:rPr>
          <w:kern w:val="0"/>
        </w:rPr>
        <w:t>LP</w:t>
      </w:r>
      <w:r w:rsidRPr="00352FC9">
        <w:rPr>
          <w:kern w:val="0"/>
        </w:rPr>
        <w:t>中，披露可</w:t>
      </w:r>
      <w:proofErr w:type="gramStart"/>
      <w:r w:rsidRPr="00352FC9">
        <w:rPr>
          <w:kern w:val="0"/>
        </w:rPr>
        <w:t>投资本量的</w:t>
      </w:r>
      <w:proofErr w:type="gramEnd"/>
      <w:r w:rsidRPr="00352FC9">
        <w:rPr>
          <w:kern w:val="0"/>
        </w:rPr>
        <w:t>机构共</w:t>
      </w:r>
      <w:r>
        <w:rPr>
          <w:rFonts w:hint="eastAsia"/>
          <w:kern w:val="0"/>
        </w:rPr>
        <w:t>7</w:t>
      </w:r>
      <w:r w:rsidRPr="00352FC9">
        <w:rPr>
          <w:kern w:val="0"/>
        </w:rPr>
        <w:t>,</w:t>
      </w:r>
      <w:r>
        <w:rPr>
          <w:rFonts w:hint="eastAsia"/>
          <w:kern w:val="0"/>
        </w:rPr>
        <w:t>061</w:t>
      </w:r>
      <w:r w:rsidRPr="00352FC9">
        <w:rPr>
          <w:kern w:val="0"/>
        </w:rPr>
        <w:t>家。</w:t>
      </w:r>
      <w:proofErr w:type="gramStart"/>
      <w:r w:rsidRPr="00352FC9">
        <w:rPr>
          <w:kern w:val="0"/>
        </w:rPr>
        <w:t>在清科研究</w:t>
      </w:r>
      <w:r w:rsidRPr="00352FC9">
        <w:t>中心</w:t>
      </w:r>
      <w:proofErr w:type="gramEnd"/>
      <w:r w:rsidRPr="00352FC9">
        <w:t>观测的</w:t>
      </w:r>
      <w:r w:rsidRPr="00352FC9">
        <w:t>19</w:t>
      </w:r>
      <w:r w:rsidRPr="00352FC9">
        <w:t>类</w:t>
      </w:r>
      <w:r w:rsidRPr="00352FC9">
        <w:t>LP</w:t>
      </w:r>
      <w:r w:rsidRPr="00352FC9">
        <w:t>中，富有家族及个人、企业以及</w:t>
      </w:r>
      <w:r w:rsidRPr="00352FC9">
        <w:t>VC/PE</w:t>
      </w:r>
      <w:r w:rsidRPr="00352FC9">
        <w:t>机构位列前三名，分别有</w:t>
      </w:r>
      <w:r>
        <w:rPr>
          <w:rFonts w:hint="eastAsia"/>
        </w:rPr>
        <w:t>4</w:t>
      </w:r>
      <w:r w:rsidRPr="00352FC9">
        <w:t>,</w:t>
      </w:r>
      <w:r>
        <w:rPr>
          <w:rFonts w:hint="eastAsia"/>
        </w:rPr>
        <w:t>3</w:t>
      </w:r>
      <w:r w:rsidRPr="00352FC9">
        <w:t>7</w:t>
      </w:r>
      <w:r>
        <w:rPr>
          <w:rFonts w:hint="eastAsia"/>
        </w:rPr>
        <w:t>7</w:t>
      </w:r>
      <w:r w:rsidRPr="00352FC9">
        <w:t>家、</w:t>
      </w:r>
      <w:r w:rsidRPr="00352FC9">
        <w:t>1,</w:t>
      </w:r>
      <w:r>
        <w:rPr>
          <w:rFonts w:hint="eastAsia"/>
        </w:rPr>
        <w:t>432</w:t>
      </w:r>
      <w:r w:rsidRPr="00352FC9">
        <w:t>家以及</w:t>
      </w:r>
      <w:r>
        <w:rPr>
          <w:rFonts w:hint="eastAsia"/>
        </w:rPr>
        <w:t>54</w:t>
      </w:r>
      <w:r w:rsidRPr="00352FC9">
        <w:t>5</w:t>
      </w:r>
      <w:r w:rsidRPr="00352FC9">
        <w:t>家，分别占</w:t>
      </w:r>
      <w:r w:rsidRPr="00352FC9">
        <w:t>LP</w:t>
      </w:r>
      <w:r w:rsidRPr="00352FC9">
        <w:t>总数的</w:t>
      </w:r>
      <w:r w:rsidRPr="00352FC9">
        <w:t>50.</w:t>
      </w:r>
      <w:r>
        <w:rPr>
          <w:rFonts w:hint="eastAsia"/>
        </w:rPr>
        <w:t>8</w:t>
      </w:r>
      <w:r w:rsidRPr="00352FC9">
        <w:t>%</w:t>
      </w:r>
      <w:r w:rsidRPr="00352FC9">
        <w:t>、</w:t>
      </w:r>
      <w:r w:rsidRPr="00352FC9">
        <w:t>1</w:t>
      </w:r>
      <w:r>
        <w:rPr>
          <w:rFonts w:hint="eastAsia"/>
        </w:rPr>
        <w:t>6</w:t>
      </w:r>
      <w:r w:rsidRPr="00352FC9">
        <w:t>.</w:t>
      </w:r>
      <w:r>
        <w:rPr>
          <w:rFonts w:hint="eastAsia"/>
        </w:rPr>
        <w:t>6</w:t>
      </w:r>
      <w:r w:rsidRPr="00352FC9">
        <w:t>%</w:t>
      </w:r>
      <w:r w:rsidRPr="00352FC9">
        <w:t>以及</w:t>
      </w:r>
      <w:r w:rsidRPr="00352FC9">
        <w:t>6.3%</w:t>
      </w:r>
      <w:r w:rsidRPr="00352FC9">
        <w:t>，这三类</w:t>
      </w:r>
      <w:r w:rsidRPr="00352FC9">
        <w:t>LP</w:t>
      </w:r>
      <w:r w:rsidRPr="00352FC9">
        <w:t>的占比总和超过了中国股权</w:t>
      </w:r>
      <w:r w:rsidR="00E74906">
        <w:rPr>
          <w:rFonts w:hint="eastAsia"/>
        </w:rPr>
        <w:t>投资</w:t>
      </w:r>
      <w:r w:rsidRPr="00352FC9">
        <w:t>市场投资人总量的</w:t>
      </w:r>
      <w:r w:rsidRPr="00352FC9">
        <w:rPr>
          <w:kern w:val="0"/>
        </w:rPr>
        <w:t>七成。从</w:t>
      </w:r>
      <w:r w:rsidRPr="00352FC9">
        <w:rPr>
          <w:kern w:val="0"/>
        </w:rPr>
        <w:t>LP</w:t>
      </w:r>
      <w:r w:rsidRPr="00352FC9">
        <w:rPr>
          <w:kern w:val="0"/>
        </w:rPr>
        <w:t>可</w:t>
      </w:r>
      <w:proofErr w:type="gramStart"/>
      <w:r w:rsidRPr="00352FC9">
        <w:rPr>
          <w:kern w:val="0"/>
        </w:rPr>
        <w:t>投资本量来看</w:t>
      </w:r>
      <w:proofErr w:type="gramEnd"/>
      <w:r w:rsidRPr="00352FC9">
        <w:rPr>
          <w:kern w:val="0"/>
        </w:rPr>
        <w:t>，截至</w:t>
      </w:r>
      <w:r w:rsidRPr="00352FC9">
        <w:rPr>
          <w:kern w:val="0"/>
        </w:rPr>
        <w:t>201</w:t>
      </w:r>
      <w:r>
        <w:rPr>
          <w:rFonts w:hint="eastAsia"/>
          <w:kern w:val="0"/>
        </w:rPr>
        <w:t>3</w:t>
      </w:r>
      <w:r w:rsidRPr="00352FC9">
        <w:rPr>
          <w:kern w:val="0"/>
        </w:rPr>
        <w:t>年底，全体</w:t>
      </w:r>
      <w:r w:rsidRPr="00352FC9">
        <w:rPr>
          <w:kern w:val="0"/>
        </w:rPr>
        <w:t>LP</w:t>
      </w:r>
      <w:r w:rsidRPr="00352FC9">
        <w:rPr>
          <w:kern w:val="0"/>
        </w:rPr>
        <w:t>共披露可</w:t>
      </w:r>
      <w:proofErr w:type="gramStart"/>
      <w:r w:rsidRPr="00352FC9">
        <w:rPr>
          <w:kern w:val="0"/>
        </w:rPr>
        <w:t>投资本量为</w:t>
      </w:r>
      <w:proofErr w:type="gramEnd"/>
      <w:r w:rsidRPr="00352FC9">
        <w:rPr>
          <w:kern w:val="0"/>
        </w:rPr>
        <w:t>8,</w:t>
      </w:r>
      <w:r>
        <w:rPr>
          <w:rFonts w:hint="eastAsia"/>
          <w:kern w:val="0"/>
        </w:rPr>
        <w:t>226</w:t>
      </w:r>
      <w:r w:rsidRPr="00352FC9">
        <w:rPr>
          <w:kern w:val="0"/>
        </w:rPr>
        <w:t>.</w:t>
      </w:r>
      <w:r>
        <w:rPr>
          <w:rFonts w:hint="eastAsia"/>
          <w:kern w:val="0"/>
        </w:rPr>
        <w:t>75</w:t>
      </w:r>
      <w:r w:rsidRPr="00352FC9">
        <w:rPr>
          <w:kern w:val="0"/>
        </w:rPr>
        <w:t>亿美元，其中上市公司、公共养老基金以及主权财富基金所披露的可</w:t>
      </w:r>
      <w:proofErr w:type="gramStart"/>
      <w:r w:rsidRPr="00352FC9">
        <w:rPr>
          <w:kern w:val="0"/>
        </w:rPr>
        <w:t>投资本量均</w:t>
      </w:r>
      <w:proofErr w:type="gramEnd"/>
      <w:r w:rsidRPr="00352FC9">
        <w:rPr>
          <w:kern w:val="0"/>
        </w:rPr>
        <w:t>超过了</w:t>
      </w:r>
      <w:r w:rsidRPr="00352FC9">
        <w:rPr>
          <w:kern w:val="0"/>
        </w:rPr>
        <w:t>1,500.00</w:t>
      </w:r>
      <w:r w:rsidRPr="00352FC9">
        <w:rPr>
          <w:kern w:val="0"/>
        </w:rPr>
        <w:t>亿美元，分别为</w:t>
      </w:r>
      <w:r w:rsidRPr="00352FC9">
        <w:rPr>
          <w:kern w:val="0"/>
        </w:rPr>
        <w:t>2,1</w:t>
      </w:r>
      <w:r>
        <w:rPr>
          <w:rFonts w:hint="eastAsia"/>
          <w:kern w:val="0"/>
        </w:rPr>
        <w:t>60</w:t>
      </w:r>
      <w:r w:rsidRPr="00352FC9">
        <w:rPr>
          <w:kern w:val="0"/>
        </w:rPr>
        <w:t>.</w:t>
      </w:r>
      <w:r>
        <w:rPr>
          <w:rFonts w:hint="eastAsia"/>
          <w:kern w:val="0"/>
        </w:rPr>
        <w:t>14</w:t>
      </w:r>
      <w:r w:rsidRPr="00352FC9">
        <w:rPr>
          <w:kern w:val="0"/>
        </w:rPr>
        <w:t>亿美元、</w:t>
      </w:r>
      <w:r w:rsidRPr="00352FC9">
        <w:rPr>
          <w:kern w:val="0"/>
        </w:rPr>
        <w:t>1,667.</w:t>
      </w:r>
      <w:r>
        <w:rPr>
          <w:rFonts w:hint="eastAsia"/>
          <w:kern w:val="0"/>
        </w:rPr>
        <w:t>85</w:t>
      </w:r>
      <w:r w:rsidRPr="00352FC9">
        <w:rPr>
          <w:kern w:val="0"/>
        </w:rPr>
        <w:t>亿美元以及</w:t>
      </w:r>
      <w:r w:rsidRPr="00352FC9">
        <w:rPr>
          <w:kern w:val="0"/>
        </w:rPr>
        <w:t>1,54</w:t>
      </w:r>
      <w:r>
        <w:rPr>
          <w:rFonts w:hint="eastAsia"/>
          <w:kern w:val="0"/>
        </w:rPr>
        <w:t>2</w:t>
      </w:r>
      <w:r w:rsidRPr="00352FC9">
        <w:rPr>
          <w:kern w:val="0"/>
        </w:rPr>
        <w:t>.</w:t>
      </w:r>
      <w:r>
        <w:rPr>
          <w:rFonts w:hint="eastAsia"/>
          <w:kern w:val="0"/>
        </w:rPr>
        <w:t>42</w:t>
      </w:r>
      <w:r w:rsidRPr="00352FC9">
        <w:rPr>
          <w:kern w:val="0"/>
        </w:rPr>
        <w:t>亿美元，各占可投资本总量的</w:t>
      </w:r>
      <w:r w:rsidRPr="00352FC9">
        <w:rPr>
          <w:kern w:val="0"/>
        </w:rPr>
        <w:t>26.3%</w:t>
      </w:r>
      <w:r w:rsidRPr="00352FC9">
        <w:rPr>
          <w:kern w:val="0"/>
        </w:rPr>
        <w:t>、</w:t>
      </w:r>
      <w:r w:rsidRPr="00352FC9">
        <w:rPr>
          <w:kern w:val="0"/>
        </w:rPr>
        <w:t>20.</w:t>
      </w:r>
      <w:r>
        <w:rPr>
          <w:rFonts w:hint="eastAsia"/>
          <w:kern w:val="0"/>
        </w:rPr>
        <w:t>3</w:t>
      </w:r>
      <w:r w:rsidRPr="00352FC9">
        <w:rPr>
          <w:kern w:val="0"/>
        </w:rPr>
        <w:t>%</w:t>
      </w:r>
      <w:r w:rsidRPr="00352FC9">
        <w:rPr>
          <w:kern w:val="0"/>
        </w:rPr>
        <w:t>以及</w:t>
      </w:r>
      <w:r w:rsidRPr="00352FC9">
        <w:rPr>
          <w:kern w:val="0"/>
        </w:rPr>
        <w:t>1</w:t>
      </w:r>
      <w:r>
        <w:rPr>
          <w:rFonts w:hint="eastAsia"/>
          <w:kern w:val="0"/>
        </w:rPr>
        <w:t>8</w:t>
      </w:r>
      <w:r w:rsidRPr="00352FC9">
        <w:rPr>
          <w:kern w:val="0"/>
        </w:rPr>
        <w:t>.</w:t>
      </w:r>
      <w:r>
        <w:rPr>
          <w:rFonts w:hint="eastAsia"/>
          <w:kern w:val="0"/>
        </w:rPr>
        <w:t>7</w:t>
      </w:r>
      <w:r w:rsidRPr="00352FC9">
        <w:rPr>
          <w:kern w:val="0"/>
        </w:rPr>
        <w:t>%</w:t>
      </w:r>
      <w:r w:rsidRPr="00352FC9">
        <w:rPr>
          <w:kern w:val="0"/>
        </w:rPr>
        <w:t>。此外，作为活跃的机构投资人，</w:t>
      </w:r>
      <w:r w:rsidRPr="00352FC9">
        <w:rPr>
          <w:kern w:val="0"/>
        </w:rPr>
        <w:t>FOF</w:t>
      </w:r>
      <w:r w:rsidRPr="00352FC9">
        <w:rPr>
          <w:kern w:val="0"/>
        </w:rPr>
        <w:t>可</w:t>
      </w:r>
      <w:proofErr w:type="gramStart"/>
      <w:r w:rsidRPr="00352FC9">
        <w:rPr>
          <w:kern w:val="0"/>
        </w:rPr>
        <w:t>投资本量共</w:t>
      </w:r>
      <w:proofErr w:type="gramEnd"/>
      <w:r w:rsidRPr="00352FC9">
        <w:rPr>
          <w:kern w:val="0"/>
        </w:rPr>
        <w:t>51</w:t>
      </w:r>
      <w:r>
        <w:rPr>
          <w:rFonts w:hint="eastAsia"/>
          <w:kern w:val="0"/>
        </w:rPr>
        <w:t>9</w:t>
      </w:r>
      <w:r w:rsidRPr="00352FC9">
        <w:rPr>
          <w:kern w:val="0"/>
        </w:rPr>
        <w:t>.</w:t>
      </w:r>
      <w:r>
        <w:rPr>
          <w:rFonts w:hint="eastAsia"/>
          <w:kern w:val="0"/>
        </w:rPr>
        <w:t>40</w:t>
      </w:r>
      <w:r w:rsidRPr="00352FC9">
        <w:rPr>
          <w:kern w:val="0"/>
        </w:rPr>
        <w:t>亿美元，占</w:t>
      </w:r>
      <w:r w:rsidRPr="00352FC9">
        <w:rPr>
          <w:kern w:val="0"/>
        </w:rPr>
        <w:t>LP</w:t>
      </w:r>
      <w:r w:rsidRPr="00352FC9">
        <w:rPr>
          <w:kern w:val="0"/>
        </w:rPr>
        <w:t>可投资本总量的</w:t>
      </w:r>
      <w:r w:rsidRPr="00352FC9">
        <w:rPr>
          <w:kern w:val="0"/>
        </w:rPr>
        <w:t>6.</w:t>
      </w:r>
      <w:r>
        <w:rPr>
          <w:rFonts w:hint="eastAsia"/>
          <w:kern w:val="0"/>
        </w:rPr>
        <w:t>3</w:t>
      </w:r>
      <w:r w:rsidRPr="00352FC9">
        <w:rPr>
          <w:kern w:val="0"/>
        </w:rPr>
        <w:t>%</w:t>
      </w:r>
      <w:r w:rsidRPr="00352FC9">
        <w:rPr>
          <w:kern w:val="0"/>
        </w:rPr>
        <w:t>。</w:t>
      </w:r>
    </w:p>
    <w:p w:rsidR="0091654B" w:rsidRDefault="0091654B" w:rsidP="0091654B">
      <w:pPr>
        <w:spacing w:line="360" w:lineRule="exact"/>
        <w:ind w:firstLine="420"/>
        <w:rPr>
          <w:kern w:val="0"/>
        </w:rPr>
      </w:pPr>
    </w:p>
    <w:p w:rsidR="0091654B" w:rsidRDefault="0091654B" w:rsidP="0091654B">
      <w:pPr>
        <w:spacing w:line="360" w:lineRule="exact"/>
        <w:ind w:firstLine="420"/>
        <w:jc w:val="left"/>
        <w:rPr>
          <w:kern w:val="0"/>
        </w:rPr>
      </w:pPr>
      <w:r>
        <w:rPr>
          <w:rFonts w:hint="eastAsia"/>
          <w:kern w:val="0"/>
        </w:rPr>
        <w:t>进入</w:t>
      </w:r>
      <w:r>
        <w:rPr>
          <w:rFonts w:hint="eastAsia"/>
          <w:kern w:val="0"/>
        </w:rPr>
        <w:t>2013</w:t>
      </w:r>
      <w:r>
        <w:rPr>
          <w:rFonts w:hint="eastAsia"/>
          <w:kern w:val="0"/>
        </w:rPr>
        <w:t>年，中国的股权</w:t>
      </w:r>
      <w:r w:rsidR="00E74906">
        <w:rPr>
          <w:rFonts w:hint="eastAsia"/>
          <w:kern w:val="0"/>
        </w:rPr>
        <w:t>投资</w:t>
      </w:r>
      <w:r>
        <w:rPr>
          <w:rFonts w:hint="eastAsia"/>
          <w:kern w:val="0"/>
        </w:rPr>
        <w:t>市场迎来了有史以来，形势最为严峻的一个“收割期”，国内股权投资市场上，无论是人民币还是美元的大量基金都临近甚至逾越了预定的清算周期，而退出渠道的狭窄让整个中国</w:t>
      </w:r>
      <w:r>
        <w:rPr>
          <w:rFonts w:hint="eastAsia"/>
          <w:kern w:val="0"/>
        </w:rPr>
        <w:t>VC/PE</w:t>
      </w:r>
      <w:r>
        <w:rPr>
          <w:rFonts w:hint="eastAsia"/>
          <w:kern w:val="0"/>
        </w:rPr>
        <w:t>行业面临巨大退出压力。</w:t>
      </w:r>
      <w:proofErr w:type="gramStart"/>
      <w:r>
        <w:rPr>
          <w:rFonts w:hint="eastAsia"/>
          <w:kern w:val="0"/>
        </w:rPr>
        <w:t>据清科研究中心</w:t>
      </w:r>
      <w:proofErr w:type="gramEnd"/>
      <w:r>
        <w:rPr>
          <w:rFonts w:hint="eastAsia"/>
          <w:kern w:val="0"/>
        </w:rPr>
        <w:t>数据显示，截止到</w:t>
      </w:r>
      <w:r>
        <w:rPr>
          <w:rFonts w:hint="eastAsia"/>
          <w:kern w:val="0"/>
        </w:rPr>
        <w:t>2013</w:t>
      </w:r>
      <w:r>
        <w:rPr>
          <w:rFonts w:hint="eastAsia"/>
          <w:kern w:val="0"/>
        </w:rPr>
        <w:t>年底，</w:t>
      </w:r>
      <w:r>
        <w:rPr>
          <w:rFonts w:hint="eastAsia"/>
          <w:kern w:val="0"/>
        </w:rPr>
        <w:t>VC/PE</w:t>
      </w:r>
      <w:r>
        <w:rPr>
          <w:rFonts w:hint="eastAsia"/>
          <w:kern w:val="0"/>
        </w:rPr>
        <w:t>投资案例数超过</w:t>
      </w:r>
      <w:r>
        <w:rPr>
          <w:rFonts w:hint="eastAsia"/>
          <w:kern w:val="0"/>
        </w:rPr>
        <w:t>15,000</w:t>
      </w:r>
      <w:r>
        <w:rPr>
          <w:rFonts w:hint="eastAsia"/>
          <w:kern w:val="0"/>
        </w:rPr>
        <w:t>家，退出的案例数仅在</w:t>
      </w:r>
      <w:r>
        <w:rPr>
          <w:rFonts w:hint="eastAsia"/>
          <w:kern w:val="0"/>
        </w:rPr>
        <w:t>3,000</w:t>
      </w:r>
      <w:r>
        <w:rPr>
          <w:rFonts w:hint="eastAsia"/>
          <w:kern w:val="0"/>
        </w:rPr>
        <w:t>家左右，从</w:t>
      </w:r>
      <w:r>
        <w:rPr>
          <w:rFonts w:hint="eastAsia"/>
          <w:kern w:val="0"/>
        </w:rPr>
        <w:t>2008</w:t>
      </w:r>
      <w:r>
        <w:rPr>
          <w:rFonts w:hint="eastAsia"/>
          <w:kern w:val="0"/>
        </w:rPr>
        <w:t>年后成立的基金中，</w:t>
      </w:r>
      <w:r>
        <w:rPr>
          <w:rFonts w:hint="eastAsia"/>
          <w:kern w:val="0"/>
        </w:rPr>
        <w:t>LP</w:t>
      </w:r>
      <w:r>
        <w:rPr>
          <w:rFonts w:hint="eastAsia"/>
          <w:kern w:val="0"/>
        </w:rPr>
        <w:t>连本金都未收回的占九成左右，行业开启去库存的时代。</w:t>
      </w:r>
    </w:p>
    <w:p w:rsidR="0091654B" w:rsidRDefault="0091654B" w:rsidP="0091654B">
      <w:pPr>
        <w:spacing w:line="360" w:lineRule="exact"/>
        <w:ind w:firstLine="420"/>
        <w:rPr>
          <w:kern w:val="0"/>
        </w:rPr>
      </w:pPr>
    </w:p>
    <w:p w:rsidR="0091654B" w:rsidRDefault="0091654B" w:rsidP="0091654B">
      <w:pPr>
        <w:spacing w:line="360" w:lineRule="exact"/>
        <w:ind w:firstLine="420"/>
        <w:rPr>
          <w:rFonts w:cs="Arial"/>
          <w:color w:val="252525"/>
          <w:szCs w:val="21"/>
          <w:shd w:val="clear" w:color="auto" w:fill="FFFFFF"/>
        </w:rPr>
      </w:pPr>
      <w:r>
        <w:rPr>
          <w:rFonts w:hint="eastAsia"/>
          <w:kern w:val="0"/>
        </w:rPr>
        <w:t>每个行业都有发展的低谷与高潮，都会经历调整的周期，没有调整就没有发展。</w:t>
      </w:r>
      <w:r>
        <w:rPr>
          <w:rFonts w:hint="eastAsia"/>
          <w:kern w:val="0"/>
        </w:rPr>
        <w:t>2013</w:t>
      </w:r>
      <w:r>
        <w:rPr>
          <w:rFonts w:hint="eastAsia"/>
          <w:kern w:val="0"/>
        </w:rPr>
        <w:t>年，是中国</w:t>
      </w:r>
      <w:r>
        <w:rPr>
          <w:rFonts w:hint="eastAsia"/>
          <w:kern w:val="0"/>
        </w:rPr>
        <w:t>VC/PE</w:t>
      </w:r>
      <w:r>
        <w:rPr>
          <w:rFonts w:hint="eastAsia"/>
          <w:kern w:val="0"/>
        </w:rPr>
        <w:t>行业经历去掉光环，展现真实过程中的一年，行业正在经历着洗牌、淘汰和兴衰。</w:t>
      </w:r>
      <w:proofErr w:type="gramStart"/>
      <w:r>
        <w:rPr>
          <w:rFonts w:hint="eastAsia"/>
          <w:kern w:val="0"/>
        </w:rPr>
        <w:t>据清科研究中心</w:t>
      </w:r>
      <w:proofErr w:type="gramEnd"/>
      <w:r>
        <w:rPr>
          <w:rFonts w:hint="eastAsia"/>
          <w:kern w:val="0"/>
        </w:rPr>
        <w:t>数据显示，</w:t>
      </w:r>
      <w:r>
        <w:rPr>
          <w:rFonts w:hint="eastAsia"/>
          <w:kern w:val="0"/>
        </w:rPr>
        <w:t>VC/PE</w:t>
      </w:r>
      <w:r>
        <w:rPr>
          <w:rFonts w:hint="eastAsia"/>
          <w:kern w:val="0"/>
        </w:rPr>
        <w:t>的总体</w:t>
      </w:r>
      <w:r>
        <w:rPr>
          <w:rFonts w:cs="Arial"/>
          <w:color w:val="252525"/>
          <w:szCs w:val="21"/>
          <w:shd w:val="clear" w:color="auto" w:fill="FFFFFF"/>
        </w:rPr>
        <w:t>回报率呈现出下降趋势</w:t>
      </w:r>
      <w:r>
        <w:rPr>
          <w:rFonts w:cs="Arial" w:hint="eastAsia"/>
          <w:color w:val="252525"/>
          <w:szCs w:val="21"/>
          <w:shd w:val="clear" w:color="auto" w:fill="FFFFFF"/>
        </w:rPr>
        <w:t>，</w:t>
      </w:r>
      <w:r>
        <w:rPr>
          <w:rFonts w:cs="Arial"/>
          <w:color w:val="252525"/>
          <w:szCs w:val="21"/>
          <w:shd w:val="clear" w:color="auto" w:fill="FFFFFF"/>
        </w:rPr>
        <w:t>近十年来，中国股权投资市场回报率</w:t>
      </w:r>
      <w:r>
        <w:rPr>
          <w:rFonts w:cs="Arial" w:hint="eastAsia"/>
          <w:color w:val="252525"/>
          <w:szCs w:val="21"/>
          <w:shd w:val="clear" w:color="auto" w:fill="FFFFFF"/>
        </w:rPr>
        <w:t>仅</w:t>
      </w:r>
      <w:r>
        <w:rPr>
          <w:rFonts w:cs="Arial"/>
          <w:color w:val="252525"/>
          <w:szCs w:val="21"/>
          <w:shd w:val="clear" w:color="auto" w:fill="FFFFFF"/>
        </w:rPr>
        <w:t>为</w:t>
      </w:r>
      <w:r>
        <w:rPr>
          <w:rFonts w:cs="Arial"/>
          <w:color w:val="252525"/>
          <w:szCs w:val="21"/>
          <w:shd w:val="clear" w:color="auto" w:fill="FFFFFF"/>
        </w:rPr>
        <w:t>20%</w:t>
      </w:r>
      <w:r>
        <w:rPr>
          <w:rFonts w:cs="Arial" w:hint="eastAsia"/>
          <w:color w:val="252525"/>
          <w:szCs w:val="21"/>
          <w:shd w:val="clear" w:color="auto" w:fill="FFFFFF"/>
        </w:rPr>
        <w:t>，而</w:t>
      </w:r>
      <w:r>
        <w:rPr>
          <w:rFonts w:cs="Arial"/>
          <w:color w:val="252525"/>
          <w:szCs w:val="21"/>
          <w:shd w:val="clear" w:color="auto" w:fill="FFFFFF"/>
        </w:rPr>
        <w:t>与早期</w:t>
      </w:r>
      <w:r>
        <w:rPr>
          <w:rFonts w:cs="Arial"/>
          <w:color w:val="252525"/>
          <w:szCs w:val="21"/>
          <w:shd w:val="clear" w:color="auto" w:fill="FFFFFF"/>
        </w:rPr>
        <w:t>(2003-2005</w:t>
      </w:r>
      <w:r>
        <w:rPr>
          <w:rFonts w:cs="Arial"/>
          <w:color w:val="252525"/>
          <w:szCs w:val="21"/>
          <w:shd w:val="clear" w:color="auto" w:fill="FFFFFF"/>
        </w:rPr>
        <w:t>年</w:t>
      </w:r>
      <w:r>
        <w:rPr>
          <w:rFonts w:cs="Arial"/>
          <w:color w:val="252525"/>
          <w:szCs w:val="21"/>
          <w:shd w:val="clear" w:color="auto" w:fill="FFFFFF"/>
        </w:rPr>
        <w:t>)45.5%</w:t>
      </w:r>
      <w:r>
        <w:rPr>
          <w:rFonts w:cs="Arial"/>
          <w:color w:val="252525"/>
          <w:szCs w:val="21"/>
          <w:shd w:val="clear" w:color="auto" w:fill="FFFFFF"/>
        </w:rPr>
        <w:t>的平均回报相比，今</w:t>
      </w:r>
      <w:r w:rsidR="00787148">
        <w:rPr>
          <w:rFonts w:cs="Arial" w:hint="eastAsia"/>
          <w:color w:val="252525"/>
          <w:szCs w:val="21"/>
          <w:shd w:val="clear" w:color="auto" w:fill="FFFFFF"/>
        </w:rPr>
        <w:t>年</w:t>
      </w:r>
      <w:r>
        <w:rPr>
          <w:rFonts w:cs="Arial"/>
          <w:color w:val="252525"/>
          <w:szCs w:val="21"/>
          <w:shd w:val="clear" w:color="auto" w:fill="FFFFFF"/>
        </w:rPr>
        <w:t>回报率已经下降到</w:t>
      </w:r>
      <w:r>
        <w:rPr>
          <w:rFonts w:cs="Arial"/>
          <w:color w:val="252525"/>
          <w:szCs w:val="21"/>
          <w:shd w:val="clear" w:color="auto" w:fill="FFFFFF"/>
        </w:rPr>
        <w:t>13.5%</w:t>
      </w:r>
      <w:r>
        <w:rPr>
          <w:rFonts w:cs="Arial"/>
          <w:color w:val="252525"/>
          <w:szCs w:val="21"/>
          <w:shd w:val="clear" w:color="auto" w:fill="FFFFFF"/>
        </w:rPr>
        <w:t>。</w:t>
      </w:r>
    </w:p>
    <w:p w:rsidR="00175DAB" w:rsidRDefault="00175DAB" w:rsidP="0091654B">
      <w:pPr>
        <w:spacing w:line="360" w:lineRule="exact"/>
        <w:ind w:firstLine="420"/>
        <w:rPr>
          <w:rFonts w:cs="Arial"/>
          <w:color w:val="252525"/>
          <w:szCs w:val="21"/>
          <w:shd w:val="clear" w:color="auto" w:fill="FFFFFF"/>
        </w:rPr>
      </w:pPr>
    </w:p>
    <w:p w:rsidR="0091654B" w:rsidRDefault="00E52D7D" w:rsidP="0091654B">
      <w:pPr>
        <w:spacing w:line="360" w:lineRule="exact"/>
        <w:ind w:firstLine="420"/>
        <w:rPr>
          <w:rFonts w:cs="Arial"/>
          <w:color w:val="252525"/>
          <w:szCs w:val="21"/>
          <w:shd w:val="clear" w:color="auto" w:fill="FFFFFF"/>
        </w:rPr>
      </w:pPr>
      <w:r>
        <w:rPr>
          <w:rFonts w:hint="eastAsia"/>
          <w:b/>
          <w:kern w:val="0"/>
        </w:rPr>
        <w:t>GP</w:t>
      </w:r>
      <w:r>
        <w:rPr>
          <w:rFonts w:hint="eastAsia"/>
          <w:b/>
          <w:kern w:val="0"/>
        </w:rPr>
        <w:t>受考验，</w:t>
      </w:r>
      <w:r>
        <w:rPr>
          <w:rFonts w:hint="eastAsia"/>
          <w:b/>
          <w:kern w:val="0"/>
        </w:rPr>
        <w:t>LP</w:t>
      </w:r>
      <w:r>
        <w:rPr>
          <w:rFonts w:hint="eastAsia"/>
          <w:b/>
          <w:kern w:val="0"/>
        </w:rPr>
        <w:t>投资理念更</w:t>
      </w:r>
      <w:r w:rsidR="005F205F">
        <w:rPr>
          <w:rFonts w:hint="eastAsia"/>
          <w:b/>
          <w:kern w:val="0"/>
        </w:rPr>
        <w:t>趋成熟</w:t>
      </w:r>
    </w:p>
    <w:p w:rsidR="0091654B" w:rsidRDefault="0091654B" w:rsidP="0091654B">
      <w:pPr>
        <w:spacing w:line="360" w:lineRule="exact"/>
        <w:ind w:firstLine="420"/>
        <w:rPr>
          <w:rFonts w:cs="Arial"/>
          <w:color w:val="252525"/>
          <w:szCs w:val="21"/>
          <w:shd w:val="clear" w:color="auto" w:fill="FFFFFF"/>
        </w:rPr>
      </w:pPr>
    </w:p>
    <w:p w:rsidR="0091654B" w:rsidRDefault="0091654B" w:rsidP="0091654B">
      <w:pPr>
        <w:spacing w:line="360" w:lineRule="exact"/>
        <w:ind w:firstLine="420"/>
        <w:rPr>
          <w:kern w:val="0"/>
        </w:rPr>
      </w:pPr>
      <w:r>
        <w:rPr>
          <w:rFonts w:cs="Arial" w:hint="eastAsia"/>
          <w:color w:val="252525"/>
          <w:szCs w:val="21"/>
          <w:shd w:val="clear" w:color="auto" w:fill="FFFFFF"/>
        </w:rPr>
        <w:t>调整将使市场褪去浮躁，回归理性。全民</w:t>
      </w:r>
      <w:r>
        <w:rPr>
          <w:rFonts w:cs="Arial" w:hint="eastAsia"/>
          <w:color w:val="252525"/>
          <w:szCs w:val="21"/>
          <w:shd w:val="clear" w:color="auto" w:fill="FFFFFF"/>
        </w:rPr>
        <w:t>PE</w:t>
      </w:r>
      <w:r>
        <w:rPr>
          <w:rFonts w:cs="Arial" w:hint="eastAsia"/>
          <w:color w:val="252525"/>
          <w:szCs w:val="21"/>
          <w:shd w:val="clear" w:color="auto" w:fill="FFFFFF"/>
        </w:rPr>
        <w:t>时代中，更多</w:t>
      </w:r>
      <w:r>
        <w:rPr>
          <w:rFonts w:cs="Arial" w:hint="eastAsia"/>
          <w:color w:val="252525"/>
          <w:szCs w:val="21"/>
          <w:shd w:val="clear" w:color="auto" w:fill="FFFFFF"/>
        </w:rPr>
        <w:t>LP</w:t>
      </w:r>
      <w:r>
        <w:rPr>
          <w:rFonts w:cs="Arial" w:hint="eastAsia"/>
          <w:color w:val="252525"/>
          <w:szCs w:val="21"/>
          <w:shd w:val="clear" w:color="auto" w:fill="FFFFFF"/>
        </w:rPr>
        <w:t>看中的</w:t>
      </w:r>
      <w:r>
        <w:rPr>
          <w:rFonts w:cs="Arial" w:hint="eastAsia"/>
          <w:color w:val="252525"/>
          <w:szCs w:val="21"/>
          <w:shd w:val="clear" w:color="auto" w:fill="FFFFFF"/>
        </w:rPr>
        <w:t>VC/PE</w:t>
      </w:r>
      <w:r>
        <w:rPr>
          <w:rFonts w:cs="Arial" w:hint="eastAsia"/>
          <w:color w:val="252525"/>
          <w:szCs w:val="21"/>
          <w:shd w:val="clear" w:color="auto" w:fill="FFFFFF"/>
        </w:rPr>
        <w:t>行业“低风险高收益”的阶段性特征，而当市场逐渐回归理性，行业整体也逐渐向“中收益中风险”的方向发展。虽然</w:t>
      </w:r>
      <w:r>
        <w:rPr>
          <w:rFonts w:cs="Arial" w:hint="eastAsia"/>
          <w:color w:val="252525"/>
          <w:szCs w:val="21"/>
          <w:shd w:val="clear" w:color="auto" w:fill="FFFFFF"/>
        </w:rPr>
        <w:t>IPO</w:t>
      </w:r>
      <w:r>
        <w:rPr>
          <w:rFonts w:cs="Arial" w:hint="eastAsia"/>
          <w:color w:val="252525"/>
          <w:szCs w:val="21"/>
          <w:shd w:val="clear" w:color="auto" w:fill="FFFFFF"/>
        </w:rPr>
        <w:t>开闸在即，但一、二级市场估值的差价在不断缩小，</w:t>
      </w:r>
      <w:r>
        <w:rPr>
          <w:rFonts w:cs="Arial" w:hint="eastAsia"/>
          <w:color w:val="252525"/>
          <w:szCs w:val="21"/>
          <w:shd w:val="clear" w:color="auto" w:fill="FFFFFF"/>
        </w:rPr>
        <w:t>VC</w:t>
      </w:r>
      <w:r w:rsidR="00175DAB">
        <w:rPr>
          <w:rFonts w:cs="Arial" w:hint="eastAsia"/>
          <w:color w:val="252525"/>
          <w:szCs w:val="21"/>
          <w:shd w:val="clear" w:color="auto" w:fill="FFFFFF"/>
        </w:rPr>
        <w:t>/PE</w:t>
      </w:r>
      <w:r w:rsidR="00402C8A">
        <w:rPr>
          <w:rFonts w:cs="Arial" w:hint="eastAsia"/>
          <w:color w:val="252525"/>
          <w:szCs w:val="21"/>
          <w:shd w:val="clear" w:color="auto" w:fill="FFFFFF"/>
        </w:rPr>
        <w:t>开</w:t>
      </w:r>
      <w:r>
        <w:rPr>
          <w:rFonts w:cs="Arial" w:hint="eastAsia"/>
          <w:color w:val="252525"/>
          <w:szCs w:val="21"/>
          <w:shd w:val="clear" w:color="auto" w:fill="FFFFFF"/>
        </w:rPr>
        <w:t>始更用心的去发现真正有潜力的企业，也开始更认真的去提升自身的增值服务水平；同时</w:t>
      </w:r>
      <w:r>
        <w:rPr>
          <w:rFonts w:cs="Arial" w:hint="eastAsia"/>
          <w:color w:val="252525"/>
          <w:szCs w:val="21"/>
          <w:shd w:val="clear" w:color="auto" w:fill="FFFFFF"/>
        </w:rPr>
        <w:t>Pre-IPO</w:t>
      </w:r>
      <w:r>
        <w:rPr>
          <w:rFonts w:cs="Arial" w:hint="eastAsia"/>
          <w:color w:val="252525"/>
          <w:szCs w:val="21"/>
          <w:shd w:val="clear" w:color="auto" w:fill="FFFFFF"/>
        </w:rPr>
        <w:t>项目稀缺，倒逼</w:t>
      </w:r>
      <w:r>
        <w:rPr>
          <w:rFonts w:cs="Arial" w:hint="eastAsia"/>
          <w:color w:val="252525"/>
          <w:szCs w:val="21"/>
          <w:shd w:val="clear" w:color="auto" w:fill="FFFFFF"/>
        </w:rPr>
        <w:t>PE</w:t>
      </w:r>
      <w:r>
        <w:rPr>
          <w:rFonts w:cs="Arial" w:hint="eastAsia"/>
          <w:color w:val="252525"/>
          <w:szCs w:val="21"/>
          <w:shd w:val="clear" w:color="auto" w:fill="FFFFFF"/>
        </w:rPr>
        <w:t>机构转向早期投资或参与二级市场定向增发，开始寻求并购、转让、回购等多元化的退出渠道。另一方面，</w:t>
      </w:r>
      <w:r>
        <w:rPr>
          <w:rFonts w:cs="Arial" w:hint="eastAsia"/>
          <w:color w:val="252525"/>
          <w:szCs w:val="21"/>
          <w:shd w:val="clear" w:color="auto" w:fill="FFFFFF"/>
        </w:rPr>
        <w:t>LP</w:t>
      </w:r>
      <w:r>
        <w:rPr>
          <w:rFonts w:cs="Arial" w:hint="eastAsia"/>
          <w:color w:val="252525"/>
          <w:szCs w:val="21"/>
          <w:shd w:val="clear" w:color="auto" w:fill="FFFFFF"/>
        </w:rPr>
        <w:t>也将在更为理性的投</w:t>
      </w:r>
      <w:r>
        <w:rPr>
          <w:rFonts w:cs="Arial" w:hint="eastAsia"/>
          <w:color w:val="252525"/>
          <w:szCs w:val="21"/>
          <w:shd w:val="clear" w:color="auto" w:fill="FFFFFF"/>
        </w:rPr>
        <w:lastRenderedPageBreak/>
        <w:t>资环境中获得更多教育，投机机会的减少让投资者</w:t>
      </w:r>
      <w:proofErr w:type="gramStart"/>
      <w:r>
        <w:rPr>
          <w:rFonts w:cs="Arial" w:hint="eastAsia"/>
          <w:color w:val="252525"/>
          <w:szCs w:val="21"/>
          <w:shd w:val="clear" w:color="auto" w:fill="FFFFFF"/>
        </w:rPr>
        <w:t>们投资</w:t>
      </w:r>
      <w:proofErr w:type="gramEnd"/>
      <w:r>
        <w:rPr>
          <w:rFonts w:cs="Arial" w:hint="eastAsia"/>
          <w:color w:val="252525"/>
          <w:szCs w:val="21"/>
          <w:shd w:val="clear" w:color="auto" w:fill="FFFFFF"/>
        </w:rPr>
        <w:t>理念更为成熟。未来中国股权投资市场的发展过程中，</w:t>
      </w:r>
      <w:r>
        <w:rPr>
          <w:rFonts w:cs="Arial" w:hint="eastAsia"/>
          <w:color w:val="252525"/>
          <w:szCs w:val="21"/>
          <w:shd w:val="clear" w:color="auto" w:fill="FFFFFF"/>
        </w:rPr>
        <w:t>LP</w:t>
      </w:r>
      <w:r>
        <w:rPr>
          <w:rFonts w:cs="Arial" w:hint="eastAsia"/>
          <w:color w:val="252525"/>
          <w:szCs w:val="21"/>
          <w:shd w:val="clear" w:color="auto" w:fill="FFFFFF"/>
        </w:rPr>
        <w:t>将与</w:t>
      </w:r>
      <w:r>
        <w:rPr>
          <w:rFonts w:cs="Arial" w:hint="eastAsia"/>
          <w:color w:val="252525"/>
          <w:szCs w:val="21"/>
          <w:shd w:val="clear" w:color="auto" w:fill="FFFFFF"/>
        </w:rPr>
        <w:t>GP</w:t>
      </w:r>
      <w:r>
        <w:rPr>
          <w:rFonts w:cs="Arial" w:hint="eastAsia"/>
          <w:color w:val="252525"/>
          <w:szCs w:val="21"/>
          <w:shd w:val="clear" w:color="auto" w:fill="FFFFFF"/>
        </w:rPr>
        <w:t>同进退，一起接受市场的教育与检验，一同走向成熟。</w:t>
      </w:r>
    </w:p>
    <w:p w:rsidR="0091654B" w:rsidRPr="00A84B5C" w:rsidRDefault="0091654B" w:rsidP="0091654B">
      <w:pPr>
        <w:spacing w:line="360" w:lineRule="exact"/>
        <w:ind w:firstLine="420"/>
        <w:rPr>
          <w:kern w:val="0"/>
        </w:rPr>
      </w:pPr>
    </w:p>
    <w:p w:rsidR="0091654B" w:rsidRPr="00DC48B6" w:rsidRDefault="0091654B" w:rsidP="0091654B">
      <w:pPr>
        <w:widowControl/>
        <w:rPr>
          <w:rFonts w:cs="Arial"/>
          <w:b/>
          <w:bCs/>
          <w:color w:val="000000"/>
          <w:kern w:val="0"/>
          <w:sz w:val="18"/>
          <w:szCs w:val="18"/>
        </w:rPr>
      </w:pPr>
      <w:r w:rsidRPr="00DC48B6">
        <w:rPr>
          <w:rFonts w:ascii="宋体" w:hAnsi="宋体" w:cs="Arial" w:hint="eastAsia"/>
          <w:b/>
          <w:bCs/>
          <w:color w:val="000000"/>
          <w:kern w:val="0"/>
          <w:sz w:val="18"/>
          <w:szCs w:val="18"/>
        </w:rPr>
        <w:t>图</w:t>
      </w:r>
      <w:r w:rsidRPr="00DC48B6">
        <w:rPr>
          <w:rFonts w:cs="Arial"/>
          <w:b/>
          <w:bCs/>
          <w:color w:val="000000"/>
          <w:kern w:val="0"/>
          <w:sz w:val="18"/>
          <w:szCs w:val="18"/>
        </w:rPr>
        <w:t>1 2013</w:t>
      </w:r>
      <w:r w:rsidRPr="00DC48B6">
        <w:rPr>
          <w:rFonts w:ascii="宋体" w:hAnsi="宋体" w:cs="Arial" w:hint="eastAsia"/>
          <w:b/>
          <w:bCs/>
          <w:color w:val="000000"/>
          <w:kern w:val="0"/>
          <w:sz w:val="18"/>
          <w:szCs w:val="18"/>
        </w:rPr>
        <w:t>年中国股权</w:t>
      </w:r>
      <w:r w:rsidR="00E74906">
        <w:rPr>
          <w:rFonts w:ascii="宋体" w:hAnsi="宋体" w:cs="Arial" w:hint="eastAsia"/>
          <w:b/>
          <w:bCs/>
          <w:color w:val="000000"/>
          <w:kern w:val="0"/>
          <w:sz w:val="18"/>
          <w:szCs w:val="18"/>
        </w:rPr>
        <w:t>投资</w:t>
      </w:r>
      <w:r w:rsidRPr="00DC48B6">
        <w:rPr>
          <w:rFonts w:ascii="宋体" w:hAnsi="宋体" w:cs="Arial" w:hint="eastAsia"/>
          <w:b/>
          <w:bCs/>
          <w:color w:val="000000"/>
          <w:kern w:val="0"/>
          <w:sz w:val="18"/>
          <w:szCs w:val="18"/>
        </w:rPr>
        <w:t>市场</w:t>
      </w:r>
      <w:r w:rsidRPr="00DC48B6">
        <w:rPr>
          <w:rFonts w:cs="Arial"/>
          <w:b/>
          <w:bCs/>
          <w:color w:val="000000"/>
          <w:kern w:val="0"/>
          <w:sz w:val="18"/>
          <w:szCs w:val="18"/>
        </w:rPr>
        <w:t>LP</w:t>
      </w:r>
      <w:r w:rsidRPr="00DC48B6">
        <w:rPr>
          <w:rFonts w:ascii="宋体" w:hAnsi="宋体" w:cs="Arial" w:hint="eastAsia"/>
          <w:b/>
          <w:bCs/>
          <w:color w:val="000000"/>
          <w:kern w:val="0"/>
          <w:sz w:val="18"/>
          <w:szCs w:val="18"/>
        </w:rPr>
        <w:t>类别比较（按数量，</w:t>
      </w:r>
      <w:proofErr w:type="gramStart"/>
      <w:r w:rsidRPr="00DC48B6">
        <w:rPr>
          <w:rFonts w:ascii="宋体" w:hAnsi="宋体" w:cs="Arial" w:hint="eastAsia"/>
          <w:b/>
          <w:bCs/>
          <w:color w:val="000000"/>
          <w:kern w:val="0"/>
          <w:sz w:val="18"/>
          <w:szCs w:val="18"/>
        </w:rPr>
        <w:t>个</w:t>
      </w:r>
      <w:proofErr w:type="gramEnd"/>
      <w:r w:rsidRPr="00DC48B6">
        <w:rPr>
          <w:rFonts w:ascii="宋体" w:hAnsi="宋体" w:cs="Arial" w:hint="eastAsia"/>
          <w:b/>
          <w:bCs/>
          <w:color w:val="000000"/>
          <w:kern w:val="0"/>
          <w:sz w:val="18"/>
          <w:szCs w:val="18"/>
        </w:rPr>
        <w:t>）</w:t>
      </w:r>
    </w:p>
    <w:p w:rsidR="0091654B" w:rsidRDefault="0091654B" w:rsidP="0091654B">
      <w:pPr>
        <w:rPr>
          <w:kern w:val="0"/>
        </w:rPr>
      </w:pPr>
      <w:r w:rsidRPr="00DC48B6">
        <w:rPr>
          <w:noProof/>
          <w:kern w:val="0"/>
        </w:rPr>
        <w:drawing>
          <wp:inline distT="0" distB="0" distL="0" distR="0">
            <wp:extent cx="4791600" cy="3581400"/>
            <wp:effectExtent l="38100" t="0" r="4710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1654B" w:rsidRDefault="0091654B" w:rsidP="0091654B">
      <w:pPr>
        <w:rPr>
          <w:kern w:val="0"/>
        </w:rPr>
      </w:pPr>
    </w:p>
    <w:p w:rsidR="0091654B" w:rsidRPr="00DC48B6" w:rsidRDefault="0091654B" w:rsidP="0091654B">
      <w:pPr>
        <w:widowControl/>
        <w:rPr>
          <w:rFonts w:cs="Arial"/>
          <w:b/>
          <w:bCs/>
          <w:color w:val="000000"/>
          <w:kern w:val="0"/>
          <w:sz w:val="18"/>
          <w:szCs w:val="18"/>
        </w:rPr>
      </w:pPr>
      <w:r w:rsidRPr="00DC48B6">
        <w:rPr>
          <w:rFonts w:ascii="宋体" w:hAnsi="宋体" w:cs="Arial" w:hint="eastAsia"/>
          <w:b/>
          <w:bCs/>
          <w:color w:val="000000"/>
          <w:kern w:val="0"/>
          <w:sz w:val="18"/>
          <w:szCs w:val="18"/>
        </w:rPr>
        <w:t>图</w:t>
      </w:r>
      <w:r w:rsidRPr="00DC48B6">
        <w:rPr>
          <w:rFonts w:cs="Arial"/>
          <w:b/>
          <w:bCs/>
          <w:color w:val="000000"/>
          <w:kern w:val="0"/>
          <w:sz w:val="18"/>
          <w:szCs w:val="18"/>
        </w:rPr>
        <w:t>2 2013</w:t>
      </w:r>
      <w:r w:rsidRPr="00DC48B6">
        <w:rPr>
          <w:rFonts w:ascii="宋体" w:hAnsi="宋体" w:cs="Arial" w:hint="eastAsia"/>
          <w:b/>
          <w:bCs/>
          <w:color w:val="000000"/>
          <w:kern w:val="0"/>
          <w:sz w:val="18"/>
          <w:szCs w:val="18"/>
        </w:rPr>
        <w:t>年中国股权</w:t>
      </w:r>
      <w:r w:rsidR="00E74906">
        <w:rPr>
          <w:rFonts w:ascii="宋体" w:hAnsi="宋体" w:cs="Arial" w:hint="eastAsia"/>
          <w:b/>
          <w:bCs/>
          <w:color w:val="000000"/>
          <w:kern w:val="0"/>
          <w:sz w:val="18"/>
          <w:szCs w:val="18"/>
        </w:rPr>
        <w:t>投资</w:t>
      </w:r>
      <w:r w:rsidRPr="00DC48B6">
        <w:rPr>
          <w:rFonts w:ascii="宋体" w:hAnsi="宋体" w:cs="Arial" w:hint="eastAsia"/>
          <w:b/>
          <w:bCs/>
          <w:color w:val="000000"/>
          <w:kern w:val="0"/>
          <w:sz w:val="18"/>
          <w:szCs w:val="18"/>
        </w:rPr>
        <w:t>市场</w:t>
      </w:r>
      <w:r w:rsidRPr="00DC48B6">
        <w:rPr>
          <w:rFonts w:cs="Arial"/>
          <w:b/>
          <w:bCs/>
          <w:color w:val="000000"/>
          <w:kern w:val="0"/>
          <w:sz w:val="18"/>
          <w:szCs w:val="18"/>
        </w:rPr>
        <w:t>LP</w:t>
      </w:r>
      <w:r w:rsidRPr="00DC48B6">
        <w:rPr>
          <w:rFonts w:ascii="宋体" w:hAnsi="宋体" w:cs="Arial" w:hint="eastAsia"/>
          <w:b/>
          <w:bCs/>
          <w:color w:val="000000"/>
          <w:kern w:val="0"/>
          <w:sz w:val="18"/>
          <w:szCs w:val="18"/>
        </w:rPr>
        <w:t>类别比较（按可投资本量，</w:t>
      </w:r>
      <w:r w:rsidRPr="00DC48B6">
        <w:rPr>
          <w:rFonts w:cs="Arial"/>
          <w:b/>
          <w:bCs/>
          <w:color w:val="000000"/>
          <w:kern w:val="0"/>
          <w:sz w:val="18"/>
          <w:szCs w:val="18"/>
        </w:rPr>
        <w:t>US$B</w:t>
      </w:r>
      <w:r w:rsidRPr="00DC48B6">
        <w:rPr>
          <w:rFonts w:ascii="宋体" w:hAnsi="宋体" w:cs="Arial" w:hint="eastAsia"/>
          <w:b/>
          <w:bCs/>
          <w:color w:val="000000"/>
          <w:kern w:val="0"/>
          <w:sz w:val="18"/>
          <w:szCs w:val="18"/>
        </w:rPr>
        <w:t>）</w:t>
      </w:r>
    </w:p>
    <w:p w:rsidR="0091654B" w:rsidRDefault="0091654B" w:rsidP="0091654B">
      <w:pPr>
        <w:rPr>
          <w:kern w:val="0"/>
        </w:rPr>
      </w:pPr>
      <w:r w:rsidRPr="00DC48B6">
        <w:rPr>
          <w:noProof/>
          <w:kern w:val="0"/>
        </w:rPr>
        <w:drawing>
          <wp:inline distT="0" distB="0" distL="0" distR="0">
            <wp:extent cx="4791600" cy="3582000"/>
            <wp:effectExtent l="38100" t="0" r="4710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1654B" w:rsidRDefault="0091654B" w:rsidP="0091654B">
      <w:pPr>
        <w:spacing w:line="360" w:lineRule="exact"/>
        <w:ind w:firstLine="420"/>
        <w:rPr>
          <w:kern w:val="0"/>
        </w:rPr>
      </w:pPr>
    </w:p>
    <w:p w:rsidR="0091654B" w:rsidRPr="00855023" w:rsidRDefault="0091654B" w:rsidP="0091654B">
      <w:pPr>
        <w:spacing w:line="360" w:lineRule="exact"/>
        <w:ind w:firstLineChars="200" w:firstLine="422"/>
        <w:rPr>
          <w:kern w:val="0"/>
        </w:rPr>
      </w:pPr>
      <w:r>
        <w:rPr>
          <w:rFonts w:hint="eastAsia"/>
          <w:b/>
          <w:kern w:val="0"/>
        </w:rPr>
        <w:lastRenderedPageBreak/>
        <w:t>海外资本分享中国发展果实，本土</w:t>
      </w:r>
      <w:r>
        <w:rPr>
          <w:rFonts w:hint="eastAsia"/>
          <w:b/>
          <w:kern w:val="0"/>
        </w:rPr>
        <w:t>LP</w:t>
      </w:r>
      <w:r w:rsidR="003A18EB">
        <w:rPr>
          <w:rFonts w:hint="eastAsia"/>
          <w:b/>
          <w:kern w:val="0"/>
        </w:rPr>
        <w:t>发展迎来新机遇</w:t>
      </w:r>
    </w:p>
    <w:p w:rsidR="0091654B" w:rsidRPr="004C606A" w:rsidRDefault="0091654B" w:rsidP="0091654B">
      <w:pPr>
        <w:spacing w:line="360" w:lineRule="exact"/>
        <w:ind w:firstLineChars="200" w:firstLine="420"/>
        <w:rPr>
          <w:kern w:val="0"/>
        </w:rPr>
      </w:pPr>
    </w:p>
    <w:p w:rsidR="0091654B" w:rsidRDefault="0091654B" w:rsidP="0091654B">
      <w:pPr>
        <w:spacing w:line="360" w:lineRule="exact"/>
        <w:ind w:firstLineChars="200" w:firstLine="420"/>
        <w:rPr>
          <w:kern w:val="0"/>
        </w:rPr>
      </w:pPr>
      <w:r w:rsidRPr="00010B08">
        <w:rPr>
          <w:kern w:val="0"/>
        </w:rPr>
        <w:t>从</w:t>
      </w:r>
      <w:r w:rsidRPr="00010B08">
        <w:rPr>
          <w:kern w:val="0"/>
        </w:rPr>
        <w:t>LP</w:t>
      </w:r>
      <w:r w:rsidRPr="00010B08">
        <w:rPr>
          <w:kern w:val="0"/>
        </w:rPr>
        <w:t>类型角度来看，截止至</w:t>
      </w:r>
      <w:r w:rsidRPr="00010B08">
        <w:rPr>
          <w:kern w:val="0"/>
        </w:rPr>
        <w:t>2013</w:t>
      </w:r>
      <w:r w:rsidRPr="00010B08">
        <w:rPr>
          <w:kern w:val="0"/>
        </w:rPr>
        <w:t>年</w:t>
      </w:r>
      <w:r>
        <w:rPr>
          <w:rFonts w:hint="eastAsia"/>
          <w:kern w:val="0"/>
        </w:rPr>
        <w:t>底</w:t>
      </w:r>
      <w:r w:rsidRPr="00010B08">
        <w:rPr>
          <w:kern w:val="0"/>
        </w:rPr>
        <w:t>，</w:t>
      </w:r>
      <w:proofErr w:type="gramStart"/>
      <w:r w:rsidRPr="00010B08">
        <w:rPr>
          <w:kern w:val="0"/>
        </w:rPr>
        <w:t>在清科研究中心</w:t>
      </w:r>
      <w:proofErr w:type="gramEnd"/>
      <w:r w:rsidRPr="00010B08">
        <w:rPr>
          <w:kern w:val="0"/>
        </w:rPr>
        <w:t>所收录的</w:t>
      </w:r>
      <w:r w:rsidRPr="00010B08">
        <w:rPr>
          <w:kern w:val="0"/>
        </w:rPr>
        <w:t>LP</w:t>
      </w:r>
      <w:r w:rsidRPr="00010B08">
        <w:rPr>
          <w:kern w:val="0"/>
        </w:rPr>
        <w:t>中，本土</w:t>
      </w:r>
      <w:r w:rsidRPr="00010B08">
        <w:rPr>
          <w:kern w:val="0"/>
        </w:rPr>
        <w:t>LP</w:t>
      </w:r>
      <w:r w:rsidRPr="00010B08">
        <w:rPr>
          <w:kern w:val="0"/>
        </w:rPr>
        <w:t>共有</w:t>
      </w:r>
      <w:r>
        <w:rPr>
          <w:rFonts w:hint="eastAsia"/>
          <w:kern w:val="0"/>
        </w:rPr>
        <w:t>7</w:t>
      </w:r>
      <w:r w:rsidRPr="00010B08">
        <w:rPr>
          <w:kern w:val="0"/>
        </w:rPr>
        <w:t>,</w:t>
      </w:r>
      <w:r>
        <w:rPr>
          <w:rFonts w:hint="eastAsia"/>
          <w:kern w:val="0"/>
        </w:rPr>
        <w:t>412</w:t>
      </w:r>
      <w:r w:rsidRPr="00010B08">
        <w:rPr>
          <w:kern w:val="0"/>
        </w:rPr>
        <w:t>家，合资</w:t>
      </w:r>
      <w:r w:rsidRPr="00010B08">
        <w:rPr>
          <w:kern w:val="0"/>
        </w:rPr>
        <w:t>LP</w:t>
      </w:r>
      <w:r w:rsidRPr="00010B08">
        <w:rPr>
          <w:kern w:val="0"/>
        </w:rPr>
        <w:t>共有</w:t>
      </w:r>
      <w:r>
        <w:rPr>
          <w:rFonts w:hint="eastAsia"/>
          <w:kern w:val="0"/>
        </w:rPr>
        <w:t>60</w:t>
      </w:r>
      <w:r w:rsidRPr="00010B08">
        <w:rPr>
          <w:kern w:val="0"/>
        </w:rPr>
        <w:t>家，外资</w:t>
      </w:r>
      <w:r w:rsidRPr="00010B08">
        <w:rPr>
          <w:kern w:val="0"/>
        </w:rPr>
        <w:t>LP</w:t>
      </w:r>
      <w:r w:rsidRPr="00010B08">
        <w:rPr>
          <w:kern w:val="0"/>
        </w:rPr>
        <w:t>共有</w:t>
      </w:r>
      <w:r w:rsidRPr="00010B08">
        <w:rPr>
          <w:kern w:val="0"/>
        </w:rPr>
        <w:t>1,1</w:t>
      </w:r>
      <w:r>
        <w:rPr>
          <w:rFonts w:hint="eastAsia"/>
          <w:kern w:val="0"/>
        </w:rPr>
        <w:t>50</w:t>
      </w:r>
      <w:r w:rsidRPr="00010B08">
        <w:rPr>
          <w:kern w:val="0"/>
        </w:rPr>
        <w:t>家，占比分别为</w:t>
      </w:r>
      <w:r w:rsidRPr="00010B08">
        <w:rPr>
          <w:kern w:val="0"/>
        </w:rPr>
        <w:t>8</w:t>
      </w:r>
      <w:r>
        <w:rPr>
          <w:rFonts w:hint="eastAsia"/>
          <w:kern w:val="0"/>
        </w:rPr>
        <w:t>6</w:t>
      </w:r>
      <w:r w:rsidRPr="00010B08">
        <w:rPr>
          <w:kern w:val="0"/>
        </w:rPr>
        <w:t>.</w:t>
      </w:r>
      <w:r>
        <w:rPr>
          <w:rFonts w:hint="eastAsia"/>
          <w:kern w:val="0"/>
        </w:rPr>
        <w:t>0</w:t>
      </w:r>
      <w:r w:rsidRPr="00010B08">
        <w:rPr>
          <w:kern w:val="0"/>
        </w:rPr>
        <w:t>%</w:t>
      </w:r>
      <w:r w:rsidRPr="00010B08">
        <w:rPr>
          <w:kern w:val="0"/>
        </w:rPr>
        <w:t>、</w:t>
      </w:r>
      <w:r w:rsidRPr="00010B08">
        <w:rPr>
          <w:kern w:val="0"/>
        </w:rPr>
        <w:t>1</w:t>
      </w:r>
      <w:r>
        <w:rPr>
          <w:rFonts w:hint="eastAsia"/>
          <w:kern w:val="0"/>
        </w:rPr>
        <w:t>3</w:t>
      </w:r>
      <w:r w:rsidRPr="00010B08">
        <w:rPr>
          <w:kern w:val="0"/>
        </w:rPr>
        <w:t>.</w:t>
      </w:r>
      <w:r>
        <w:rPr>
          <w:rFonts w:hint="eastAsia"/>
          <w:kern w:val="0"/>
        </w:rPr>
        <w:t>3</w:t>
      </w:r>
      <w:r w:rsidRPr="00010B08">
        <w:rPr>
          <w:kern w:val="0"/>
        </w:rPr>
        <w:t>%</w:t>
      </w:r>
      <w:r w:rsidRPr="00010B08">
        <w:rPr>
          <w:kern w:val="0"/>
        </w:rPr>
        <w:t>和</w:t>
      </w:r>
      <w:r w:rsidRPr="00010B08">
        <w:rPr>
          <w:kern w:val="0"/>
        </w:rPr>
        <w:t>0.7%</w:t>
      </w:r>
      <w:r w:rsidRPr="00010B08">
        <w:rPr>
          <w:kern w:val="0"/>
        </w:rPr>
        <w:t>。然而从可</w:t>
      </w:r>
      <w:proofErr w:type="gramStart"/>
      <w:r w:rsidRPr="00010B08">
        <w:rPr>
          <w:kern w:val="0"/>
        </w:rPr>
        <w:t>投资本量方面</w:t>
      </w:r>
      <w:proofErr w:type="gramEnd"/>
      <w:r w:rsidRPr="00010B08">
        <w:rPr>
          <w:kern w:val="0"/>
        </w:rPr>
        <w:t>来看，本土</w:t>
      </w:r>
      <w:r w:rsidRPr="00010B08">
        <w:rPr>
          <w:kern w:val="0"/>
        </w:rPr>
        <w:t>LP</w:t>
      </w:r>
      <w:r w:rsidRPr="00010B08">
        <w:rPr>
          <w:kern w:val="0"/>
        </w:rPr>
        <w:t>可</w:t>
      </w:r>
      <w:proofErr w:type="gramStart"/>
      <w:r w:rsidRPr="00010B08">
        <w:rPr>
          <w:kern w:val="0"/>
        </w:rPr>
        <w:t>投资本量只有</w:t>
      </w:r>
      <w:proofErr w:type="gramEnd"/>
      <w:r w:rsidRPr="00010B08">
        <w:rPr>
          <w:kern w:val="0"/>
        </w:rPr>
        <w:t>1,</w:t>
      </w:r>
      <w:r>
        <w:rPr>
          <w:rFonts w:hint="eastAsia"/>
          <w:kern w:val="0"/>
        </w:rPr>
        <w:t>794</w:t>
      </w:r>
      <w:r>
        <w:rPr>
          <w:kern w:val="0"/>
        </w:rPr>
        <w:t>.</w:t>
      </w:r>
      <w:r>
        <w:rPr>
          <w:rFonts w:hint="eastAsia"/>
          <w:kern w:val="0"/>
        </w:rPr>
        <w:t>65</w:t>
      </w:r>
      <w:r w:rsidRPr="00010B08">
        <w:rPr>
          <w:kern w:val="0"/>
        </w:rPr>
        <w:t>亿美元，外资</w:t>
      </w:r>
      <w:r w:rsidRPr="00010B08">
        <w:rPr>
          <w:kern w:val="0"/>
        </w:rPr>
        <w:t>LP</w:t>
      </w:r>
      <w:r w:rsidRPr="00010B08">
        <w:rPr>
          <w:kern w:val="0"/>
        </w:rPr>
        <w:t>可</w:t>
      </w:r>
      <w:proofErr w:type="gramStart"/>
      <w:r w:rsidRPr="00010B08">
        <w:rPr>
          <w:kern w:val="0"/>
        </w:rPr>
        <w:t>投资本量则</w:t>
      </w:r>
      <w:proofErr w:type="gramEnd"/>
      <w:r w:rsidRPr="00010B08">
        <w:rPr>
          <w:kern w:val="0"/>
        </w:rPr>
        <w:t>达到</w:t>
      </w:r>
      <w:r w:rsidRPr="00010B08">
        <w:rPr>
          <w:kern w:val="0"/>
        </w:rPr>
        <w:t>6,3</w:t>
      </w:r>
      <w:r>
        <w:rPr>
          <w:rFonts w:hint="eastAsia"/>
          <w:kern w:val="0"/>
        </w:rPr>
        <w:t>90</w:t>
      </w:r>
      <w:r w:rsidRPr="00010B08">
        <w:rPr>
          <w:kern w:val="0"/>
        </w:rPr>
        <w:t>.</w:t>
      </w:r>
      <w:r>
        <w:rPr>
          <w:rFonts w:hint="eastAsia"/>
          <w:kern w:val="0"/>
        </w:rPr>
        <w:t>37</w:t>
      </w:r>
      <w:r w:rsidR="00DA3755">
        <w:rPr>
          <w:kern w:val="0"/>
        </w:rPr>
        <w:t>亿美元。</w:t>
      </w:r>
      <w:r w:rsidRPr="00010B08">
        <w:rPr>
          <w:kern w:val="0"/>
        </w:rPr>
        <w:t>这也是外资</w:t>
      </w:r>
      <w:r w:rsidRPr="00010B08">
        <w:rPr>
          <w:kern w:val="0"/>
        </w:rPr>
        <w:t>LP</w:t>
      </w:r>
      <w:r w:rsidRPr="00010B08">
        <w:rPr>
          <w:kern w:val="0"/>
        </w:rPr>
        <w:t>与本土</w:t>
      </w:r>
      <w:r w:rsidRPr="00010B08">
        <w:rPr>
          <w:kern w:val="0"/>
        </w:rPr>
        <w:t>LP</w:t>
      </w:r>
      <w:r w:rsidRPr="00010B08">
        <w:rPr>
          <w:kern w:val="0"/>
        </w:rPr>
        <w:t>长久以来存在的一个明显差异，</w:t>
      </w:r>
      <w:r>
        <w:rPr>
          <w:rFonts w:hint="eastAsia"/>
          <w:kern w:val="0"/>
        </w:rPr>
        <w:t>但近两年，本土</w:t>
      </w:r>
      <w:r>
        <w:rPr>
          <w:rFonts w:hint="eastAsia"/>
          <w:kern w:val="0"/>
        </w:rPr>
        <w:t>LP</w:t>
      </w:r>
      <w:r>
        <w:rPr>
          <w:rFonts w:hint="eastAsia"/>
          <w:kern w:val="0"/>
        </w:rPr>
        <w:t>始终保持着领先</w:t>
      </w:r>
      <w:proofErr w:type="gramStart"/>
      <w:r>
        <w:rPr>
          <w:rFonts w:hint="eastAsia"/>
          <w:kern w:val="0"/>
        </w:rPr>
        <w:t>于外资</w:t>
      </w:r>
      <w:proofErr w:type="gramEnd"/>
      <w:r>
        <w:rPr>
          <w:rFonts w:hint="eastAsia"/>
          <w:kern w:val="0"/>
        </w:rPr>
        <w:t>LP</w:t>
      </w:r>
      <w:r>
        <w:rPr>
          <w:rFonts w:hint="eastAsia"/>
          <w:kern w:val="0"/>
        </w:rPr>
        <w:t>的发展速度，在数量及可</w:t>
      </w:r>
      <w:proofErr w:type="gramStart"/>
      <w:r>
        <w:rPr>
          <w:rFonts w:hint="eastAsia"/>
          <w:kern w:val="0"/>
        </w:rPr>
        <w:t>投资本量方面</w:t>
      </w:r>
      <w:proofErr w:type="gramEnd"/>
      <w:r>
        <w:rPr>
          <w:rFonts w:hint="eastAsia"/>
          <w:kern w:val="0"/>
        </w:rPr>
        <w:t>增长均较为明显。</w:t>
      </w:r>
    </w:p>
    <w:p w:rsidR="0091654B" w:rsidRPr="00DA3755" w:rsidRDefault="0091654B" w:rsidP="0091654B">
      <w:pPr>
        <w:spacing w:line="360" w:lineRule="exact"/>
        <w:ind w:firstLineChars="200" w:firstLine="420"/>
        <w:rPr>
          <w:kern w:val="0"/>
        </w:rPr>
      </w:pPr>
    </w:p>
    <w:p w:rsidR="0091654B" w:rsidRDefault="0091654B" w:rsidP="0091654B">
      <w:pPr>
        <w:spacing w:line="360" w:lineRule="exact"/>
        <w:ind w:firstLineChars="200" w:firstLine="420"/>
        <w:rPr>
          <w:kern w:val="0"/>
        </w:rPr>
      </w:pPr>
      <w:r>
        <w:rPr>
          <w:rFonts w:hint="eastAsia"/>
          <w:kern w:val="0"/>
        </w:rPr>
        <w:t>2013</w:t>
      </w:r>
      <w:r>
        <w:rPr>
          <w:rFonts w:hint="eastAsia"/>
          <w:kern w:val="0"/>
        </w:rPr>
        <w:t>是国内股权投资市场“寒冷”的一年，国内市场上不论是人民币基金还是美元基金的</w:t>
      </w:r>
      <w:r>
        <w:rPr>
          <w:rFonts w:hint="eastAsia"/>
          <w:kern w:val="0"/>
        </w:rPr>
        <w:t>GP</w:t>
      </w:r>
      <w:r>
        <w:rPr>
          <w:rFonts w:hint="eastAsia"/>
          <w:kern w:val="0"/>
        </w:rPr>
        <w:t>都在经历着深度的调整，不仅承受着来自宏观经济出现下行趋势的大环境压力，同时整整一年时间，面对着境内</w:t>
      </w:r>
      <w:r>
        <w:rPr>
          <w:rFonts w:hint="eastAsia"/>
          <w:kern w:val="0"/>
        </w:rPr>
        <w:t>IPO</w:t>
      </w:r>
      <w:r>
        <w:rPr>
          <w:rFonts w:hint="eastAsia"/>
          <w:kern w:val="0"/>
        </w:rPr>
        <w:t>闭关带来的“退出难”困境，因而基金背后</w:t>
      </w:r>
      <w:r>
        <w:rPr>
          <w:rFonts w:hint="eastAsia"/>
          <w:kern w:val="0"/>
        </w:rPr>
        <w:t>LP</w:t>
      </w:r>
      <w:r>
        <w:rPr>
          <w:rFonts w:hint="eastAsia"/>
          <w:kern w:val="0"/>
        </w:rPr>
        <w:t>的水深火热程度不难想象。特别是本土</w:t>
      </w:r>
      <w:r>
        <w:rPr>
          <w:rFonts w:hint="eastAsia"/>
          <w:kern w:val="0"/>
        </w:rPr>
        <w:t>LP</w:t>
      </w:r>
      <w:r>
        <w:rPr>
          <w:rFonts w:hint="eastAsia"/>
          <w:kern w:val="0"/>
        </w:rPr>
        <w:t>市场，在政府系、保险系、社保等大型机构投资者的努力推动下，艰难地</w:t>
      </w:r>
      <w:proofErr w:type="gramStart"/>
      <w:r>
        <w:rPr>
          <w:rFonts w:hint="eastAsia"/>
          <w:kern w:val="0"/>
        </w:rPr>
        <w:t>前行着</w:t>
      </w:r>
      <w:proofErr w:type="gramEnd"/>
      <w:r>
        <w:rPr>
          <w:rFonts w:hint="eastAsia"/>
          <w:kern w:val="0"/>
        </w:rPr>
        <w:t>。</w:t>
      </w:r>
    </w:p>
    <w:p w:rsidR="0091654B" w:rsidRDefault="0091654B" w:rsidP="0091654B">
      <w:pPr>
        <w:spacing w:line="360" w:lineRule="exact"/>
        <w:ind w:firstLineChars="200" w:firstLine="420"/>
        <w:rPr>
          <w:kern w:val="0"/>
        </w:rPr>
      </w:pPr>
    </w:p>
    <w:p w:rsidR="0091654B" w:rsidRDefault="0091654B" w:rsidP="0091654B">
      <w:pPr>
        <w:spacing w:line="360" w:lineRule="exact"/>
        <w:ind w:firstLineChars="200" w:firstLine="420"/>
        <w:rPr>
          <w:rFonts w:cs="Arial"/>
          <w:color w:val="252525"/>
          <w:szCs w:val="21"/>
          <w:shd w:val="clear" w:color="auto" w:fill="FFFFFF"/>
        </w:rPr>
      </w:pPr>
      <w:r>
        <w:rPr>
          <w:rFonts w:hint="eastAsia"/>
          <w:kern w:val="0"/>
        </w:rPr>
        <w:t>直到</w:t>
      </w:r>
      <w:r>
        <w:rPr>
          <w:rFonts w:hint="eastAsia"/>
          <w:kern w:val="0"/>
        </w:rPr>
        <w:t>2013</w:t>
      </w:r>
      <w:r>
        <w:rPr>
          <w:rFonts w:hint="eastAsia"/>
          <w:kern w:val="0"/>
        </w:rPr>
        <w:t>年年底出现的一波“中概股”海外上市小浪潮，似乎也未能给本土</w:t>
      </w:r>
      <w:r>
        <w:rPr>
          <w:rFonts w:hint="eastAsia"/>
          <w:kern w:val="0"/>
        </w:rPr>
        <w:t>LP</w:t>
      </w:r>
      <w:r>
        <w:rPr>
          <w:rFonts w:hint="eastAsia"/>
          <w:kern w:val="0"/>
        </w:rPr>
        <w:t>带来一丝“暖意”。</w:t>
      </w:r>
      <w:proofErr w:type="gramStart"/>
      <w:r>
        <w:rPr>
          <w:rFonts w:hint="eastAsia"/>
          <w:kern w:val="0"/>
        </w:rPr>
        <w:t>清科研究中心</w:t>
      </w:r>
      <w:proofErr w:type="gramEnd"/>
      <w:r>
        <w:rPr>
          <w:rFonts w:hint="eastAsia"/>
          <w:kern w:val="0"/>
        </w:rPr>
        <w:t>观察到，不论是最近赴美上市的去哪网、</w:t>
      </w:r>
      <w:r>
        <w:rPr>
          <w:rFonts w:hint="eastAsia"/>
          <w:kern w:val="0"/>
        </w:rPr>
        <w:t>58</w:t>
      </w:r>
      <w:r>
        <w:rPr>
          <w:rFonts w:hint="eastAsia"/>
          <w:kern w:val="0"/>
        </w:rPr>
        <w:t>同城、汽车之家，还是中国引以为豪的互联网三大巨头</w:t>
      </w:r>
      <w:r>
        <w:rPr>
          <w:rFonts w:hint="eastAsia"/>
          <w:kern w:val="0"/>
        </w:rPr>
        <w:t>BAT</w:t>
      </w:r>
      <w:r>
        <w:rPr>
          <w:rFonts w:hint="eastAsia"/>
          <w:kern w:val="0"/>
        </w:rPr>
        <w:t>（百度、阿里巴巴、腾讯），分享其成长收益的，大多均是海外投资者，中国互联网企业的总体市值大约在</w:t>
      </w:r>
      <w:r>
        <w:rPr>
          <w:rFonts w:hint="eastAsia"/>
          <w:kern w:val="0"/>
        </w:rPr>
        <w:t>5,000</w:t>
      </w:r>
      <w:r>
        <w:rPr>
          <w:rFonts w:hint="eastAsia"/>
          <w:kern w:val="0"/>
        </w:rPr>
        <w:t>亿美元左右，而其中将近</w:t>
      </w:r>
      <w:r>
        <w:rPr>
          <w:rFonts w:hint="eastAsia"/>
          <w:kern w:val="0"/>
        </w:rPr>
        <w:t>70%</w:t>
      </w:r>
      <w:r>
        <w:rPr>
          <w:rFonts w:hint="eastAsia"/>
          <w:kern w:val="0"/>
        </w:rPr>
        <w:t>属于外资。究其原因发现，</w:t>
      </w:r>
      <w:r>
        <w:rPr>
          <w:rFonts w:cs="Arial"/>
          <w:color w:val="252525"/>
          <w:szCs w:val="21"/>
          <w:shd w:val="clear" w:color="auto" w:fill="FFFFFF"/>
        </w:rPr>
        <w:t>互联网公司</w:t>
      </w:r>
      <w:r>
        <w:rPr>
          <w:rFonts w:cs="Arial" w:hint="eastAsia"/>
          <w:color w:val="252525"/>
          <w:szCs w:val="21"/>
          <w:shd w:val="clear" w:color="auto" w:fill="FFFFFF"/>
        </w:rPr>
        <w:t>一开始都难以获得</w:t>
      </w:r>
      <w:r>
        <w:rPr>
          <w:rFonts w:cs="Arial"/>
          <w:color w:val="252525"/>
          <w:szCs w:val="21"/>
          <w:shd w:val="clear" w:color="auto" w:fill="FFFFFF"/>
        </w:rPr>
        <w:t>人民币基金</w:t>
      </w:r>
      <w:r>
        <w:rPr>
          <w:rFonts w:cs="Arial" w:hint="eastAsia"/>
          <w:color w:val="252525"/>
          <w:szCs w:val="21"/>
          <w:shd w:val="clear" w:color="auto" w:fill="FFFFFF"/>
        </w:rPr>
        <w:t>的青睐，</w:t>
      </w:r>
      <w:r>
        <w:rPr>
          <w:rFonts w:cs="Arial"/>
          <w:color w:val="252525"/>
          <w:szCs w:val="21"/>
          <w:shd w:val="clear" w:color="auto" w:fill="FFFFFF"/>
        </w:rPr>
        <w:t>人民币基金看项目时更多以</w:t>
      </w:r>
      <w:r>
        <w:rPr>
          <w:rFonts w:cs="Arial"/>
          <w:color w:val="252525"/>
          <w:szCs w:val="21"/>
          <w:shd w:val="clear" w:color="auto" w:fill="FFFFFF"/>
        </w:rPr>
        <w:t>PE</w:t>
      </w:r>
      <w:r>
        <w:rPr>
          <w:rFonts w:cs="Arial"/>
          <w:color w:val="252525"/>
          <w:szCs w:val="21"/>
          <w:shd w:val="clear" w:color="auto" w:fill="FFFFFF"/>
        </w:rPr>
        <w:t>估值来判断投资价值，而互联网公司往往不能简单用</w:t>
      </w:r>
      <w:r>
        <w:rPr>
          <w:rFonts w:cs="Arial"/>
          <w:color w:val="252525"/>
          <w:szCs w:val="21"/>
          <w:shd w:val="clear" w:color="auto" w:fill="FFFFFF"/>
        </w:rPr>
        <w:t>PE</w:t>
      </w:r>
      <w:r>
        <w:rPr>
          <w:rFonts w:cs="Arial"/>
          <w:color w:val="252525"/>
          <w:szCs w:val="21"/>
          <w:shd w:val="clear" w:color="auto" w:fill="FFFFFF"/>
        </w:rPr>
        <w:t>来估值。此外，本土人民币基金更看重</w:t>
      </w:r>
      <w:r>
        <w:rPr>
          <w:rFonts w:cs="Arial" w:hint="eastAsia"/>
          <w:color w:val="252525"/>
          <w:szCs w:val="21"/>
          <w:shd w:val="clear" w:color="auto" w:fill="FFFFFF"/>
        </w:rPr>
        <w:t>企业</w:t>
      </w:r>
      <w:r>
        <w:rPr>
          <w:rFonts w:cs="Arial"/>
          <w:color w:val="252525"/>
          <w:szCs w:val="21"/>
          <w:shd w:val="clear" w:color="auto" w:fill="FFFFFF"/>
        </w:rPr>
        <w:t>盈利水平，互联网公司则在初期往往是</w:t>
      </w:r>
      <w:r>
        <w:rPr>
          <w:rFonts w:cs="Arial"/>
          <w:color w:val="252525"/>
          <w:szCs w:val="21"/>
          <w:shd w:val="clear" w:color="auto" w:fill="FFFFFF"/>
        </w:rPr>
        <w:t>“</w:t>
      </w:r>
      <w:r>
        <w:rPr>
          <w:rFonts w:cs="Arial"/>
          <w:color w:val="252525"/>
          <w:szCs w:val="21"/>
          <w:shd w:val="clear" w:color="auto" w:fill="FFFFFF"/>
        </w:rPr>
        <w:t>烧钱</w:t>
      </w:r>
      <w:r>
        <w:rPr>
          <w:rFonts w:cs="Arial"/>
          <w:color w:val="252525"/>
          <w:szCs w:val="21"/>
          <w:shd w:val="clear" w:color="auto" w:fill="FFFFFF"/>
        </w:rPr>
        <w:t>”</w:t>
      </w:r>
      <w:r>
        <w:rPr>
          <w:rFonts w:cs="Arial"/>
          <w:color w:val="252525"/>
          <w:szCs w:val="21"/>
          <w:shd w:val="clear" w:color="auto" w:fill="FFFFFF"/>
        </w:rPr>
        <w:t>，二者很难结合。</w:t>
      </w:r>
    </w:p>
    <w:p w:rsidR="0091654B" w:rsidRDefault="0091654B" w:rsidP="0091654B">
      <w:pPr>
        <w:spacing w:line="360" w:lineRule="exact"/>
        <w:ind w:firstLineChars="200" w:firstLine="420"/>
        <w:rPr>
          <w:rFonts w:cs="Arial"/>
          <w:color w:val="252525"/>
          <w:szCs w:val="21"/>
          <w:shd w:val="clear" w:color="auto" w:fill="FFFFFF"/>
        </w:rPr>
      </w:pPr>
    </w:p>
    <w:p w:rsidR="0091654B" w:rsidRDefault="0091654B" w:rsidP="0091654B">
      <w:pPr>
        <w:spacing w:line="360" w:lineRule="exact"/>
        <w:ind w:firstLineChars="200" w:firstLine="420"/>
        <w:rPr>
          <w:rFonts w:cs="Arial"/>
          <w:color w:val="252525"/>
          <w:szCs w:val="21"/>
          <w:shd w:val="clear" w:color="auto" w:fill="FFFFFF"/>
        </w:rPr>
      </w:pPr>
      <w:r>
        <w:rPr>
          <w:rFonts w:hint="eastAsia"/>
          <w:kern w:val="0"/>
        </w:rPr>
        <w:t>但市场还是在年底收到了积极的信号。</w:t>
      </w:r>
      <w:r>
        <w:rPr>
          <w:rFonts w:cs="Arial"/>
          <w:color w:val="252525"/>
          <w:szCs w:val="21"/>
          <w:shd w:val="clear" w:color="auto" w:fill="FFFFFF"/>
        </w:rPr>
        <w:t>2013</w:t>
      </w:r>
      <w:r>
        <w:rPr>
          <w:rFonts w:cs="Arial"/>
          <w:color w:val="252525"/>
          <w:szCs w:val="21"/>
          <w:shd w:val="clear" w:color="auto" w:fill="FFFFFF"/>
        </w:rPr>
        <w:t>年</w:t>
      </w:r>
      <w:r>
        <w:rPr>
          <w:rFonts w:cs="Arial"/>
          <w:color w:val="252525"/>
          <w:szCs w:val="21"/>
          <w:shd w:val="clear" w:color="auto" w:fill="FFFFFF"/>
        </w:rPr>
        <w:t>11</w:t>
      </w:r>
      <w:r>
        <w:rPr>
          <w:rFonts w:cs="Arial"/>
          <w:color w:val="252525"/>
          <w:szCs w:val="21"/>
          <w:shd w:val="clear" w:color="auto" w:fill="FFFFFF"/>
        </w:rPr>
        <w:t>月</w:t>
      </w:r>
      <w:r>
        <w:rPr>
          <w:rFonts w:cs="Arial"/>
          <w:color w:val="252525"/>
          <w:szCs w:val="21"/>
          <w:shd w:val="clear" w:color="auto" w:fill="FFFFFF"/>
        </w:rPr>
        <w:t>30</w:t>
      </w:r>
      <w:r>
        <w:rPr>
          <w:rFonts w:cs="Arial"/>
          <w:color w:val="252525"/>
          <w:szCs w:val="21"/>
          <w:shd w:val="clear" w:color="auto" w:fill="FFFFFF"/>
        </w:rPr>
        <w:t>日，证监会和国务院先后分别公布了《关于进一步推进新股发行体制改革的意见》</w:t>
      </w:r>
      <w:r>
        <w:rPr>
          <w:rFonts w:cs="Arial"/>
          <w:color w:val="252525"/>
          <w:szCs w:val="21"/>
          <w:shd w:val="clear" w:color="auto" w:fill="FFFFFF"/>
        </w:rPr>
        <w:t>(</w:t>
      </w:r>
      <w:r>
        <w:rPr>
          <w:rFonts w:cs="Arial"/>
          <w:color w:val="252525"/>
          <w:szCs w:val="21"/>
          <w:shd w:val="clear" w:color="auto" w:fill="FFFFFF"/>
        </w:rPr>
        <w:t>以下简称《意见》</w:t>
      </w:r>
      <w:r>
        <w:rPr>
          <w:rFonts w:cs="Arial"/>
          <w:color w:val="252525"/>
          <w:szCs w:val="21"/>
          <w:shd w:val="clear" w:color="auto" w:fill="FFFFFF"/>
        </w:rPr>
        <w:t>)</w:t>
      </w:r>
      <w:r>
        <w:rPr>
          <w:rFonts w:cs="Arial"/>
          <w:color w:val="252525"/>
          <w:szCs w:val="21"/>
          <w:shd w:val="clear" w:color="auto" w:fill="FFFFFF"/>
        </w:rPr>
        <w:t>及《国务院关于开展优先股试点的指导意见》，自</w:t>
      </w:r>
      <w:r>
        <w:rPr>
          <w:rFonts w:cs="Arial"/>
          <w:color w:val="252525"/>
          <w:szCs w:val="21"/>
          <w:shd w:val="clear" w:color="auto" w:fill="FFFFFF"/>
        </w:rPr>
        <w:t>2012</w:t>
      </w:r>
      <w:r>
        <w:rPr>
          <w:rFonts w:cs="Arial"/>
          <w:color w:val="252525"/>
          <w:szCs w:val="21"/>
          <w:shd w:val="clear" w:color="auto" w:fill="FFFFFF"/>
        </w:rPr>
        <w:t>年</w:t>
      </w:r>
      <w:r>
        <w:rPr>
          <w:rFonts w:cs="Arial"/>
          <w:color w:val="252525"/>
          <w:szCs w:val="21"/>
          <w:shd w:val="clear" w:color="auto" w:fill="FFFFFF"/>
        </w:rPr>
        <w:t>11</w:t>
      </w:r>
      <w:r>
        <w:rPr>
          <w:rFonts w:cs="Arial"/>
          <w:color w:val="252525"/>
          <w:szCs w:val="21"/>
          <w:shd w:val="clear" w:color="auto" w:fill="FFFFFF"/>
        </w:rPr>
        <w:t>月</w:t>
      </w:r>
      <w:r>
        <w:rPr>
          <w:rFonts w:cs="Arial"/>
          <w:color w:val="252525"/>
          <w:szCs w:val="21"/>
          <w:shd w:val="clear" w:color="auto" w:fill="FFFFFF"/>
        </w:rPr>
        <w:t>2</w:t>
      </w:r>
      <w:r>
        <w:rPr>
          <w:rFonts w:cs="Arial"/>
          <w:color w:val="252525"/>
          <w:szCs w:val="21"/>
          <w:shd w:val="clear" w:color="auto" w:fill="FFFFFF"/>
        </w:rPr>
        <w:t>日暂停至今的境内新股发行即将迎来重启，预计到</w:t>
      </w:r>
      <w:r>
        <w:rPr>
          <w:rFonts w:cs="Arial"/>
          <w:color w:val="252525"/>
          <w:szCs w:val="21"/>
          <w:shd w:val="clear" w:color="auto" w:fill="FFFFFF"/>
        </w:rPr>
        <w:t>2014</w:t>
      </w:r>
      <w:r>
        <w:rPr>
          <w:rFonts w:cs="Arial"/>
          <w:color w:val="252525"/>
          <w:szCs w:val="21"/>
          <w:shd w:val="clear" w:color="auto" w:fill="FFFFFF"/>
        </w:rPr>
        <w:t>年</w:t>
      </w:r>
      <w:r>
        <w:rPr>
          <w:rFonts w:cs="Arial"/>
          <w:color w:val="252525"/>
          <w:szCs w:val="21"/>
          <w:shd w:val="clear" w:color="auto" w:fill="FFFFFF"/>
        </w:rPr>
        <w:t>1</w:t>
      </w:r>
      <w:r>
        <w:rPr>
          <w:rFonts w:cs="Arial"/>
          <w:color w:val="252525"/>
          <w:szCs w:val="21"/>
          <w:shd w:val="clear" w:color="auto" w:fill="FFFFFF"/>
        </w:rPr>
        <w:t>月，约有</w:t>
      </w:r>
      <w:r>
        <w:rPr>
          <w:rFonts w:cs="Arial"/>
          <w:color w:val="252525"/>
          <w:szCs w:val="21"/>
          <w:shd w:val="clear" w:color="auto" w:fill="FFFFFF"/>
        </w:rPr>
        <w:t>50</w:t>
      </w:r>
      <w:r>
        <w:rPr>
          <w:rFonts w:cs="Arial"/>
          <w:color w:val="252525"/>
          <w:szCs w:val="21"/>
          <w:shd w:val="clear" w:color="auto" w:fill="FFFFFF"/>
        </w:rPr>
        <w:t>家企业能完成程序并陆续上市。</w:t>
      </w:r>
      <w:r>
        <w:rPr>
          <w:rFonts w:cs="Arial" w:hint="eastAsia"/>
          <w:color w:val="252525"/>
          <w:szCs w:val="21"/>
          <w:shd w:val="clear" w:color="auto" w:fill="FFFFFF"/>
        </w:rPr>
        <w:t>特别是《意见》中在推进新股市场发行机制方面做出重大努力，为注册制的发展奠定重要基础。注册制的是证监会对市场放权的同时将风险交还给市场，这意味着未来将有更多的企业有上市的可能，让更多本土投资者分享其成。</w:t>
      </w:r>
      <w:r>
        <w:rPr>
          <w:rFonts w:cs="Arial" w:hint="eastAsia"/>
          <w:color w:val="252525"/>
          <w:szCs w:val="21"/>
          <w:shd w:val="clear" w:color="auto" w:fill="FFFFFF"/>
        </w:rPr>
        <w:t>2014</w:t>
      </w:r>
      <w:r>
        <w:rPr>
          <w:rFonts w:cs="Arial" w:hint="eastAsia"/>
          <w:color w:val="252525"/>
          <w:szCs w:val="21"/>
          <w:shd w:val="clear" w:color="auto" w:fill="FFFFFF"/>
        </w:rPr>
        <w:t>年</w:t>
      </w:r>
      <w:r>
        <w:rPr>
          <w:rFonts w:cs="Arial" w:hint="eastAsia"/>
          <w:color w:val="252525"/>
          <w:szCs w:val="21"/>
          <w:shd w:val="clear" w:color="auto" w:fill="FFFFFF"/>
        </w:rPr>
        <w:t>IPO</w:t>
      </w:r>
      <w:r>
        <w:rPr>
          <w:rFonts w:cs="Arial" w:hint="eastAsia"/>
          <w:color w:val="252525"/>
          <w:szCs w:val="21"/>
          <w:shd w:val="clear" w:color="auto" w:fill="FFFFFF"/>
        </w:rPr>
        <w:t>的</w:t>
      </w:r>
      <w:proofErr w:type="gramStart"/>
      <w:r>
        <w:rPr>
          <w:rFonts w:cs="Arial" w:hint="eastAsia"/>
          <w:color w:val="252525"/>
          <w:szCs w:val="21"/>
          <w:shd w:val="clear" w:color="auto" w:fill="FFFFFF"/>
        </w:rPr>
        <w:t>重启对本土</w:t>
      </w:r>
      <w:proofErr w:type="gramEnd"/>
      <w:r>
        <w:rPr>
          <w:rFonts w:cs="Arial" w:hint="eastAsia"/>
          <w:color w:val="252525"/>
          <w:szCs w:val="21"/>
          <w:shd w:val="clear" w:color="auto" w:fill="FFFFFF"/>
        </w:rPr>
        <w:t>LP</w:t>
      </w:r>
      <w:r>
        <w:rPr>
          <w:rFonts w:cs="Arial" w:hint="eastAsia"/>
          <w:color w:val="252525"/>
          <w:szCs w:val="21"/>
          <w:shd w:val="clear" w:color="auto" w:fill="FFFFFF"/>
        </w:rPr>
        <w:t>市场是极大的鼓舞，本土</w:t>
      </w:r>
      <w:r>
        <w:rPr>
          <w:rFonts w:cs="Arial" w:hint="eastAsia"/>
          <w:color w:val="252525"/>
          <w:szCs w:val="21"/>
          <w:shd w:val="clear" w:color="auto" w:fill="FFFFFF"/>
        </w:rPr>
        <w:t>LP</w:t>
      </w:r>
      <w:r>
        <w:rPr>
          <w:rFonts w:cs="Arial" w:hint="eastAsia"/>
          <w:color w:val="252525"/>
          <w:szCs w:val="21"/>
          <w:shd w:val="clear" w:color="auto" w:fill="FFFFFF"/>
        </w:rPr>
        <w:t>将迎来更好的发展。</w:t>
      </w:r>
    </w:p>
    <w:p w:rsidR="0091654B" w:rsidRDefault="0091654B" w:rsidP="0091654B">
      <w:pPr>
        <w:spacing w:line="360" w:lineRule="exact"/>
        <w:ind w:firstLineChars="200" w:firstLine="420"/>
        <w:rPr>
          <w:rFonts w:cs="Arial"/>
          <w:color w:val="252525"/>
          <w:szCs w:val="21"/>
          <w:shd w:val="clear" w:color="auto" w:fill="FFFFFF"/>
        </w:rPr>
      </w:pPr>
    </w:p>
    <w:p w:rsidR="0091654B" w:rsidRDefault="0091654B" w:rsidP="0091654B">
      <w:pPr>
        <w:widowControl/>
        <w:rPr>
          <w:rFonts w:ascii="宋体" w:hAnsi="宋体" w:cs="Arial"/>
          <w:b/>
          <w:bCs/>
          <w:color w:val="000000"/>
          <w:kern w:val="0"/>
          <w:sz w:val="18"/>
          <w:szCs w:val="18"/>
        </w:rPr>
      </w:pPr>
      <w:r w:rsidRPr="0099274C">
        <w:rPr>
          <w:rFonts w:ascii="宋体" w:hAnsi="宋体" w:cs="Arial" w:hint="eastAsia"/>
          <w:b/>
          <w:bCs/>
          <w:color w:val="000000"/>
          <w:kern w:val="0"/>
          <w:sz w:val="18"/>
          <w:szCs w:val="18"/>
        </w:rPr>
        <w:t>图</w:t>
      </w:r>
      <w:r w:rsidRPr="0099274C">
        <w:rPr>
          <w:rFonts w:cs="Arial"/>
          <w:b/>
          <w:bCs/>
          <w:color w:val="000000"/>
          <w:kern w:val="0"/>
          <w:sz w:val="18"/>
          <w:szCs w:val="18"/>
        </w:rPr>
        <w:t>3  2013</w:t>
      </w:r>
      <w:r w:rsidRPr="0099274C">
        <w:rPr>
          <w:rFonts w:ascii="宋体" w:hAnsi="宋体" w:cs="Arial" w:hint="eastAsia"/>
          <w:b/>
          <w:bCs/>
          <w:color w:val="000000"/>
          <w:kern w:val="0"/>
          <w:sz w:val="18"/>
          <w:szCs w:val="18"/>
        </w:rPr>
        <w:t>年中国股权</w:t>
      </w:r>
      <w:r w:rsidR="00E74906">
        <w:rPr>
          <w:rFonts w:ascii="宋体" w:hAnsi="宋体" w:cs="Arial" w:hint="eastAsia"/>
          <w:b/>
          <w:bCs/>
          <w:color w:val="000000"/>
          <w:kern w:val="0"/>
          <w:sz w:val="18"/>
          <w:szCs w:val="18"/>
        </w:rPr>
        <w:t>投资</w:t>
      </w:r>
      <w:r w:rsidRPr="0099274C">
        <w:rPr>
          <w:rFonts w:ascii="宋体" w:hAnsi="宋体" w:cs="Arial" w:hint="eastAsia"/>
          <w:b/>
          <w:bCs/>
          <w:color w:val="000000"/>
          <w:kern w:val="0"/>
          <w:sz w:val="18"/>
          <w:szCs w:val="18"/>
        </w:rPr>
        <w:t>市场</w:t>
      </w:r>
      <w:r w:rsidRPr="0099274C">
        <w:rPr>
          <w:rFonts w:cs="Arial"/>
          <w:b/>
          <w:bCs/>
          <w:color w:val="000000"/>
          <w:kern w:val="0"/>
          <w:sz w:val="18"/>
          <w:szCs w:val="18"/>
        </w:rPr>
        <w:t>LP</w:t>
      </w:r>
      <w:r w:rsidRPr="0099274C">
        <w:rPr>
          <w:rFonts w:ascii="宋体" w:hAnsi="宋体" w:cs="Arial" w:hint="eastAsia"/>
          <w:b/>
          <w:bCs/>
          <w:color w:val="000000"/>
          <w:kern w:val="0"/>
          <w:sz w:val="18"/>
          <w:szCs w:val="18"/>
        </w:rPr>
        <w:t>类型比较（按数量，</w:t>
      </w:r>
      <w:proofErr w:type="gramStart"/>
      <w:r w:rsidRPr="0099274C">
        <w:rPr>
          <w:rFonts w:ascii="宋体" w:hAnsi="宋体" w:cs="Arial" w:hint="eastAsia"/>
          <w:b/>
          <w:bCs/>
          <w:color w:val="000000"/>
          <w:kern w:val="0"/>
          <w:sz w:val="18"/>
          <w:szCs w:val="18"/>
        </w:rPr>
        <w:t>个</w:t>
      </w:r>
      <w:proofErr w:type="gramEnd"/>
      <w:r w:rsidRPr="0099274C">
        <w:rPr>
          <w:rFonts w:ascii="宋体" w:hAnsi="宋体" w:cs="Arial" w:hint="eastAsia"/>
          <w:b/>
          <w:bCs/>
          <w:color w:val="000000"/>
          <w:kern w:val="0"/>
          <w:sz w:val="18"/>
          <w:szCs w:val="18"/>
        </w:rPr>
        <w:t>）</w:t>
      </w:r>
    </w:p>
    <w:p w:rsidR="0091654B" w:rsidRPr="0099274C" w:rsidRDefault="0091654B" w:rsidP="0091654B">
      <w:pPr>
        <w:widowControl/>
        <w:rPr>
          <w:rFonts w:cs="Arial"/>
          <w:b/>
          <w:bCs/>
          <w:color w:val="000000"/>
          <w:kern w:val="0"/>
          <w:sz w:val="18"/>
          <w:szCs w:val="18"/>
        </w:rPr>
      </w:pPr>
      <w:r w:rsidRPr="0099274C">
        <w:rPr>
          <w:rFonts w:cs="Arial"/>
          <w:b/>
          <w:bCs/>
          <w:noProof/>
          <w:color w:val="000000"/>
          <w:kern w:val="0"/>
          <w:sz w:val="18"/>
          <w:szCs w:val="18"/>
        </w:rPr>
        <w:lastRenderedPageBreak/>
        <w:drawing>
          <wp:inline distT="0" distB="0" distL="0" distR="0">
            <wp:extent cx="4791600" cy="3582000"/>
            <wp:effectExtent l="38100" t="0" r="2805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654B" w:rsidRDefault="0091654B" w:rsidP="0091654B">
      <w:pPr>
        <w:spacing w:line="360" w:lineRule="exact"/>
        <w:rPr>
          <w:kern w:val="0"/>
        </w:rPr>
      </w:pPr>
    </w:p>
    <w:p w:rsidR="0091654B" w:rsidRPr="0099274C" w:rsidRDefault="0091654B" w:rsidP="0091654B">
      <w:pPr>
        <w:widowControl/>
        <w:rPr>
          <w:rFonts w:cs="Arial"/>
          <w:b/>
          <w:bCs/>
          <w:color w:val="000000"/>
          <w:kern w:val="0"/>
          <w:sz w:val="18"/>
          <w:szCs w:val="18"/>
        </w:rPr>
      </w:pPr>
      <w:r w:rsidRPr="0099274C">
        <w:rPr>
          <w:rFonts w:ascii="宋体" w:hAnsi="宋体" w:cs="Arial" w:hint="eastAsia"/>
          <w:b/>
          <w:bCs/>
          <w:color w:val="000000"/>
          <w:kern w:val="0"/>
          <w:sz w:val="18"/>
          <w:szCs w:val="18"/>
        </w:rPr>
        <w:t>图</w:t>
      </w:r>
      <w:r>
        <w:rPr>
          <w:rFonts w:cs="Arial"/>
          <w:b/>
          <w:bCs/>
          <w:color w:val="000000"/>
          <w:kern w:val="0"/>
          <w:sz w:val="18"/>
          <w:szCs w:val="18"/>
        </w:rPr>
        <w:t xml:space="preserve">4 </w:t>
      </w:r>
      <w:r>
        <w:rPr>
          <w:rFonts w:cs="Arial" w:hint="eastAsia"/>
          <w:b/>
          <w:bCs/>
          <w:color w:val="000000"/>
          <w:kern w:val="0"/>
          <w:sz w:val="18"/>
          <w:szCs w:val="18"/>
        </w:rPr>
        <w:t xml:space="preserve"> </w:t>
      </w:r>
      <w:r w:rsidRPr="0099274C">
        <w:rPr>
          <w:rFonts w:cs="Arial"/>
          <w:b/>
          <w:bCs/>
          <w:color w:val="000000"/>
          <w:kern w:val="0"/>
          <w:sz w:val="18"/>
          <w:szCs w:val="18"/>
        </w:rPr>
        <w:t>2013</w:t>
      </w:r>
      <w:r w:rsidRPr="0099274C">
        <w:rPr>
          <w:rFonts w:ascii="宋体" w:hAnsi="宋体" w:cs="Arial" w:hint="eastAsia"/>
          <w:b/>
          <w:bCs/>
          <w:color w:val="000000"/>
          <w:kern w:val="0"/>
          <w:sz w:val="18"/>
          <w:szCs w:val="18"/>
        </w:rPr>
        <w:t>年中国股权</w:t>
      </w:r>
      <w:r w:rsidR="00E74906">
        <w:rPr>
          <w:rFonts w:ascii="宋体" w:hAnsi="宋体" w:cs="Arial" w:hint="eastAsia"/>
          <w:b/>
          <w:bCs/>
          <w:color w:val="000000"/>
          <w:kern w:val="0"/>
          <w:sz w:val="18"/>
          <w:szCs w:val="18"/>
        </w:rPr>
        <w:t>投资</w:t>
      </w:r>
      <w:r w:rsidRPr="0099274C">
        <w:rPr>
          <w:rFonts w:ascii="宋体" w:hAnsi="宋体" w:cs="Arial" w:hint="eastAsia"/>
          <w:b/>
          <w:bCs/>
          <w:color w:val="000000"/>
          <w:kern w:val="0"/>
          <w:sz w:val="18"/>
          <w:szCs w:val="18"/>
        </w:rPr>
        <w:t>市场</w:t>
      </w:r>
      <w:r w:rsidRPr="0099274C">
        <w:rPr>
          <w:rFonts w:cs="Arial"/>
          <w:b/>
          <w:bCs/>
          <w:color w:val="000000"/>
          <w:kern w:val="0"/>
          <w:sz w:val="18"/>
          <w:szCs w:val="18"/>
        </w:rPr>
        <w:t>LP</w:t>
      </w:r>
      <w:r w:rsidRPr="0099274C">
        <w:rPr>
          <w:rFonts w:ascii="宋体" w:hAnsi="宋体" w:cs="Arial" w:hint="eastAsia"/>
          <w:b/>
          <w:bCs/>
          <w:color w:val="000000"/>
          <w:kern w:val="0"/>
          <w:sz w:val="18"/>
          <w:szCs w:val="18"/>
        </w:rPr>
        <w:t>类型比较（按可投资本量，</w:t>
      </w:r>
      <w:r w:rsidRPr="0099274C">
        <w:rPr>
          <w:rFonts w:cs="Arial"/>
          <w:b/>
          <w:bCs/>
          <w:color w:val="000000"/>
          <w:kern w:val="0"/>
          <w:sz w:val="18"/>
          <w:szCs w:val="18"/>
        </w:rPr>
        <w:t>US$B</w:t>
      </w:r>
      <w:r w:rsidRPr="0099274C">
        <w:rPr>
          <w:rFonts w:ascii="宋体" w:hAnsi="宋体" w:cs="Arial" w:hint="eastAsia"/>
          <w:b/>
          <w:bCs/>
          <w:color w:val="000000"/>
          <w:kern w:val="0"/>
          <w:sz w:val="18"/>
          <w:szCs w:val="18"/>
        </w:rPr>
        <w:t>）</w:t>
      </w:r>
    </w:p>
    <w:p w:rsidR="0091654B" w:rsidRPr="0099274C" w:rsidRDefault="0091654B" w:rsidP="0091654B">
      <w:pPr>
        <w:rPr>
          <w:kern w:val="0"/>
        </w:rPr>
      </w:pPr>
      <w:r w:rsidRPr="0099274C">
        <w:rPr>
          <w:noProof/>
          <w:kern w:val="0"/>
        </w:rPr>
        <w:drawing>
          <wp:inline distT="0" distB="0" distL="0" distR="0">
            <wp:extent cx="4791600" cy="3582000"/>
            <wp:effectExtent l="38100" t="0" r="2805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5023" w:rsidRDefault="00855023" w:rsidP="0091654B"/>
    <w:p w:rsidR="00EB0A8A" w:rsidRDefault="00EB0A8A" w:rsidP="0091654B"/>
    <w:p w:rsidR="00EB0A8A" w:rsidRDefault="00EB0A8A" w:rsidP="0091654B"/>
    <w:p w:rsidR="00EB0A8A" w:rsidRDefault="00EB0A8A" w:rsidP="0091654B"/>
    <w:p w:rsidR="00EB0A8A" w:rsidRDefault="00EB0A8A" w:rsidP="0091654B"/>
    <w:p w:rsidR="00EB0A8A" w:rsidRDefault="00EB0A8A" w:rsidP="0091654B"/>
    <w:p w:rsidR="00EB0A8A" w:rsidRDefault="00EB0A8A" w:rsidP="00EB0A8A">
      <w:pPr>
        <w:spacing w:line="360" w:lineRule="exact"/>
        <w:rPr>
          <w:rFonts w:cs="Arial"/>
          <w:szCs w:val="21"/>
        </w:rPr>
      </w:pPr>
      <w:r>
        <w:rPr>
          <w:rFonts w:hAnsi="宋体" w:cs="Arial" w:hint="eastAsia"/>
          <w:kern w:val="0"/>
          <w:szCs w:val="21"/>
        </w:rPr>
        <w:lastRenderedPageBreak/>
        <w:t>——</w:t>
      </w:r>
      <w:proofErr w:type="gramStart"/>
      <w:r>
        <w:rPr>
          <w:rFonts w:hAnsi="宋体" w:cs="Arial" w:hint="eastAsia"/>
          <w:kern w:val="0"/>
          <w:szCs w:val="21"/>
        </w:rPr>
        <w:t>————————</w:t>
      </w:r>
      <w:proofErr w:type="gramEnd"/>
    </w:p>
    <w:p w:rsidR="00EB0A8A" w:rsidRDefault="00EB0A8A" w:rsidP="00EB0A8A">
      <w:pPr>
        <w:widowControl/>
        <w:jc w:val="left"/>
        <w:rPr>
          <w:rFonts w:hAnsi="宋体" w:cs="Arial"/>
          <w:b/>
          <w:kern w:val="0"/>
          <w:szCs w:val="21"/>
        </w:rPr>
      </w:pPr>
      <w:r>
        <w:rPr>
          <w:rFonts w:hAnsi="宋体" w:cs="Arial" w:hint="eastAsia"/>
          <w:b/>
          <w:kern w:val="0"/>
          <w:szCs w:val="21"/>
        </w:rPr>
        <w:t>数据研究咨询：</w:t>
      </w:r>
    </w:p>
    <w:p w:rsidR="00EB0A8A" w:rsidRDefault="00EB0A8A" w:rsidP="00EB0A8A">
      <w:pPr>
        <w:widowControl/>
        <w:jc w:val="left"/>
        <w:rPr>
          <w:rFonts w:hAnsi="宋体" w:cs="Arial"/>
          <w:kern w:val="0"/>
          <w:szCs w:val="21"/>
        </w:rPr>
      </w:pPr>
    </w:p>
    <w:p w:rsidR="00EB0A8A" w:rsidRDefault="00EB0A8A" w:rsidP="00EB0A8A">
      <w:pPr>
        <w:widowControl/>
        <w:jc w:val="left"/>
        <w:rPr>
          <w:rFonts w:hAnsi="宋体" w:cs="Arial"/>
          <w:kern w:val="0"/>
          <w:szCs w:val="21"/>
        </w:rPr>
      </w:pPr>
      <w:r>
        <w:rPr>
          <w:rFonts w:hAnsi="宋体" w:cs="Arial"/>
          <w:kern w:val="0"/>
          <w:szCs w:val="21"/>
        </w:rPr>
        <w:t xml:space="preserve">400-600-9460 </w:t>
      </w:r>
      <w:r>
        <w:rPr>
          <w:rFonts w:hAnsi="宋体" w:cs="Arial" w:hint="eastAsia"/>
          <w:kern w:val="0"/>
          <w:szCs w:val="21"/>
        </w:rPr>
        <w:t>（客服热线）</w:t>
      </w:r>
    </w:p>
    <w:p w:rsidR="00EB0A8A" w:rsidRDefault="00EB0A8A" w:rsidP="00EB0A8A">
      <w:pPr>
        <w:widowControl/>
        <w:jc w:val="left"/>
        <w:rPr>
          <w:rFonts w:hAnsi="宋体" w:cs="Arial"/>
          <w:kern w:val="0"/>
          <w:szCs w:val="21"/>
        </w:rPr>
      </w:pPr>
    </w:p>
    <w:p w:rsidR="00EB0A8A" w:rsidRDefault="00EB0A8A" w:rsidP="00EB0A8A">
      <w:pPr>
        <w:widowControl/>
        <w:jc w:val="left"/>
        <w:rPr>
          <w:rFonts w:hAnsi="宋体" w:cs="Arial"/>
          <w:b/>
          <w:kern w:val="0"/>
          <w:szCs w:val="21"/>
        </w:rPr>
      </w:pPr>
      <w:proofErr w:type="gramStart"/>
      <w:r>
        <w:rPr>
          <w:rFonts w:hAnsi="宋体" w:cs="Arial" w:hint="eastAsia"/>
          <w:b/>
          <w:kern w:val="0"/>
          <w:szCs w:val="21"/>
        </w:rPr>
        <w:t>关于清科研究中心</w:t>
      </w:r>
      <w:proofErr w:type="gramEnd"/>
      <w:r>
        <w:rPr>
          <w:rFonts w:hAnsi="宋体" w:cs="Arial"/>
          <w:b/>
          <w:kern w:val="0"/>
          <w:szCs w:val="21"/>
        </w:rPr>
        <w:t xml:space="preserve"> </w:t>
      </w:r>
    </w:p>
    <w:p w:rsidR="00EB0A8A" w:rsidRDefault="00EB0A8A" w:rsidP="00EB0A8A">
      <w:pPr>
        <w:widowControl/>
        <w:jc w:val="left"/>
        <w:rPr>
          <w:rFonts w:hAnsi="宋体" w:cs="Arial"/>
          <w:kern w:val="0"/>
          <w:szCs w:val="21"/>
        </w:rPr>
      </w:pPr>
    </w:p>
    <w:p w:rsidR="00EB0A8A" w:rsidRDefault="00EB0A8A" w:rsidP="00EB0A8A">
      <w:pPr>
        <w:widowControl/>
        <w:jc w:val="left"/>
        <w:rPr>
          <w:rFonts w:hAnsi="宋体" w:cs="Arial"/>
          <w:kern w:val="0"/>
          <w:szCs w:val="21"/>
        </w:rPr>
      </w:pPr>
      <w:proofErr w:type="gramStart"/>
      <w:r>
        <w:rPr>
          <w:rFonts w:hAnsi="宋体" w:cs="Arial" w:hint="eastAsia"/>
          <w:kern w:val="0"/>
          <w:szCs w:val="21"/>
        </w:rPr>
        <w:t>清科研究中心</w:t>
      </w:r>
      <w:proofErr w:type="gramEnd"/>
      <w:r>
        <w:rPr>
          <w:rFonts w:hAnsi="宋体" w:cs="Arial" w:hint="eastAsia"/>
          <w:kern w:val="0"/>
          <w:szCs w:val="21"/>
        </w:rPr>
        <w:t>于</w:t>
      </w:r>
      <w:r>
        <w:rPr>
          <w:rFonts w:hAnsi="宋体" w:cs="Arial"/>
          <w:kern w:val="0"/>
          <w:szCs w:val="21"/>
        </w:rPr>
        <w:t>2001</w:t>
      </w:r>
      <w:r>
        <w:rPr>
          <w:rFonts w:hAnsi="宋体" w:cs="Arial" w:hint="eastAsia"/>
          <w:kern w:val="0"/>
          <w:szCs w:val="21"/>
        </w:rPr>
        <w:t>年创立，是目前中国私</w:t>
      </w:r>
      <w:proofErr w:type="gramStart"/>
      <w:r>
        <w:rPr>
          <w:rFonts w:hAnsi="宋体" w:cs="Arial" w:hint="eastAsia"/>
          <w:kern w:val="0"/>
          <w:szCs w:val="21"/>
        </w:rPr>
        <w:t>募股权投资</w:t>
      </w:r>
      <w:proofErr w:type="gramEnd"/>
      <w:r>
        <w:rPr>
          <w:rFonts w:hAnsi="宋体" w:cs="Arial" w:hint="eastAsia"/>
          <w:kern w:val="0"/>
          <w:szCs w:val="21"/>
        </w:rPr>
        <w:t>领域</w:t>
      </w:r>
      <w:proofErr w:type="gramStart"/>
      <w:r>
        <w:rPr>
          <w:rFonts w:hAnsi="宋体" w:cs="Arial" w:hint="eastAsia"/>
          <w:kern w:val="0"/>
          <w:szCs w:val="21"/>
        </w:rPr>
        <w:t>最</w:t>
      </w:r>
      <w:proofErr w:type="gramEnd"/>
      <w:r>
        <w:rPr>
          <w:rFonts w:hAnsi="宋体" w:cs="Arial" w:hint="eastAsia"/>
          <w:kern w:val="0"/>
          <w:szCs w:val="21"/>
        </w:rPr>
        <w:t>专业权威的研究机构之一。研究范围涉及创业投资、私募股权、新股上市、兼并收购以及</w:t>
      </w:r>
      <w:r>
        <w:rPr>
          <w:rFonts w:hAnsi="宋体" w:cs="Arial"/>
          <w:kern w:val="0"/>
          <w:szCs w:val="21"/>
        </w:rPr>
        <w:t>TMT</w:t>
      </w:r>
      <w:r>
        <w:rPr>
          <w:rFonts w:hAnsi="宋体" w:cs="Arial" w:hint="eastAsia"/>
          <w:kern w:val="0"/>
          <w:szCs w:val="21"/>
        </w:rPr>
        <w:t>、传统行业、清洁技术、生</w:t>
      </w:r>
      <w:proofErr w:type="gramStart"/>
      <w:r>
        <w:rPr>
          <w:rFonts w:hAnsi="宋体" w:cs="Arial" w:hint="eastAsia"/>
          <w:kern w:val="0"/>
          <w:szCs w:val="21"/>
        </w:rPr>
        <w:t>技健康</w:t>
      </w:r>
      <w:proofErr w:type="gramEnd"/>
      <w:r>
        <w:rPr>
          <w:rFonts w:hAnsi="宋体" w:cs="Arial" w:hint="eastAsia"/>
          <w:kern w:val="0"/>
          <w:szCs w:val="21"/>
        </w:rPr>
        <w:t>等行业市场研究。</w:t>
      </w:r>
      <w:proofErr w:type="gramStart"/>
      <w:r>
        <w:rPr>
          <w:rFonts w:hAnsi="宋体" w:cs="Arial" w:hint="eastAsia"/>
          <w:kern w:val="0"/>
          <w:szCs w:val="21"/>
        </w:rPr>
        <w:t>清科研究中心</w:t>
      </w:r>
      <w:proofErr w:type="gramEnd"/>
      <w:r>
        <w:rPr>
          <w:rFonts w:hAnsi="宋体" w:cs="Arial" w:hint="eastAsia"/>
          <w:kern w:val="0"/>
          <w:szCs w:val="21"/>
        </w:rPr>
        <w:t>旗下产品品牌包括：研究报告、数据库、私募通、排名榜单，并为客户提供定制咨询服务。</w:t>
      </w:r>
    </w:p>
    <w:p w:rsidR="00EB0A8A" w:rsidRDefault="00EB0A8A" w:rsidP="00EB0A8A">
      <w:pPr>
        <w:widowControl/>
        <w:jc w:val="left"/>
        <w:rPr>
          <w:rFonts w:hAnsi="宋体" w:cs="Arial"/>
          <w:kern w:val="0"/>
          <w:szCs w:val="21"/>
        </w:rPr>
      </w:pPr>
      <w:r>
        <w:rPr>
          <w:rFonts w:hAnsi="宋体" w:cs="Arial"/>
          <w:kern w:val="0"/>
          <w:szCs w:val="21"/>
        </w:rPr>
        <w:t xml:space="preserve"> </w:t>
      </w:r>
    </w:p>
    <w:p w:rsidR="00EB0A8A" w:rsidRDefault="00EB0A8A" w:rsidP="00EB0A8A">
      <w:pPr>
        <w:widowControl/>
        <w:jc w:val="left"/>
        <w:rPr>
          <w:rFonts w:hAnsi="宋体" w:cs="Arial"/>
          <w:b/>
          <w:kern w:val="0"/>
          <w:szCs w:val="21"/>
        </w:rPr>
      </w:pPr>
      <w:proofErr w:type="gramStart"/>
      <w:r>
        <w:rPr>
          <w:rFonts w:hAnsi="宋体" w:cs="Arial" w:hint="eastAsia"/>
          <w:b/>
          <w:kern w:val="0"/>
          <w:szCs w:val="21"/>
        </w:rPr>
        <w:t>关于清科集团</w:t>
      </w:r>
      <w:proofErr w:type="gramEnd"/>
    </w:p>
    <w:p w:rsidR="00EB0A8A" w:rsidRDefault="00EB0A8A" w:rsidP="00EB0A8A">
      <w:pPr>
        <w:widowControl/>
        <w:jc w:val="left"/>
        <w:rPr>
          <w:rFonts w:hAnsi="宋体" w:cs="Arial"/>
          <w:kern w:val="0"/>
          <w:szCs w:val="21"/>
        </w:rPr>
      </w:pPr>
    </w:p>
    <w:p w:rsidR="00EB0A8A" w:rsidRDefault="00EB0A8A" w:rsidP="00EB0A8A">
      <w:pPr>
        <w:widowControl/>
        <w:jc w:val="left"/>
        <w:rPr>
          <w:rFonts w:hAnsi="宋体" w:cs="Arial"/>
          <w:kern w:val="0"/>
          <w:szCs w:val="21"/>
        </w:rPr>
      </w:pPr>
      <w:proofErr w:type="gramStart"/>
      <w:r>
        <w:rPr>
          <w:rFonts w:hAnsi="宋体" w:cs="Arial" w:hint="eastAsia"/>
          <w:kern w:val="0"/>
          <w:szCs w:val="21"/>
        </w:rPr>
        <w:t>清科集团</w:t>
      </w:r>
      <w:proofErr w:type="gramEnd"/>
      <w:r>
        <w:rPr>
          <w:rFonts w:hAnsi="宋体" w:cs="Arial" w:hint="eastAsia"/>
          <w:kern w:val="0"/>
          <w:szCs w:val="21"/>
        </w:rPr>
        <w:t>成立于</w:t>
      </w:r>
      <w:r>
        <w:rPr>
          <w:rFonts w:hAnsi="宋体" w:cs="Arial"/>
          <w:kern w:val="0"/>
          <w:szCs w:val="21"/>
        </w:rPr>
        <w:t>1999</w:t>
      </w:r>
      <w:r>
        <w:rPr>
          <w:rFonts w:hAnsi="宋体" w:cs="Arial" w:hint="eastAsia"/>
          <w:kern w:val="0"/>
          <w:szCs w:val="21"/>
        </w:rPr>
        <w:t>年，是中国领先的创业投资与私</w:t>
      </w:r>
      <w:proofErr w:type="gramStart"/>
      <w:r>
        <w:rPr>
          <w:rFonts w:hAnsi="宋体" w:cs="Arial" w:hint="eastAsia"/>
          <w:kern w:val="0"/>
          <w:szCs w:val="21"/>
        </w:rPr>
        <w:t>募股权投资</w:t>
      </w:r>
      <w:proofErr w:type="gramEnd"/>
      <w:r>
        <w:rPr>
          <w:rFonts w:hAnsi="宋体" w:cs="Arial" w:hint="eastAsia"/>
          <w:kern w:val="0"/>
          <w:szCs w:val="21"/>
        </w:rPr>
        <w:t>领域综合服务及投资机构，主要业务涉及：领域内的信息资讯、研究咨询、会议论坛、投资银行服务、直接投资及</w:t>
      </w:r>
      <w:proofErr w:type="gramStart"/>
      <w:r>
        <w:rPr>
          <w:rFonts w:hAnsi="宋体" w:cs="Arial" w:hint="eastAsia"/>
          <w:kern w:val="0"/>
          <w:szCs w:val="21"/>
        </w:rPr>
        <w:t>母基金</w:t>
      </w:r>
      <w:proofErr w:type="gramEnd"/>
      <w:r>
        <w:rPr>
          <w:rFonts w:hAnsi="宋体" w:cs="Arial" w:hint="eastAsia"/>
          <w:kern w:val="0"/>
          <w:szCs w:val="21"/>
        </w:rPr>
        <w:t>管理。欲了解更多内容</w:t>
      </w:r>
      <w:proofErr w:type="gramStart"/>
      <w:r>
        <w:rPr>
          <w:rFonts w:hAnsi="宋体" w:cs="Arial" w:hint="eastAsia"/>
          <w:kern w:val="0"/>
          <w:szCs w:val="21"/>
        </w:rPr>
        <w:t>请访问</w:t>
      </w:r>
      <w:proofErr w:type="gramEnd"/>
      <w:r>
        <w:rPr>
          <w:rFonts w:hAnsi="宋体" w:cs="Arial"/>
          <w:kern w:val="0"/>
          <w:szCs w:val="21"/>
        </w:rPr>
        <w:t>http://www.zero2ipogroup.com/</w:t>
      </w:r>
      <w:r>
        <w:rPr>
          <w:rFonts w:hAnsi="宋体" w:cs="Arial" w:hint="eastAsia"/>
          <w:kern w:val="0"/>
          <w:szCs w:val="21"/>
        </w:rPr>
        <w:t>。</w:t>
      </w:r>
    </w:p>
    <w:p w:rsidR="00EB0A8A" w:rsidRDefault="00EB0A8A" w:rsidP="00EB0A8A">
      <w:pPr>
        <w:widowControl/>
        <w:jc w:val="left"/>
        <w:rPr>
          <w:rFonts w:hAnsi="宋体" w:cs="Arial"/>
          <w:kern w:val="0"/>
          <w:szCs w:val="21"/>
        </w:rPr>
      </w:pPr>
      <w:r>
        <w:rPr>
          <w:rFonts w:hAnsi="宋体" w:cs="Arial"/>
          <w:kern w:val="0"/>
          <w:szCs w:val="21"/>
        </w:rPr>
        <w:t xml:space="preserve">                                                                               </w:t>
      </w:r>
    </w:p>
    <w:p w:rsidR="00EB0A8A" w:rsidRDefault="00EB0A8A" w:rsidP="00EB0A8A">
      <w:pPr>
        <w:widowControl/>
        <w:jc w:val="left"/>
        <w:rPr>
          <w:rFonts w:hAnsi="宋体" w:cs="Arial"/>
          <w:b/>
          <w:kern w:val="0"/>
          <w:szCs w:val="21"/>
        </w:rPr>
      </w:pPr>
      <w:r>
        <w:rPr>
          <w:rFonts w:hAnsi="宋体" w:cs="Arial" w:hint="eastAsia"/>
          <w:b/>
          <w:kern w:val="0"/>
          <w:szCs w:val="21"/>
        </w:rPr>
        <w:t>引用说明</w:t>
      </w:r>
    </w:p>
    <w:p w:rsidR="00EB0A8A" w:rsidRDefault="00EB0A8A" w:rsidP="00EB0A8A">
      <w:pPr>
        <w:widowControl/>
        <w:jc w:val="left"/>
        <w:rPr>
          <w:rFonts w:hAnsi="宋体" w:cs="Arial"/>
          <w:kern w:val="0"/>
          <w:szCs w:val="21"/>
        </w:rPr>
      </w:pPr>
    </w:p>
    <w:p w:rsidR="00EB0A8A" w:rsidRDefault="00EB0A8A" w:rsidP="00EB0A8A">
      <w:pPr>
        <w:widowControl/>
        <w:jc w:val="left"/>
        <w:rPr>
          <w:rFonts w:hAnsi="宋体" w:cs="Arial"/>
          <w:kern w:val="0"/>
          <w:szCs w:val="21"/>
        </w:rPr>
      </w:pPr>
      <w:r>
        <w:rPr>
          <w:rFonts w:hAnsi="宋体" w:cs="Arial" w:hint="eastAsia"/>
          <w:kern w:val="0"/>
          <w:szCs w:val="21"/>
        </w:rPr>
        <w:t>本文</w:t>
      </w:r>
      <w:proofErr w:type="gramStart"/>
      <w:r>
        <w:rPr>
          <w:rFonts w:hAnsi="宋体" w:cs="Arial" w:hint="eastAsia"/>
          <w:kern w:val="0"/>
          <w:szCs w:val="21"/>
        </w:rPr>
        <w:t>由清科集团</w:t>
      </w:r>
      <w:proofErr w:type="gramEnd"/>
      <w:r>
        <w:rPr>
          <w:rFonts w:hAnsi="宋体" w:cs="Arial" w:hint="eastAsia"/>
          <w:kern w:val="0"/>
          <w:szCs w:val="21"/>
        </w:rPr>
        <w:t>公开对媒体发布，如蒙引用，请注明来源：</w:t>
      </w:r>
      <w:proofErr w:type="gramStart"/>
      <w:r>
        <w:rPr>
          <w:rFonts w:hAnsi="宋体" w:cs="Arial" w:hint="eastAsia"/>
          <w:kern w:val="0"/>
          <w:szCs w:val="21"/>
        </w:rPr>
        <w:t>清科研究中心</w:t>
      </w:r>
      <w:proofErr w:type="gramEnd"/>
      <w:r>
        <w:rPr>
          <w:rFonts w:hAnsi="宋体" w:cs="Arial" w:hint="eastAsia"/>
          <w:kern w:val="0"/>
          <w:szCs w:val="21"/>
        </w:rPr>
        <w:t>，并请将样报两份寄至：</w:t>
      </w:r>
    </w:p>
    <w:p w:rsidR="00EB0A8A" w:rsidRDefault="00EB0A8A" w:rsidP="00EB0A8A">
      <w:pPr>
        <w:widowControl/>
        <w:jc w:val="left"/>
        <w:rPr>
          <w:rFonts w:hAnsi="宋体" w:cs="Arial"/>
          <w:kern w:val="0"/>
          <w:szCs w:val="21"/>
        </w:rPr>
      </w:pPr>
    </w:p>
    <w:p w:rsidR="00EB0A8A" w:rsidRDefault="00EB0A8A" w:rsidP="00EB0A8A">
      <w:pPr>
        <w:widowControl/>
        <w:jc w:val="left"/>
        <w:rPr>
          <w:rFonts w:hAnsi="宋体" w:cs="Arial"/>
          <w:kern w:val="0"/>
          <w:szCs w:val="21"/>
        </w:rPr>
      </w:pPr>
      <w:r>
        <w:rPr>
          <w:rFonts w:hAnsi="宋体" w:cs="Arial" w:hint="eastAsia"/>
          <w:kern w:val="0"/>
          <w:szCs w:val="21"/>
        </w:rPr>
        <w:t>北京市朝阳区</w:t>
      </w:r>
      <w:r w:rsidRPr="002D6AA2">
        <w:rPr>
          <w:rFonts w:hAnsi="宋体" w:cs="Arial" w:hint="eastAsia"/>
          <w:kern w:val="0"/>
          <w:szCs w:val="21"/>
        </w:rPr>
        <w:t>亮马桥路</w:t>
      </w:r>
      <w:r w:rsidRPr="002D6AA2">
        <w:rPr>
          <w:rFonts w:hAnsi="宋体" w:cs="Arial" w:hint="eastAsia"/>
          <w:kern w:val="0"/>
          <w:szCs w:val="21"/>
        </w:rPr>
        <w:t>39</w:t>
      </w:r>
      <w:r w:rsidRPr="002D6AA2">
        <w:rPr>
          <w:rFonts w:hAnsi="宋体" w:cs="Arial" w:hint="eastAsia"/>
          <w:kern w:val="0"/>
          <w:szCs w:val="21"/>
        </w:rPr>
        <w:t>号第一上海中心</w:t>
      </w:r>
      <w:r w:rsidRPr="002D6AA2">
        <w:rPr>
          <w:rFonts w:hAnsi="宋体" w:cs="Arial" w:hint="eastAsia"/>
          <w:kern w:val="0"/>
          <w:szCs w:val="21"/>
        </w:rPr>
        <w:t>4</w:t>
      </w:r>
      <w:r w:rsidRPr="002D6AA2">
        <w:rPr>
          <w:rFonts w:hAnsi="宋体" w:cs="Arial" w:hint="eastAsia"/>
          <w:kern w:val="0"/>
          <w:szCs w:val="21"/>
        </w:rPr>
        <w:t>层</w:t>
      </w:r>
      <w:r w:rsidRPr="002D6AA2">
        <w:rPr>
          <w:rFonts w:hAnsi="宋体" w:cs="Arial" w:hint="eastAsia"/>
          <w:kern w:val="0"/>
          <w:szCs w:val="21"/>
        </w:rPr>
        <w:t>401</w:t>
      </w:r>
      <w:r w:rsidRPr="002D6AA2">
        <w:rPr>
          <w:rFonts w:hAnsi="宋体" w:cs="Arial" w:hint="eastAsia"/>
          <w:kern w:val="0"/>
          <w:szCs w:val="21"/>
        </w:rPr>
        <w:t>室</w:t>
      </w:r>
    </w:p>
    <w:p w:rsidR="00EB0A8A" w:rsidRDefault="00EB0A8A" w:rsidP="00EB0A8A">
      <w:pPr>
        <w:widowControl/>
        <w:jc w:val="left"/>
        <w:rPr>
          <w:rFonts w:hAnsi="宋体" w:cs="Arial"/>
          <w:kern w:val="0"/>
          <w:szCs w:val="21"/>
        </w:rPr>
      </w:pPr>
      <w:r>
        <w:rPr>
          <w:rFonts w:hAnsi="宋体" w:cs="Arial" w:hint="eastAsia"/>
          <w:kern w:val="0"/>
          <w:szCs w:val="21"/>
        </w:rPr>
        <w:t>联系人：姚婷婷</w:t>
      </w:r>
      <w:r>
        <w:rPr>
          <w:rFonts w:hAnsi="宋体" w:cs="Arial"/>
          <w:kern w:val="0"/>
          <w:szCs w:val="21"/>
        </w:rPr>
        <w:t xml:space="preserve"> </w:t>
      </w:r>
      <w:r>
        <w:rPr>
          <w:rFonts w:hAnsi="宋体" w:cs="Arial" w:hint="eastAsia"/>
          <w:kern w:val="0"/>
          <w:szCs w:val="21"/>
        </w:rPr>
        <w:t>（</w:t>
      </w:r>
      <w:r>
        <w:rPr>
          <w:rFonts w:hAnsi="宋体" w:cs="Arial"/>
          <w:kern w:val="0"/>
          <w:szCs w:val="21"/>
        </w:rPr>
        <w:t>Jewel Yao</w:t>
      </w:r>
      <w:r>
        <w:rPr>
          <w:rFonts w:hAnsi="宋体" w:cs="Arial" w:hint="eastAsia"/>
          <w:kern w:val="0"/>
          <w:szCs w:val="21"/>
        </w:rPr>
        <w:t>）</w:t>
      </w:r>
    </w:p>
    <w:p w:rsidR="00EB0A8A" w:rsidRDefault="00EB0A8A" w:rsidP="00EB0A8A">
      <w:pPr>
        <w:widowControl/>
        <w:jc w:val="left"/>
        <w:rPr>
          <w:rFonts w:hAnsi="宋体" w:cs="Arial"/>
          <w:kern w:val="0"/>
          <w:szCs w:val="21"/>
        </w:rPr>
      </w:pPr>
      <w:r>
        <w:rPr>
          <w:rFonts w:hAnsi="宋体" w:cs="Arial" w:hint="eastAsia"/>
          <w:kern w:val="0"/>
          <w:szCs w:val="21"/>
        </w:rPr>
        <w:t>电话：</w:t>
      </w:r>
      <w:r>
        <w:rPr>
          <w:rFonts w:hAnsi="宋体" w:cs="Arial"/>
          <w:kern w:val="0"/>
          <w:szCs w:val="21"/>
        </w:rPr>
        <w:t>+86 10 84535220-6</w:t>
      </w:r>
      <w:r>
        <w:rPr>
          <w:rFonts w:hAnsi="宋体" w:cs="Arial" w:hint="eastAsia"/>
          <w:kern w:val="0"/>
          <w:szCs w:val="21"/>
        </w:rPr>
        <w:t>202</w:t>
      </w:r>
    </w:p>
    <w:p w:rsidR="00EB0A8A" w:rsidRDefault="00EB0A8A" w:rsidP="00EB0A8A">
      <w:pPr>
        <w:widowControl/>
        <w:jc w:val="left"/>
        <w:rPr>
          <w:rFonts w:hAnsi="宋体" w:cs="Arial"/>
          <w:kern w:val="0"/>
          <w:szCs w:val="21"/>
        </w:rPr>
      </w:pPr>
      <w:r>
        <w:rPr>
          <w:rFonts w:hAnsi="宋体" w:cs="Arial" w:hint="eastAsia"/>
          <w:kern w:val="0"/>
          <w:szCs w:val="21"/>
        </w:rPr>
        <w:t>电子邮件：</w:t>
      </w:r>
      <w:proofErr w:type="spellStart"/>
      <w:proofErr w:type="gramStart"/>
      <w:r>
        <w:rPr>
          <w:rFonts w:hAnsi="宋体" w:cs="Arial"/>
          <w:kern w:val="0"/>
          <w:szCs w:val="21"/>
        </w:rPr>
        <w:t>jewelyao</w:t>
      </w:r>
      <w:proofErr w:type="spellEnd"/>
      <w:proofErr w:type="gramEnd"/>
      <w:r>
        <w:rPr>
          <w:rFonts w:hAnsi="宋体" w:cs="Arial"/>
          <w:kern w:val="0"/>
          <w:szCs w:val="21"/>
        </w:rPr>
        <w:t>@ zero2ipo.com.cn</w:t>
      </w:r>
    </w:p>
    <w:p w:rsidR="00EB0A8A" w:rsidRDefault="00EB0A8A" w:rsidP="0091654B"/>
    <w:p w:rsidR="00EB0A8A" w:rsidRPr="0091654B" w:rsidRDefault="00EB0A8A" w:rsidP="0091654B"/>
    <w:sectPr w:rsidR="00EB0A8A" w:rsidRPr="0091654B" w:rsidSect="00BA698B">
      <w:headerReference w:type="default" r:id="rId11"/>
      <w:footerReference w:type="even" r:id="rId12"/>
      <w:footerReference w:type="default" r:id="rId13"/>
      <w:pgSz w:w="11906" w:h="16838" w:code="9"/>
      <w:pgMar w:top="1531" w:right="1106" w:bottom="737" w:left="1259" w:header="720" w:footer="720"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8FE" w:rsidRDefault="009118FE">
      <w:r>
        <w:separator/>
      </w:r>
    </w:p>
  </w:endnote>
  <w:endnote w:type="continuationSeparator" w:id="0">
    <w:p w:rsidR="009118FE" w:rsidRDefault="009118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楷体_GB2312">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FF" w:rsidRDefault="008C2C9C" w:rsidP="00AE0230">
    <w:pPr>
      <w:pStyle w:val="a4"/>
      <w:framePr w:wrap="around" w:vAnchor="text" w:hAnchor="margin" w:xAlign="center" w:y="1"/>
      <w:rPr>
        <w:rStyle w:val="af0"/>
      </w:rPr>
    </w:pPr>
    <w:r>
      <w:rPr>
        <w:rStyle w:val="af0"/>
      </w:rPr>
      <w:fldChar w:fldCharType="begin"/>
    </w:r>
    <w:r w:rsidR="00FA0BFF">
      <w:rPr>
        <w:rStyle w:val="af0"/>
      </w:rPr>
      <w:instrText xml:space="preserve">PAGE  </w:instrText>
    </w:r>
    <w:r>
      <w:rPr>
        <w:rStyle w:val="af0"/>
      </w:rPr>
      <w:fldChar w:fldCharType="end"/>
    </w:r>
  </w:p>
  <w:p w:rsidR="00FA0BFF" w:rsidRDefault="00FA0BFF">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FF" w:rsidRDefault="008C2C9C" w:rsidP="00AE0230">
    <w:pPr>
      <w:pStyle w:val="a4"/>
      <w:framePr w:wrap="around" w:vAnchor="text" w:hAnchor="margin" w:xAlign="center" w:y="1"/>
      <w:rPr>
        <w:rStyle w:val="af0"/>
      </w:rPr>
    </w:pPr>
    <w:r>
      <w:rPr>
        <w:rStyle w:val="af0"/>
      </w:rPr>
      <w:fldChar w:fldCharType="begin"/>
    </w:r>
    <w:r w:rsidR="00FA0BFF">
      <w:rPr>
        <w:rStyle w:val="af0"/>
      </w:rPr>
      <w:instrText xml:space="preserve">PAGE  </w:instrText>
    </w:r>
    <w:r>
      <w:rPr>
        <w:rStyle w:val="af0"/>
      </w:rPr>
      <w:fldChar w:fldCharType="separate"/>
    </w:r>
    <w:r w:rsidR="00F54768">
      <w:rPr>
        <w:rStyle w:val="af0"/>
        <w:noProof/>
      </w:rPr>
      <w:t>1</w:t>
    </w:r>
    <w:r>
      <w:rPr>
        <w:rStyle w:val="af0"/>
      </w:rPr>
      <w:fldChar w:fldCharType="end"/>
    </w:r>
  </w:p>
  <w:p w:rsidR="00FA0BFF" w:rsidRDefault="00FA0BF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8FE" w:rsidRDefault="009118FE">
      <w:r>
        <w:separator/>
      </w:r>
    </w:p>
  </w:footnote>
  <w:footnote w:type="continuationSeparator" w:id="0">
    <w:p w:rsidR="009118FE" w:rsidRDefault="009118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FF" w:rsidRDefault="00D546D5" w:rsidP="00B40B29">
    <w:pPr>
      <w:pStyle w:val="a6"/>
      <w:ind w:firstLineChars="0" w:firstLine="0"/>
    </w:pPr>
    <w:r>
      <w:rPr>
        <w:noProof/>
      </w:rPr>
      <w:drawing>
        <wp:anchor distT="0" distB="0" distL="114300" distR="114300" simplePos="0" relativeHeight="251657728" behindDoc="1" locked="0" layoutInCell="1" allowOverlap="1">
          <wp:simplePos x="0" y="0"/>
          <wp:positionH relativeFrom="column">
            <wp:posOffset>-801370</wp:posOffset>
          </wp:positionH>
          <wp:positionV relativeFrom="paragraph">
            <wp:posOffset>-461010</wp:posOffset>
          </wp:positionV>
          <wp:extent cx="7562850" cy="10696575"/>
          <wp:effectExtent l="19050" t="0" r="0" b="0"/>
          <wp:wrapNone/>
          <wp:docPr id="12" name="图片 12" descr="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2"/>
                  <pic:cNvPicPr>
                    <a:picLocks noChangeAspect="1" noChangeArrowheads="1"/>
                  </pic:cNvPicPr>
                </pic:nvPicPr>
                <pic:blipFill>
                  <a:blip r:embed="rId1"/>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2A33"/>
    <w:multiLevelType w:val="multilevel"/>
    <w:tmpl w:val="503EDF9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0CF3C0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2">
    <w:nsid w:val="016A5C5C"/>
    <w:multiLevelType w:val="multilevel"/>
    <w:tmpl w:val="B8E6DE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788116D"/>
    <w:multiLevelType w:val="multilevel"/>
    <w:tmpl w:val="E3608E7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BEE61CA"/>
    <w:multiLevelType w:val="multilevel"/>
    <w:tmpl w:val="15D25CC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nsid w:val="0DC21025"/>
    <w:multiLevelType w:val="multilevel"/>
    <w:tmpl w:val="F306B89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nsid w:val="0F1C555D"/>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
    <w:nsid w:val="0F7D5174"/>
    <w:multiLevelType w:val="multilevel"/>
    <w:tmpl w:val="58B0A9C0"/>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709"/>
      </w:pPr>
      <w:rPr>
        <w:rFonts w:hint="eastAsia"/>
      </w:rPr>
    </w:lvl>
    <w:lvl w:ilvl="3">
      <w:start w:val="1"/>
      <w:numFmt w:val="decimal"/>
      <w:pStyle w:val="4"/>
      <w:lvlText w:val="%1.%2.%3.%4."/>
      <w:lvlJc w:val="left"/>
      <w:pPr>
        <w:tabs>
          <w:tab w:val="num" w:pos="851"/>
        </w:tabs>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14CE699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nsid w:val="173632E8"/>
    <w:multiLevelType w:val="multilevel"/>
    <w:tmpl w:val="CB08710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1BBF1AFC"/>
    <w:multiLevelType w:val="multilevel"/>
    <w:tmpl w:val="C428E82A"/>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1C4821E1"/>
    <w:multiLevelType w:val="multilevel"/>
    <w:tmpl w:val="32E864A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1E2B1C90"/>
    <w:multiLevelType w:val="multilevel"/>
    <w:tmpl w:val="860AD10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227C2656"/>
    <w:multiLevelType w:val="multilevel"/>
    <w:tmpl w:val="B37C37F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23244C9A"/>
    <w:multiLevelType w:val="multilevel"/>
    <w:tmpl w:val="CBB806EA"/>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259629F8"/>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6">
    <w:nsid w:val="27B451DC"/>
    <w:multiLevelType w:val="hybridMultilevel"/>
    <w:tmpl w:val="F53CC966"/>
    <w:lvl w:ilvl="0" w:tplc="6CEC2EE2">
      <w:start w:val="1"/>
      <w:numFmt w:val="bullet"/>
      <w:pStyle w:val="10"/>
      <w:lvlText w:val=""/>
      <w:lvlJc w:val="left"/>
      <w:pPr>
        <w:tabs>
          <w:tab w:val="num" w:pos="1259"/>
        </w:tabs>
        <w:ind w:left="1259"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2AFD5776"/>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50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436"/>
        </w:tabs>
        <w:ind w:left="1984" w:hanging="708"/>
      </w:pPr>
    </w:lvl>
    <w:lvl w:ilvl="4">
      <w:start w:val="1"/>
      <w:numFmt w:val="decimal"/>
      <w:lvlText w:val="%1.%2.%3.%4.%5"/>
      <w:lvlJc w:val="left"/>
      <w:pPr>
        <w:tabs>
          <w:tab w:val="num" w:pos="4221"/>
        </w:tabs>
        <w:ind w:left="2551" w:hanging="850"/>
      </w:pPr>
    </w:lvl>
    <w:lvl w:ilvl="5">
      <w:start w:val="1"/>
      <w:numFmt w:val="decimal"/>
      <w:lvlText w:val="%1.%2.%3.%4.%5.%6"/>
      <w:lvlJc w:val="left"/>
      <w:pPr>
        <w:tabs>
          <w:tab w:val="num" w:pos="5366"/>
        </w:tabs>
        <w:ind w:left="3260" w:hanging="1134"/>
      </w:pPr>
    </w:lvl>
    <w:lvl w:ilvl="6">
      <w:start w:val="1"/>
      <w:numFmt w:val="decimal"/>
      <w:lvlText w:val="%1.%2.%3.%4.%5.%6.%7"/>
      <w:lvlJc w:val="left"/>
      <w:pPr>
        <w:tabs>
          <w:tab w:val="num" w:pos="6151"/>
        </w:tabs>
        <w:ind w:left="3827" w:hanging="1276"/>
      </w:pPr>
    </w:lvl>
    <w:lvl w:ilvl="7">
      <w:start w:val="1"/>
      <w:numFmt w:val="decimal"/>
      <w:lvlText w:val="%1.%2.%3.%4.%5.%6.%7.%8"/>
      <w:lvlJc w:val="left"/>
      <w:pPr>
        <w:tabs>
          <w:tab w:val="num" w:pos="6936"/>
        </w:tabs>
        <w:ind w:left="4394" w:hanging="1418"/>
      </w:pPr>
    </w:lvl>
    <w:lvl w:ilvl="8">
      <w:start w:val="1"/>
      <w:numFmt w:val="decimal"/>
      <w:lvlText w:val="%1.%2.%3.%4.%5.%6.%7.%8.%9"/>
      <w:lvlJc w:val="left"/>
      <w:pPr>
        <w:tabs>
          <w:tab w:val="num" w:pos="8082"/>
        </w:tabs>
        <w:ind w:left="5102" w:hanging="1700"/>
      </w:pPr>
    </w:lvl>
  </w:abstractNum>
  <w:abstractNum w:abstractNumId="18">
    <w:nsid w:val="30F96D68"/>
    <w:multiLevelType w:val="multilevel"/>
    <w:tmpl w:val="8252E8E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992"/>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9">
    <w:nsid w:val="398E2908"/>
    <w:multiLevelType w:val="multilevel"/>
    <w:tmpl w:val="0900BCA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AA92C64"/>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21">
    <w:nsid w:val="3B2C4BB8"/>
    <w:multiLevelType w:val="multilevel"/>
    <w:tmpl w:val="7D6AD8B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3B71117C"/>
    <w:multiLevelType w:val="multilevel"/>
    <w:tmpl w:val="C3AAEB1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C5E1B86"/>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24">
    <w:nsid w:val="3CCC2C0A"/>
    <w:multiLevelType w:val="multilevel"/>
    <w:tmpl w:val="E1203EA8"/>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5">
    <w:nsid w:val="3CE131EE"/>
    <w:multiLevelType w:val="multilevel"/>
    <w:tmpl w:val="A55EA4D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nsid w:val="426B33E7"/>
    <w:multiLevelType w:val="hybridMultilevel"/>
    <w:tmpl w:val="5AEC7192"/>
    <w:lvl w:ilvl="0" w:tplc="04090001">
      <w:start w:val="1"/>
      <w:numFmt w:val="bullet"/>
      <w:lvlText w:val=""/>
      <w:lvlJc w:val="left"/>
      <w:pPr>
        <w:ind w:left="84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3E73E3C"/>
    <w:multiLevelType w:val="multilevel"/>
    <w:tmpl w:val="CD8C30D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8">
    <w:nsid w:val="449D794B"/>
    <w:multiLevelType w:val="multilevel"/>
    <w:tmpl w:val="F21E0D4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4B7A5C61"/>
    <w:multiLevelType w:val="multilevel"/>
    <w:tmpl w:val="F0269DE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4C4D5E0C"/>
    <w:multiLevelType w:val="multilevel"/>
    <w:tmpl w:val="E6EC723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nsid w:val="4D2E1581"/>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2">
    <w:nsid w:val="50CC7705"/>
    <w:multiLevelType w:val="multilevel"/>
    <w:tmpl w:val="533C7D8E"/>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57D54AF6"/>
    <w:multiLevelType w:val="multilevel"/>
    <w:tmpl w:val="F9D62A0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nsid w:val="5D7A5608"/>
    <w:multiLevelType w:val="hybridMultilevel"/>
    <w:tmpl w:val="49F0EECE"/>
    <w:lvl w:ilvl="0" w:tplc="EB1E7B78">
      <w:start w:val="1"/>
      <w:numFmt w:val="bullet"/>
      <w:pStyle w:val="20"/>
      <w:lvlText w:val=""/>
      <w:lvlJc w:val="left"/>
      <w:pPr>
        <w:tabs>
          <w:tab w:val="num" w:pos="1678"/>
        </w:tabs>
        <w:ind w:left="1678" w:hanging="419"/>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nsid w:val="5D955CED"/>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50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436"/>
        </w:tabs>
        <w:ind w:left="1984" w:hanging="708"/>
      </w:pPr>
    </w:lvl>
    <w:lvl w:ilvl="4">
      <w:start w:val="1"/>
      <w:numFmt w:val="decimal"/>
      <w:lvlText w:val="%1.%2.%3.%4.%5"/>
      <w:lvlJc w:val="left"/>
      <w:pPr>
        <w:tabs>
          <w:tab w:val="num" w:pos="4221"/>
        </w:tabs>
        <w:ind w:left="2551" w:hanging="850"/>
      </w:pPr>
    </w:lvl>
    <w:lvl w:ilvl="5">
      <w:start w:val="1"/>
      <w:numFmt w:val="decimal"/>
      <w:lvlText w:val="%1.%2.%3.%4.%5.%6"/>
      <w:lvlJc w:val="left"/>
      <w:pPr>
        <w:tabs>
          <w:tab w:val="num" w:pos="5366"/>
        </w:tabs>
        <w:ind w:left="3260" w:hanging="1134"/>
      </w:pPr>
    </w:lvl>
    <w:lvl w:ilvl="6">
      <w:start w:val="1"/>
      <w:numFmt w:val="decimal"/>
      <w:lvlText w:val="%1.%2.%3.%4.%5.%6.%7"/>
      <w:lvlJc w:val="left"/>
      <w:pPr>
        <w:tabs>
          <w:tab w:val="num" w:pos="6151"/>
        </w:tabs>
        <w:ind w:left="3827" w:hanging="1276"/>
      </w:pPr>
    </w:lvl>
    <w:lvl w:ilvl="7">
      <w:start w:val="1"/>
      <w:numFmt w:val="decimal"/>
      <w:lvlText w:val="%1.%2.%3.%4.%5.%6.%7.%8"/>
      <w:lvlJc w:val="left"/>
      <w:pPr>
        <w:tabs>
          <w:tab w:val="num" w:pos="6936"/>
        </w:tabs>
        <w:ind w:left="4394" w:hanging="1418"/>
      </w:pPr>
    </w:lvl>
    <w:lvl w:ilvl="8">
      <w:start w:val="1"/>
      <w:numFmt w:val="decimal"/>
      <w:lvlText w:val="%1.%2.%3.%4.%5.%6.%7.%8.%9"/>
      <w:lvlJc w:val="left"/>
      <w:pPr>
        <w:tabs>
          <w:tab w:val="num" w:pos="8082"/>
        </w:tabs>
        <w:ind w:left="5102" w:hanging="1700"/>
      </w:pPr>
    </w:lvl>
  </w:abstractNum>
  <w:abstractNum w:abstractNumId="36">
    <w:nsid w:val="5F910CFD"/>
    <w:multiLevelType w:val="multilevel"/>
    <w:tmpl w:val="9552D6D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7">
    <w:nsid w:val="60515691"/>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50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436"/>
        </w:tabs>
        <w:ind w:left="1984" w:hanging="708"/>
      </w:pPr>
    </w:lvl>
    <w:lvl w:ilvl="4">
      <w:start w:val="1"/>
      <w:numFmt w:val="decimal"/>
      <w:lvlText w:val="%1.%2.%3.%4.%5"/>
      <w:lvlJc w:val="left"/>
      <w:pPr>
        <w:tabs>
          <w:tab w:val="num" w:pos="4221"/>
        </w:tabs>
        <w:ind w:left="2551" w:hanging="850"/>
      </w:pPr>
    </w:lvl>
    <w:lvl w:ilvl="5">
      <w:start w:val="1"/>
      <w:numFmt w:val="decimal"/>
      <w:lvlText w:val="%1.%2.%3.%4.%5.%6"/>
      <w:lvlJc w:val="left"/>
      <w:pPr>
        <w:tabs>
          <w:tab w:val="num" w:pos="5366"/>
        </w:tabs>
        <w:ind w:left="3260" w:hanging="1134"/>
      </w:pPr>
    </w:lvl>
    <w:lvl w:ilvl="6">
      <w:start w:val="1"/>
      <w:numFmt w:val="decimal"/>
      <w:lvlText w:val="%1.%2.%3.%4.%5.%6.%7"/>
      <w:lvlJc w:val="left"/>
      <w:pPr>
        <w:tabs>
          <w:tab w:val="num" w:pos="6151"/>
        </w:tabs>
        <w:ind w:left="3827" w:hanging="1276"/>
      </w:pPr>
    </w:lvl>
    <w:lvl w:ilvl="7">
      <w:start w:val="1"/>
      <w:numFmt w:val="decimal"/>
      <w:lvlText w:val="%1.%2.%3.%4.%5.%6.%7.%8"/>
      <w:lvlJc w:val="left"/>
      <w:pPr>
        <w:tabs>
          <w:tab w:val="num" w:pos="6936"/>
        </w:tabs>
        <w:ind w:left="4394" w:hanging="1418"/>
      </w:pPr>
    </w:lvl>
    <w:lvl w:ilvl="8">
      <w:start w:val="1"/>
      <w:numFmt w:val="decimal"/>
      <w:lvlText w:val="%1.%2.%3.%4.%5.%6.%7.%8.%9"/>
      <w:lvlJc w:val="left"/>
      <w:pPr>
        <w:tabs>
          <w:tab w:val="num" w:pos="8082"/>
        </w:tabs>
        <w:ind w:left="5102" w:hanging="1700"/>
      </w:pPr>
    </w:lvl>
  </w:abstractNum>
  <w:abstractNum w:abstractNumId="38">
    <w:nsid w:val="663A03AF"/>
    <w:multiLevelType w:val="hybridMultilevel"/>
    <w:tmpl w:val="E54EA802"/>
    <w:lvl w:ilvl="0" w:tplc="04090001">
      <w:start w:val="1"/>
      <w:numFmt w:val="bullet"/>
      <w:lvlText w:val=""/>
      <w:lvlJc w:val="left"/>
      <w:pPr>
        <w:ind w:left="84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8AB43B0"/>
    <w:multiLevelType w:val="multilevel"/>
    <w:tmpl w:val="42E2233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0">
    <w:nsid w:val="696A6522"/>
    <w:multiLevelType w:val="multilevel"/>
    <w:tmpl w:val="5D96D03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6C430333"/>
    <w:multiLevelType w:val="multilevel"/>
    <w:tmpl w:val="9552D6D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2">
    <w:nsid w:val="711F74BD"/>
    <w:multiLevelType w:val="multilevel"/>
    <w:tmpl w:val="42E2233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3">
    <w:nsid w:val="7846716F"/>
    <w:multiLevelType w:val="hybridMultilevel"/>
    <w:tmpl w:val="F39C2EA2"/>
    <w:lvl w:ilvl="0" w:tplc="45F2D86C">
      <w:start w:val="1"/>
      <w:numFmt w:val="decimal"/>
      <w:lvlText w:val="图表%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B814F08"/>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45">
    <w:nsid w:val="7B897F57"/>
    <w:multiLevelType w:val="hybridMultilevel"/>
    <w:tmpl w:val="807C9C9C"/>
    <w:lvl w:ilvl="0" w:tplc="04090001">
      <w:start w:val="1"/>
      <w:numFmt w:val="bullet"/>
      <w:lvlText w:val=""/>
      <w:lvlJc w:val="left"/>
      <w:pPr>
        <w:ind w:left="84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7CBC09D2"/>
    <w:multiLevelType w:val="multilevel"/>
    <w:tmpl w:val="F21E0D4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 w:numId="2">
    <w:abstractNumId w:val="4"/>
  </w:num>
  <w:num w:numId="3">
    <w:abstractNumId w:val="24"/>
  </w:num>
  <w:num w:numId="4">
    <w:abstractNumId w:val="18"/>
  </w:num>
  <w:num w:numId="5">
    <w:abstractNumId w:val="23"/>
  </w:num>
  <w:num w:numId="6">
    <w:abstractNumId w:val="32"/>
  </w:num>
  <w:num w:numId="7">
    <w:abstractNumId w:val="12"/>
  </w:num>
  <w:num w:numId="8">
    <w:abstractNumId w:val="33"/>
  </w:num>
  <w:num w:numId="9">
    <w:abstractNumId w:val="29"/>
  </w:num>
  <w:num w:numId="10">
    <w:abstractNumId w:val="19"/>
  </w:num>
  <w:num w:numId="11">
    <w:abstractNumId w:val="5"/>
  </w:num>
  <w:num w:numId="12">
    <w:abstractNumId w:val="17"/>
  </w:num>
  <w:num w:numId="13">
    <w:abstractNumId w:val="14"/>
  </w:num>
  <w:num w:numId="14">
    <w:abstractNumId w:val="1"/>
  </w:num>
  <w:num w:numId="15">
    <w:abstractNumId w:val="27"/>
  </w:num>
  <w:num w:numId="16">
    <w:abstractNumId w:val="41"/>
  </w:num>
  <w:num w:numId="17">
    <w:abstractNumId w:val="9"/>
  </w:num>
  <w:num w:numId="18">
    <w:abstractNumId w:val="36"/>
  </w:num>
  <w:num w:numId="19">
    <w:abstractNumId w:val="28"/>
  </w:num>
  <w:num w:numId="20">
    <w:abstractNumId w:val="46"/>
  </w:num>
  <w:num w:numId="21">
    <w:abstractNumId w:val="22"/>
  </w:num>
  <w:num w:numId="22">
    <w:abstractNumId w:val="40"/>
  </w:num>
  <w:num w:numId="23">
    <w:abstractNumId w:val="11"/>
  </w:num>
  <w:num w:numId="24">
    <w:abstractNumId w:val="3"/>
  </w:num>
  <w:num w:numId="25">
    <w:abstractNumId w:val="21"/>
  </w:num>
  <w:num w:numId="26">
    <w:abstractNumId w:val="30"/>
  </w:num>
  <w:num w:numId="27">
    <w:abstractNumId w:val="20"/>
  </w:num>
  <w:num w:numId="28">
    <w:abstractNumId w:val="25"/>
  </w:num>
  <w:num w:numId="29">
    <w:abstractNumId w:val="13"/>
  </w:num>
  <w:num w:numId="30">
    <w:abstractNumId w:val="10"/>
  </w:num>
  <w:num w:numId="31">
    <w:abstractNumId w:val="2"/>
  </w:num>
  <w:num w:numId="32">
    <w:abstractNumId w:val="31"/>
  </w:num>
  <w:num w:numId="33">
    <w:abstractNumId w:val="37"/>
  </w:num>
  <w:num w:numId="34">
    <w:abstractNumId w:val="35"/>
  </w:num>
  <w:num w:numId="35">
    <w:abstractNumId w:val="7"/>
  </w:num>
  <w:num w:numId="36">
    <w:abstractNumId w:val="43"/>
  </w:num>
  <w:num w:numId="37">
    <w:abstractNumId w:val="16"/>
  </w:num>
  <w:num w:numId="38">
    <w:abstractNumId w:val="44"/>
  </w:num>
  <w:num w:numId="39">
    <w:abstractNumId w:val="34"/>
  </w:num>
  <w:num w:numId="40">
    <w:abstractNumId w:val="15"/>
  </w:num>
  <w:num w:numId="41">
    <w:abstractNumId w:val="6"/>
  </w:num>
  <w:num w:numId="42">
    <w:abstractNumId w:val="8"/>
  </w:num>
  <w:num w:numId="43">
    <w:abstractNumId w:val="42"/>
  </w:num>
  <w:num w:numId="44">
    <w:abstractNumId w:val="39"/>
  </w:num>
  <w:num w:numId="45">
    <w:abstractNumId w:val="43"/>
  </w:num>
  <w:num w:numId="4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stylePaneFormatFilter w:val="3F01"/>
  <w:defaultTabStop w:val="420"/>
  <w:drawingGridVerticalSpacing w:val="156"/>
  <w:displayHorizontalDrawingGridEvery w:val="0"/>
  <w:displayVerticalDrawingGridEvery w:val="2"/>
  <w:characterSpacingControl w:val="compressPunctuation"/>
  <w:hdrShapeDefaults>
    <o:shapedefaults v:ext="edit" spidmax="5222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7D82"/>
    <w:rsid w:val="0000355F"/>
    <w:rsid w:val="000037EB"/>
    <w:rsid w:val="000563C9"/>
    <w:rsid w:val="00071197"/>
    <w:rsid w:val="000832DF"/>
    <w:rsid w:val="000E4B86"/>
    <w:rsid w:val="000E4DEC"/>
    <w:rsid w:val="0011044F"/>
    <w:rsid w:val="0012110B"/>
    <w:rsid w:val="00121A50"/>
    <w:rsid w:val="00123B4D"/>
    <w:rsid w:val="00124AF7"/>
    <w:rsid w:val="00175DAB"/>
    <w:rsid w:val="001C25D7"/>
    <w:rsid w:val="001D5564"/>
    <w:rsid w:val="001E16B3"/>
    <w:rsid w:val="001E52C8"/>
    <w:rsid w:val="00213420"/>
    <w:rsid w:val="002249FA"/>
    <w:rsid w:val="002316FE"/>
    <w:rsid w:val="00264500"/>
    <w:rsid w:val="002852E7"/>
    <w:rsid w:val="002A203E"/>
    <w:rsid w:val="002A4AC1"/>
    <w:rsid w:val="002C46B0"/>
    <w:rsid w:val="002D326B"/>
    <w:rsid w:val="0030108F"/>
    <w:rsid w:val="0033332E"/>
    <w:rsid w:val="0033401D"/>
    <w:rsid w:val="003349DB"/>
    <w:rsid w:val="00335643"/>
    <w:rsid w:val="0035505E"/>
    <w:rsid w:val="0035569E"/>
    <w:rsid w:val="00371D83"/>
    <w:rsid w:val="00376734"/>
    <w:rsid w:val="00377A3D"/>
    <w:rsid w:val="003851C0"/>
    <w:rsid w:val="00387EA3"/>
    <w:rsid w:val="003A08C4"/>
    <w:rsid w:val="003A18EB"/>
    <w:rsid w:val="003B0AAD"/>
    <w:rsid w:val="003C23CF"/>
    <w:rsid w:val="003C2AE8"/>
    <w:rsid w:val="003C3F8A"/>
    <w:rsid w:val="003D7F97"/>
    <w:rsid w:val="003E2E1D"/>
    <w:rsid w:val="003E32F3"/>
    <w:rsid w:val="003F00AC"/>
    <w:rsid w:val="003F6A97"/>
    <w:rsid w:val="00402C8A"/>
    <w:rsid w:val="00407020"/>
    <w:rsid w:val="004374E7"/>
    <w:rsid w:val="004456B9"/>
    <w:rsid w:val="00452BD7"/>
    <w:rsid w:val="0046054C"/>
    <w:rsid w:val="00470F81"/>
    <w:rsid w:val="00473517"/>
    <w:rsid w:val="00477310"/>
    <w:rsid w:val="0049692D"/>
    <w:rsid w:val="004A1640"/>
    <w:rsid w:val="004A693F"/>
    <w:rsid w:val="004B6363"/>
    <w:rsid w:val="004B7812"/>
    <w:rsid w:val="004C486A"/>
    <w:rsid w:val="004C66AD"/>
    <w:rsid w:val="004D3585"/>
    <w:rsid w:val="004D5363"/>
    <w:rsid w:val="004E636C"/>
    <w:rsid w:val="004F12A7"/>
    <w:rsid w:val="00507901"/>
    <w:rsid w:val="00507D82"/>
    <w:rsid w:val="00515B20"/>
    <w:rsid w:val="0054070F"/>
    <w:rsid w:val="005412A2"/>
    <w:rsid w:val="005643DB"/>
    <w:rsid w:val="00564676"/>
    <w:rsid w:val="00567812"/>
    <w:rsid w:val="00572B2F"/>
    <w:rsid w:val="0057438A"/>
    <w:rsid w:val="005770F5"/>
    <w:rsid w:val="00584CAE"/>
    <w:rsid w:val="00591496"/>
    <w:rsid w:val="005951FB"/>
    <w:rsid w:val="005F00DF"/>
    <w:rsid w:val="005F1509"/>
    <w:rsid w:val="005F205F"/>
    <w:rsid w:val="00653C9D"/>
    <w:rsid w:val="00662552"/>
    <w:rsid w:val="00666879"/>
    <w:rsid w:val="006761F1"/>
    <w:rsid w:val="00687373"/>
    <w:rsid w:val="006A46D6"/>
    <w:rsid w:val="006C61E8"/>
    <w:rsid w:val="006E16F6"/>
    <w:rsid w:val="006E1A88"/>
    <w:rsid w:val="006F322E"/>
    <w:rsid w:val="00763608"/>
    <w:rsid w:val="00787148"/>
    <w:rsid w:val="00796135"/>
    <w:rsid w:val="007B6C7C"/>
    <w:rsid w:val="007C6FF6"/>
    <w:rsid w:val="007D2BAB"/>
    <w:rsid w:val="007D6777"/>
    <w:rsid w:val="00800A7A"/>
    <w:rsid w:val="00823856"/>
    <w:rsid w:val="008305E2"/>
    <w:rsid w:val="00855023"/>
    <w:rsid w:val="00862AD0"/>
    <w:rsid w:val="008838F1"/>
    <w:rsid w:val="0089238F"/>
    <w:rsid w:val="008A6DDB"/>
    <w:rsid w:val="008B3E5E"/>
    <w:rsid w:val="008B5E15"/>
    <w:rsid w:val="008C2C9C"/>
    <w:rsid w:val="008D3589"/>
    <w:rsid w:val="008F47B0"/>
    <w:rsid w:val="008F58F3"/>
    <w:rsid w:val="00904866"/>
    <w:rsid w:val="00905129"/>
    <w:rsid w:val="009118FE"/>
    <w:rsid w:val="0091654B"/>
    <w:rsid w:val="00923AC4"/>
    <w:rsid w:val="00950FD4"/>
    <w:rsid w:val="00956797"/>
    <w:rsid w:val="009803E6"/>
    <w:rsid w:val="00981E4A"/>
    <w:rsid w:val="009A09CD"/>
    <w:rsid w:val="009C117A"/>
    <w:rsid w:val="009C589E"/>
    <w:rsid w:val="00A04ABA"/>
    <w:rsid w:val="00A21AAD"/>
    <w:rsid w:val="00A21BEA"/>
    <w:rsid w:val="00A3152B"/>
    <w:rsid w:val="00A32CCB"/>
    <w:rsid w:val="00A332B2"/>
    <w:rsid w:val="00A40AA0"/>
    <w:rsid w:val="00A91017"/>
    <w:rsid w:val="00A93385"/>
    <w:rsid w:val="00A949B0"/>
    <w:rsid w:val="00AA006C"/>
    <w:rsid w:val="00AB3DC9"/>
    <w:rsid w:val="00AB5804"/>
    <w:rsid w:val="00AC2065"/>
    <w:rsid w:val="00AD67FE"/>
    <w:rsid w:val="00AE0230"/>
    <w:rsid w:val="00AE10BB"/>
    <w:rsid w:val="00B13057"/>
    <w:rsid w:val="00B13E45"/>
    <w:rsid w:val="00B16C0B"/>
    <w:rsid w:val="00B31481"/>
    <w:rsid w:val="00B40B29"/>
    <w:rsid w:val="00B42A12"/>
    <w:rsid w:val="00B4683B"/>
    <w:rsid w:val="00B70604"/>
    <w:rsid w:val="00B721E7"/>
    <w:rsid w:val="00BA1258"/>
    <w:rsid w:val="00BA698B"/>
    <w:rsid w:val="00BB205F"/>
    <w:rsid w:val="00BB4B33"/>
    <w:rsid w:val="00BB7A99"/>
    <w:rsid w:val="00BC0804"/>
    <w:rsid w:val="00BE5AA3"/>
    <w:rsid w:val="00BF326A"/>
    <w:rsid w:val="00C1596C"/>
    <w:rsid w:val="00C22CDB"/>
    <w:rsid w:val="00C30CF9"/>
    <w:rsid w:val="00C562BD"/>
    <w:rsid w:val="00C70982"/>
    <w:rsid w:val="00C81B7B"/>
    <w:rsid w:val="00CA2215"/>
    <w:rsid w:val="00CA2B00"/>
    <w:rsid w:val="00CA3019"/>
    <w:rsid w:val="00CA642A"/>
    <w:rsid w:val="00CB0317"/>
    <w:rsid w:val="00CB3BEB"/>
    <w:rsid w:val="00CB6D8F"/>
    <w:rsid w:val="00CB6DF3"/>
    <w:rsid w:val="00CD1DE4"/>
    <w:rsid w:val="00D04A79"/>
    <w:rsid w:val="00D1163E"/>
    <w:rsid w:val="00D2263E"/>
    <w:rsid w:val="00D35F84"/>
    <w:rsid w:val="00D37EEC"/>
    <w:rsid w:val="00D43515"/>
    <w:rsid w:val="00D546D5"/>
    <w:rsid w:val="00D7423B"/>
    <w:rsid w:val="00D81610"/>
    <w:rsid w:val="00D86373"/>
    <w:rsid w:val="00D950A6"/>
    <w:rsid w:val="00D95657"/>
    <w:rsid w:val="00DA3755"/>
    <w:rsid w:val="00DB4A36"/>
    <w:rsid w:val="00DB7612"/>
    <w:rsid w:val="00DC5190"/>
    <w:rsid w:val="00DD55D6"/>
    <w:rsid w:val="00DE1BF5"/>
    <w:rsid w:val="00DF03FF"/>
    <w:rsid w:val="00DF4419"/>
    <w:rsid w:val="00E0062B"/>
    <w:rsid w:val="00E07DB1"/>
    <w:rsid w:val="00E26D85"/>
    <w:rsid w:val="00E361EC"/>
    <w:rsid w:val="00E42493"/>
    <w:rsid w:val="00E431C6"/>
    <w:rsid w:val="00E46964"/>
    <w:rsid w:val="00E52D7D"/>
    <w:rsid w:val="00E5304A"/>
    <w:rsid w:val="00E730D0"/>
    <w:rsid w:val="00E74906"/>
    <w:rsid w:val="00E912D8"/>
    <w:rsid w:val="00E941CD"/>
    <w:rsid w:val="00EB0A8A"/>
    <w:rsid w:val="00ED58F8"/>
    <w:rsid w:val="00EE20AA"/>
    <w:rsid w:val="00EE5448"/>
    <w:rsid w:val="00EF33A9"/>
    <w:rsid w:val="00F00F9B"/>
    <w:rsid w:val="00F076A0"/>
    <w:rsid w:val="00F17D93"/>
    <w:rsid w:val="00F21E2A"/>
    <w:rsid w:val="00F30C85"/>
    <w:rsid w:val="00F3513B"/>
    <w:rsid w:val="00F54768"/>
    <w:rsid w:val="00F85D40"/>
    <w:rsid w:val="00F96CA7"/>
    <w:rsid w:val="00FA0BFF"/>
    <w:rsid w:val="00FA56C6"/>
    <w:rsid w:val="00FC098D"/>
    <w:rsid w:val="00FC5639"/>
    <w:rsid w:val="00FD1590"/>
    <w:rsid w:val="00FD40CE"/>
    <w:rsid w:val="00FE05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4866"/>
    <w:pPr>
      <w:widowControl w:val="0"/>
      <w:jc w:val="both"/>
    </w:pPr>
    <w:rPr>
      <w:rFonts w:ascii="Arial" w:hAnsi="Arial"/>
      <w:kern w:val="2"/>
      <w:sz w:val="21"/>
      <w:szCs w:val="24"/>
    </w:rPr>
  </w:style>
  <w:style w:type="paragraph" w:styleId="11">
    <w:name w:val="heading 1"/>
    <w:basedOn w:val="a"/>
    <w:autoRedefine/>
    <w:qFormat/>
    <w:rsid w:val="00213420"/>
    <w:pPr>
      <w:outlineLvl w:val="0"/>
    </w:pPr>
    <w:rPr>
      <w:b/>
      <w:sz w:val="32"/>
    </w:rPr>
  </w:style>
  <w:style w:type="paragraph" w:styleId="21">
    <w:name w:val="heading 2"/>
    <w:basedOn w:val="a"/>
    <w:next w:val="a"/>
    <w:autoRedefine/>
    <w:qFormat/>
    <w:rsid w:val="00213420"/>
    <w:pPr>
      <w:keepNext/>
      <w:keepLines/>
      <w:spacing w:before="260" w:after="260" w:line="416" w:lineRule="auto"/>
      <w:outlineLvl w:val="1"/>
    </w:pPr>
    <w:rPr>
      <w:b/>
      <w:bCs/>
      <w:sz w:val="28"/>
      <w:szCs w:val="32"/>
    </w:rPr>
  </w:style>
  <w:style w:type="paragraph" w:styleId="30">
    <w:name w:val="heading 3"/>
    <w:basedOn w:val="a"/>
    <w:next w:val="a"/>
    <w:qFormat/>
    <w:rsid w:val="004A693F"/>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076A0"/>
    <w:pPr>
      <w:pBdr>
        <w:bottom w:val="single" w:sz="6" w:space="1" w:color="auto"/>
      </w:pBdr>
      <w:tabs>
        <w:tab w:val="center" w:pos="4153"/>
        <w:tab w:val="right" w:pos="8306"/>
      </w:tabs>
      <w:snapToGrid w:val="0"/>
      <w:jc w:val="center"/>
    </w:pPr>
    <w:rPr>
      <w:sz w:val="18"/>
      <w:szCs w:val="18"/>
    </w:rPr>
  </w:style>
  <w:style w:type="paragraph" w:styleId="a4">
    <w:name w:val="footer"/>
    <w:basedOn w:val="a"/>
    <w:rsid w:val="00F076A0"/>
    <w:pPr>
      <w:tabs>
        <w:tab w:val="center" w:pos="4153"/>
        <w:tab w:val="right" w:pos="8306"/>
      </w:tabs>
      <w:snapToGrid w:val="0"/>
      <w:jc w:val="left"/>
    </w:pPr>
    <w:rPr>
      <w:sz w:val="18"/>
      <w:szCs w:val="18"/>
    </w:rPr>
  </w:style>
  <w:style w:type="paragraph" w:customStyle="1" w:styleId="1">
    <w:name w:val="正文标题1"/>
    <w:basedOn w:val="a"/>
    <w:autoRedefine/>
    <w:rsid w:val="005643DB"/>
    <w:pPr>
      <w:pageBreakBefore/>
      <w:numPr>
        <w:numId w:val="35"/>
      </w:numPr>
      <w:spacing w:before="120" w:after="120"/>
      <w:outlineLvl w:val="0"/>
    </w:pPr>
    <w:rPr>
      <w:b/>
      <w:sz w:val="32"/>
    </w:rPr>
  </w:style>
  <w:style w:type="paragraph" w:customStyle="1" w:styleId="2">
    <w:name w:val="正文标题2"/>
    <w:basedOn w:val="a"/>
    <w:autoRedefine/>
    <w:rsid w:val="005643DB"/>
    <w:pPr>
      <w:pageBreakBefore/>
      <w:numPr>
        <w:ilvl w:val="1"/>
        <w:numId w:val="35"/>
      </w:numPr>
      <w:spacing w:before="120" w:after="120"/>
      <w:outlineLvl w:val="1"/>
    </w:pPr>
    <w:rPr>
      <w:b/>
      <w:sz w:val="28"/>
    </w:rPr>
  </w:style>
  <w:style w:type="paragraph" w:customStyle="1" w:styleId="3">
    <w:name w:val="正文标题3"/>
    <w:basedOn w:val="a"/>
    <w:autoRedefine/>
    <w:rsid w:val="00264500"/>
    <w:pPr>
      <w:numPr>
        <w:ilvl w:val="2"/>
        <w:numId w:val="35"/>
      </w:numPr>
      <w:spacing w:before="120" w:after="120"/>
      <w:outlineLvl w:val="2"/>
    </w:pPr>
    <w:rPr>
      <w:b/>
      <w:sz w:val="24"/>
    </w:rPr>
  </w:style>
  <w:style w:type="paragraph" w:customStyle="1" w:styleId="4">
    <w:name w:val="正文标题4"/>
    <w:basedOn w:val="a"/>
    <w:autoRedefine/>
    <w:rsid w:val="00264500"/>
    <w:pPr>
      <w:numPr>
        <w:ilvl w:val="3"/>
        <w:numId w:val="35"/>
      </w:numPr>
      <w:spacing w:before="120" w:after="120"/>
      <w:outlineLvl w:val="3"/>
    </w:pPr>
    <w:rPr>
      <w:b/>
    </w:rPr>
  </w:style>
  <w:style w:type="paragraph" w:customStyle="1" w:styleId="5">
    <w:name w:val="正文标题5"/>
    <w:basedOn w:val="a"/>
    <w:autoRedefine/>
    <w:rsid w:val="00264500"/>
    <w:pPr>
      <w:numPr>
        <w:ilvl w:val="4"/>
        <w:numId w:val="35"/>
      </w:numPr>
      <w:spacing w:before="120" w:after="120"/>
      <w:outlineLvl w:val="4"/>
    </w:pPr>
    <w:rPr>
      <w:b/>
    </w:rPr>
  </w:style>
  <w:style w:type="paragraph" w:customStyle="1" w:styleId="a5">
    <w:name w:val="图表标题"/>
    <w:basedOn w:val="a"/>
    <w:autoRedefine/>
    <w:rsid w:val="006E1A88"/>
    <w:pPr>
      <w:keepNext/>
      <w:spacing w:before="120"/>
    </w:pPr>
    <w:rPr>
      <w:b/>
      <w:szCs w:val="21"/>
    </w:rPr>
  </w:style>
  <w:style w:type="paragraph" w:customStyle="1" w:styleId="a6">
    <w:name w:val="报告正文"/>
    <w:basedOn w:val="a"/>
    <w:autoRedefine/>
    <w:rsid w:val="00AB3DC9"/>
    <w:pPr>
      <w:snapToGrid w:val="0"/>
      <w:spacing w:line="360" w:lineRule="auto"/>
      <w:ind w:firstLineChars="200" w:firstLine="420"/>
    </w:pPr>
    <w:rPr>
      <w:color w:val="0A4058"/>
    </w:rPr>
  </w:style>
  <w:style w:type="paragraph" w:customStyle="1" w:styleId="a7">
    <w:name w:val="表格落款"/>
    <w:basedOn w:val="a"/>
    <w:autoRedefine/>
    <w:rsid w:val="00D86373"/>
    <w:pPr>
      <w:spacing w:after="120"/>
    </w:pPr>
    <w:rPr>
      <w:sz w:val="18"/>
    </w:rPr>
  </w:style>
  <w:style w:type="paragraph" w:customStyle="1" w:styleId="a8">
    <w:name w:val="表格文字"/>
    <w:basedOn w:val="a"/>
    <w:autoRedefine/>
    <w:rsid w:val="003E2E1D"/>
    <w:pPr>
      <w:spacing w:before="120" w:after="120"/>
    </w:pPr>
  </w:style>
  <w:style w:type="paragraph" w:customStyle="1" w:styleId="10">
    <w:name w:val="报告正文1"/>
    <w:basedOn w:val="a"/>
    <w:rsid w:val="004B6363"/>
    <w:pPr>
      <w:numPr>
        <w:numId w:val="37"/>
      </w:numPr>
      <w:spacing w:before="120" w:after="120"/>
    </w:pPr>
  </w:style>
  <w:style w:type="paragraph" w:customStyle="1" w:styleId="20">
    <w:name w:val="报告正文2"/>
    <w:basedOn w:val="a"/>
    <w:autoRedefine/>
    <w:rsid w:val="004B6363"/>
    <w:pPr>
      <w:numPr>
        <w:numId w:val="39"/>
      </w:numPr>
      <w:spacing w:before="120" w:after="120"/>
    </w:pPr>
  </w:style>
  <w:style w:type="paragraph" w:customStyle="1" w:styleId="a9">
    <w:name w:val="摘要标题"/>
    <w:basedOn w:val="a"/>
    <w:autoRedefine/>
    <w:rsid w:val="00796135"/>
    <w:pPr>
      <w:spacing w:before="120" w:after="120"/>
    </w:pPr>
    <w:rPr>
      <w:rFonts w:ascii="微软雅黑" w:eastAsia="微软雅黑" w:hAnsi="微软雅黑"/>
      <w:b/>
      <w:color w:val="0D3A86"/>
      <w:sz w:val="32"/>
      <w:szCs w:val="32"/>
    </w:rPr>
  </w:style>
  <w:style w:type="character" w:styleId="aa">
    <w:name w:val="Hyperlink"/>
    <w:basedOn w:val="a0"/>
    <w:uiPriority w:val="99"/>
    <w:rsid w:val="00E07DB1"/>
    <w:rPr>
      <w:color w:val="0000FF"/>
      <w:u w:val="single"/>
    </w:rPr>
  </w:style>
  <w:style w:type="paragraph" w:customStyle="1" w:styleId="ab">
    <w:name w:val="研究中心联系方式"/>
    <w:basedOn w:val="a"/>
    <w:autoRedefine/>
    <w:rsid w:val="00E07DB1"/>
    <w:pPr>
      <w:spacing w:before="156" w:after="156"/>
    </w:pPr>
  </w:style>
  <w:style w:type="paragraph" w:customStyle="1" w:styleId="ac">
    <w:name w:val="目录标题"/>
    <w:basedOn w:val="a9"/>
    <w:autoRedefine/>
    <w:rsid w:val="00796135"/>
    <w:pPr>
      <w:spacing w:before="360" w:after="360"/>
      <w:jc w:val="center"/>
    </w:pPr>
    <w:rPr>
      <w:color w:val="auto"/>
      <w:sz w:val="44"/>
    </w:rPr>
  </w:style>
  <w:style w:type="paragraph" w:styleId="12">
    <w:name w:val="toc 1"/>
    <w:basedOn w:val="a"/>
    <w:next w:val="a"/>
    <w:autoRedefine/>
    <w:uiPriority w:val="39"/>
    <w:rsid w:val="00473517"/>
    <w:pPr>
      <w:tabs>
        <w:tab w:val="left" w:pos="426"/>
        <w:tab w:val="right" w:leader="dot" w:pos="9531"/>
      </w:tabs>
      <w:spacing w:beforeLines="20"/>
      <w:jc w:val="left"/>
    </w:pPr>
    <w:rPr>
      <w:b/>
      <w:bCs/>
      <w:caps/>
      <w:szCs w:val="20"/>
    </w:rPr>
  </w:style>
  <w:style w:type="paragraph" w:styleId="22">
    <w:name w:val="toc 2"/>
    <w:basedOn w:val="a"/>
    <w:next w:val="a"/>
    <w:autoRedefine/>
    <w:uiPriority w:val="39"/>
    <w:rsid w:val="00FA0BFF"/>
    <w:pPr>
      <w:tabs>
        <w:tab w:val="left" w:pos="993"/>
        <w:tab w:val="right" w:leader="dot" w:pos="9531"/>
      </w:tabs>
      <w:spacing w:beforeLines="20"/>
      <w:ind w:leftChars="200" w:left="200"/>
      <w:jc w:val="left"/>
    </w:pPr>
    <w:rPr>
      <w:smallCaps/>
      <w:szCs w:val="20"/>
    </w:rPr>
  </w:style>
  <w:style w:type="paragraph" w:styleId="ad">
    <w:name w:val="table of figures"/>
    <w:basedOn w:val="a"/>
    <w:next w:val="a"/>
    <w:uiPriority w:val="99"/>
    <w:rsid w:val="004B6363"/>
    <w:pPr>
      <w:ind w:leftChars="200" w:left="200" w:hangingChars="200" w:hanging="200"/>
    </w:pPr>
  </w:style>
  <w:style w:type="table" w:styleId="13">
    <w:name w:val="Table Simple 1"/>
    <w:basedOn w:val="a1"/>
    <w:rsid w:val="003C3F8A"/>
    <w:pPr>
      <w:widowControl w:val="0"/>
      <w:jc w:val="both"/>
    </w:pPr>
    <w:tblPr>
      <w:tblInd w:w="0" w:type="dxa"/>
      <w:tblBorders>
        <w:top w:val="single" w:sz="12" w:space="0" w:color="003366"/>
        <w:bottom w:val="single" w:sz="12" w:space="0" w:color="003366"/>
      </w:tblBorders>
      <w:tblCellMar>
        <w:top w:w="0" w:type="dxa"/>
        <w:left w:w="108" w:type="dxa"/>
        <w:bottom w:w="0" w:type="dxa"/>
        <w:right w:w="108" w:type="dxa"/>
      </w:tblCellMar>
    </w:tblPr>
    <w:tcPr>
      <w:shd w:val="clear" w:color="auto" w:fill="auto"/>
    </w:tcPr>
    <w:tblStylePr w:type="firstRow">
      <w:pPr>
        <w:wordWrap/>
        <w:spacing w:line="240" w:lineRule="auto"/>
      </w:pPr>
      <w:rPr>
        <w:rFonts w:eastAsia="宋体"/>
        <w:b/>
        <w:sz w:val="21"/>
      </w:rPr>
      <w:tblPr/>
      <w:tcPr>
        <w:tcBorders>
          <w:bottom w:val="single" w:sz="6" w:space="0" w:color="003366"/>
        </w:tcBorders>
        <w:vAlign w:val="center"/>
      </w:tcPr>
    </w:tblStylePr>
    <w:tblStylePr w:type="lastRow">
      <w:rPr>
        <w:rFonts w:ascii="Arial" w:eastAsia="宋体" w:hAnsi="Arial"/>
        <w:b/>
        <w:sz w:val="21"/>
      </w:rPr>
      <w:tblPr/>
      <w:tcPr>
        <w:tcBorders>
          <w:top w:val="single" w:sz="6" w:space="0" w:color="003366"/>
        </w:tcBorders>
        <w:shd w:val="clear" w:color="auto" w:fill="auto"/>
      </w:tcPr>
    </w:tblStylePr>
  </w:style>
  <w:style w:type="table" w:styleId="ae">
    <w:name w:val="Table Professional"/>
    <w:basedOn w:val="a1"/>
    <w:rsid w:val="003F6A97"/>
    <w:pPr>
      <w:widowControl w:val="0"/>
      <w:spacing w:line="360" w:lineRule="auto"/>
      <w:jc w:val="both"/>
    </w:pPr>
    <w:rPr>
      <w:sz w:val="21"/>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vAlign w:val="center"/>
    </w:tcPr>
    <w:tblStylePr w:type="firstRow">
      <w:pPr>
        <w:wordWrap/>
        <w:spacing w:line="240" w:lineRule="auto"/>
      </w:pPr>
      <w:rPr>
        <w:rFonts w:ascii="Arial" w:eastAsia="宋体" w:hAnsi="Arial"/>
        <w:b/>
        <w:bCs/>
        <w:color w:val="auto"/>
        <w:sz w:val="21"/>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solid" w:color="000080" w:fill="000080"/>
      </w:tcPr>
    </w:tblStylePr>
    <w:tblStylePr w:type="lastRow">
      <w:rPr>
        <w:rFonts w:ascii="Arial" w:eastAsia="宋体" w:hAnsi="Arial"/>
        <w:b/>
        <w:sz w:val="21"/>
      </w:rPr>
    </w:tblStylePr>
  </w:style>
  <w:style w:type="paragraph" w:styleId="af">
    <w:name w:val="Document Map"/>
    <w:basedOn w:val="a"/>
    <w:semiHidden/>
    <w:rsid w:val="00B70604"/>
    <w:pPr>
      <w:shd w:val="clear" w:color="auto" w:fill="000080"/>
    </w:pPr>
  </w:style>
  <w:style w:type="character" w:styleId="af0">
    <w:name w:val="page number"/>
    <w:basedOn w:val="a0"/>
    <w:rsid w:val="00A93385"/>
  </w:style>
  <w:style w:type="paragraph" w:styleId="31">
    <w:name w:val="toc 3"/>
    <w:basedOn w:val="a"/>
    <w:next w:val="a"/>
    <w:autoRedefine/>
    <w:uiPriority w:val="39"/>
    <w:rsid w:val="00FA0BFF"/>
    <w:pPr>
      <w:tabs>
        <w:tab w:val="left" w:pos="1726"/>
        <w:tab w:val="right" w:leader="dot" w:pos="9531"/>
      </w:tabs>
      <w:spacing w:beforeLines="20"/>
      <w:ind w:leftChars="472" w:left="472"/>
      <w:jc w:val="left"/>
    </w:pPr>
    <w:rPr>
      <w:iCs/>
      <w:szCs w:val="20"/>
    </w:rPr>
  </w:style>
  <w:style w:type="paragraph" w:styleId="af1">
    <w:name w:val="Date"/>
    <w:basedOn w:val="a"/>
    <w:next w:val="a"/>
    <w:link w:val="Char"/>
    <w:rsid w:val="00BB7A99"/>
    <w:pPr>
      <w:ind w:leftChars="2500" w:left="100"/>
    </w:pPr>
  </w:style>
  <w:style w:type="character" w:customStyle="1" w:styleId="Char">
    <w:name w:val="日期 Char"/>
    <w:basedOn w:val="a0"/>
    <w:link w:val="af1"/>
    <w:rsid w:val="00BB7A99"/>
    <w:rPr>
      <w:rFonts w:ascii="Arial" w:hAnsi="Arial"/>
      <w:kern w:val="2"/>
      <w:sz w:val="21"/>
      <w:szCs w:val="24"/>
    </w:rPr>
  </w:style>
  <w:style w:type="paragraph" w:styleId="40">
    <w:name w:val="toc 4"/>
    <w:basedOn w:val="a"/>
    <w:next w:val="a"/>
    <w:autoRedefine/>
    <w:rsid w:val="006761F1"/>
    <w:pPr>
      <w:ind w:left="630"/>
      <w:jc w:val="left"/>
    </w:pPr>
    <w:rPr>
      <w:rFonts w:ascii="Calibri" w:hAnsi="Calibri"/>
      <w:sz w:val="18"/>
      <w:szCs w:val="18"/>
    </w:rPr>
  </w:style>
  <w:style w:type="paragraph" w:styleId="50">
    <w:name w:val="toc 5"/>
    <w:basedOn w:val="a"/>
    <w:next w:val="a"/>
    <w:autoRedefine/>
    <w:rsid w:val="006761F1"/>
    <w:pPr>
      <w:ind w:left="840"/>
      <w:jc w:val="left"/>
    </w:pPr>
    <w:rPr>
      <w:rFonts w:ascii="Calibri" w:hAnsi="Calibri"/>
      <w:sz w:val="18"/>
      <w:szCs w:val="18"/>
    </w:rPr>
  </w:style>
  <w:style w:type="paragraph" w:styleId="6">
    <w:name w:val="toc 6"/>
    <w:basedOn w:val="a"/>
    <w:next w:val="a"/>
    <w:autoRedefine/>
    <w:rsid w:val="006761F1"/>
    <w:pPr>
      <w:ind w:left="1050"/>
      <w:jc w:val="left"/>
    </w:pPr>
    <w:rPr>
      <w:rFonts w:ascii="Calibri" w:hAnsi="Calibri"/>
      <w:sz w:val="18"/>
      <w:szCs w:val="18"/>
    </w:rPr>
  </w:style>
  <w:style w:type="paragraph" w:styleId="7">
    <w:name w:val="toc 7"/>
    <w:basedOn w:val="a"/>
    <w:next w:val="a"/>
    <w:autoRedefine/>
    <w:rsid w:val="006761F1"/>
    <w:pPr>
      <w:ind w:left="1260"/>
      <w:jc w:val="left"/>
    </w:pPr>
    <w:rPr>
      <w:rFonts w:ascii="Calibri" w:hAnsi="Calibri"/>
      <w:sz w:val="18"/>
      <w:szCs w:val="18"/>
    </w:rPr>
  </w:style>
  <w:style w:type="paragraph" w:styleId="8">
    <w:name w:val="toc 8"/>
    <w:basedOn w:val="a"/>
    <w:next w:val="a"/>
    <w:autoRedefine/>
    <w:rsid w:val="006761F1"/>
    <w:pPr>
      <w:ind w:left="1470"/>
      <w:jc w:val="left"/>
    </w:pPr>
    <w:rPr>
      <w:rFonts w:ascii="Calibri" w:hAnsi="Calibri"/>
      <w:sz w:val="18"/>
      <w:szCs w:val="18"/>
    </w:rPr>
  </w:style>
  <w:style w:type="paragraph" w:styleId="9">
    <w:name w:val="toc 9"/>
    <w:basedOn w:val="a"/>
    <w:next w:val="a"/>
    <w:autoRedefine/>
    <w:rsid w:val="006761F1"/>
    <w:pPr>
      <w:ind w:left="1680"/>
      <w:jc w:val="left"/>
    </w:pPr>
    <w:rPr>
      <w:rFonts w:ascii="Calibri" w:hAnsi="Calibri"/>
      <w:sz w:val="18"/>
      <w:szCs w:val="18"/>
    </w:rPr>
  </w:style>
  <w:style w:type="paragraph" w:styleId="af2">
    <w:name w:val="footnote text"/>
    <w:basedOn w:val="a"/>
    <w:link w:val="Char0"/>
    <w:uiPriority w:val="99"/>
    <w:unhideWhenUsed/>
    <w:rsid w:val="00F17D93"/>
    <w:pPr>
      <w:snapToGrid w:val="0"/>
      <w:jc w:val="left"/>
    </w:pPr>
    <w:rPr>
      <w:sz w:val="18"/>
      <w:szCs w:val="18"/>
    </w:rPr>
  </w:style>
  <w:style w:type="character" w:customStyle="1" w:styleId="Char0">
    <w:name w:val="脚注文本 Char"/>
    <w:basedOn w:val="a0"/>
    <w:link w:val="af2"/>
    <w:uiPriority w:val="99"/>
    <w:rsid w:val="00F17D93"/>
    <w:rPr>
      <w:rFonts w:ascii="Arial" w:hAnsi="Arial" w:cs="Times New Roman"/>
      <w:kern w:val="2"/>
      <w:sz w:val="18"/>
      <w:szCs w:val="18"/>
    </w:rPr>
  </w:style>
  <w:style w:type="paragraph" w:styleId="af3">
    <w:name w:val="List Paragraph"/>
    <w:basedOn w:val="a"/>
    <w:uiPriority w:val="34"/>
    <w:qFormat/>
    <w:rsid w:val="00F17D93"/>
    <w:pPr>
      <w:spacing w:line="440" w:lineRule="exact"/>
      <w:ind w:firstLineChars="200" w:firstLine="420"/>
    </w:pPr>
    <w:rPr>
      <w:rFonts w:eastAsia="楷体_GB2312"/>
      <w:szCs w:val="22"/>
    </w:rPr>
  </w:style>
  <w:style w:type="character" w:styleId="af4">
    <w:name w:val="footnote reference"/>
    <w:basedOn w:val="a0"/>
    <w:uiPriority w:val="99"/>
    <w:unhideWhenUsed/>
    <w:rsid w:val="00F17D93"/>
    <w:rPr>
      <w:vertAlign w:val="superscript"/>
    </w:rPr>
  </w:style>
  <w:style w:type="paragraph" w:styleId="af5">
    <w:name w:val="Balloon Text"/>
    <w:basedOn w:val="a"/>
    <w:link w:val="Char1"/>
    <w:rsid w:val="00DF03FF"/>
    <w:rPr>
      <w:sz w:val="18"/>
      <w:szCs w:val="18"/>
    </w:rPr>
  </w:style>
  <w:style w:type="character" w:customStyle="1" w:styleId="Char1">
    <w:name w:val="批注框文本 Char"/>
    <w:basedOn w:val="a0"/>
    <w:link w:val="af5"/>
    <w:rsid w:val="00DF03FF"/>
    <w:rPr>
      <w:rFonts w:ascii="Arial" w:hAnsi="Arial"/>
      <w:kern w:val="2"/>
      <w:sz w:val="18"/>
      <w:szCs w:val="18"/>
    </w:rPr>
  </w:style>
</w:styles>
</file>

<file path=word/webSettings.xml><?xml version="1.0" encoding="utf-8"?>
<w:webSettings xmlns:r="http://schemas.openxmlformats.org/officeDocument/2006/relationships" xmlns:w="http://schemas.openxmlformats.org/wordprocessingml/2006/main">
  <w:divs>
    <w:div w:id="53547634">
      <w:bodyDiv w:val="1"/>
      <w:marLeft w:val="0"/>
      <w:marRight w:val="0"/>
      <w:marTop w:val="0"/>
      <w:marBottom w:val="0"/>
      <w:divBdr>
        <w:top w:val="none" w:sz="0" w:space="0" w:color="auto"/>
        <w:left w:val="none" w:sz="0" w:space="0" w:color="auto"/>
        <w:bottom w:val="none" w:sz="0" w:space="0" w:color="auto"/>
        <w:right w:val="none" w:sz="0" w:space="0" w:color="auto"/>
      </w:divBdr>
    </w:div>
    <w:div w:id="120391988">
      <w:bodyDiv w:val="1"/>
      <w:marLeft w:val="0"/>
      <w:marRight w:val="0"/>
      <w:marTop w:val="0"/>
      <w:marBottom w:val="0"/>
      <w:divBdr>
        <w:top w:val="none" w:sz="0" w:space="0" w:color="auto"/>
        <w:left w:val="none" w:sz="0" w:space="0" w:color="auto"/>
        <w:bottom w:val="none" w:sz="0" w:space="0" w:color="auto"/>
        <w:right w:val="none" w:sz="0" w:space="0" w:color="auto"/>
      </w:divBdr>
    </w:div>
    <w:div w:id="187574108">
      <w:bodyDiv w:val="1"/>
      <w:marLeft w:val="0"/>
      <w:marRight w:val="0"/>
      <w:marTop w:val="0"/>
      <w:marBottom w:val="0"/>
      <w:divBdr>
        <w:top w:val="none" w:sz="0" w:space="0" w:color="auto"/>
        <w:left w:val="none" w:sz="0" w:space="0" w:color="auto"/>
        <w:bottom w:val="none" w:sz="0" w:space="0" w:color="auto"/>
        <w:right w:val="none" w:sz="0" w:space="0" w:color="auto"/>
      </w:divBdr>
    </w:div>
    <w:div w:id="354505548">
      <w:bodyDiv w:val="1"/>
      <w:marLeft w:val="0"/>
      <w:marRight w:val="0"/>
      <w:marTop w:val="0"/>
      <w:marBottom w:val="0"/>
      <w:divBdr>
        <w:top w:val="none" w:sz="0" w:space="0" w:color="auto"/>
        <w:left w:val="none" w:sz="0" w:space="0" w:color="auto"/>
        <w:bottom w:val="none" w:sz="0" w:space="0" w:color="auto"/>
        <w:right w:val="none" w:sz="0" w:space="0" w:color="auto"/>
      </w:divBdr>
    </w:div>
    <w:div w:id="691414038">
      <w:bodyDiv w:val="1"/>
      <w:marLeft w:val="0"/>
      <w:marRight w:val="0"/>
      <w:marTop w:val="0"/>
      <w:marBottom w:val="0"/>
      <w:divBdr>
        <w:top w:val="none" w:sz="0" w:space="0" w:color="auto"/>
        <w:left w:val="none" w:sz="0" w:space="0" w:color="auto"/>
        <w:bottom w:val="none" w:sz="0" w:space="0" w:color="auto"/>
        <w:right w:val="none" w:sz="0" w:space="0" w:color="auto"/>
      </w:divBdr>
    </w:div>
    <w:div w:id="767891396">
      <w:bodyDiv w:val="1"/>
      <w:marLeft w:val="0"/>
      <w:marRight w:val="0"/>
      <w:marTop w:val="0"/>
      <w:marBottom w:val="0"/>
      <w:divBdr>
        <w:top w:val="none" w:sz="0" w:space="0" w:color="auto"/>
        <w:left w:val="none" w:sz="0" w:space="0" w:color="auto"/>
        <w:bottom w:val="none" w:sz="0" w:space="0" w:color="auto"/>
        <w:right w:val="none" w:sz="0" w:space="0" w:color="auto"/>
      </w:divBdr>
    </w:div>
    <w:div w:id="873539764">
      <w:bodyDiv w:val="1"/>
      <w:marLeft w:val="0"/>
      <w:marRight w:val="0"/>
      <w:marTop w:val="0"/>
      <w:marBottom w:val="0"/>
      <w:divBdr>
        <w:top w:val="none" w:sz="0" w:space="0" w:color="auto"/>
        <w:left w:val="none" w:sz="0" w:space="0" w:color="auto"/>
        <w:bottom w:val="none" w:sz="0" w:space="0" w:color="auto"/>
        <w:right w:val="none" w:sz="0" w:space="0" w:color="auto"/>
      </w:divBdr>
    </w:div>
    <w:div w:id="958992554">
      <w:bodyDiv w:val="1"/>
      <w:marLeft w:val="0"/>
      <w:marRight w:val="0"/>
      <w:marTop w:val="0"/>
      <w:marBottom w:val="0"/>
      <w:divBdr>
        <w:top w:val="none" w:sz="0" w:space="0" w:color="auto"/>
        <w:left w:val="none" w:sz="0" w:space="0" w:color="auto"/>
        <w:bottom w:val="none" w:sz="0" w:space="0" w:color="auto"/>
        <w:right w:val="none" w:sz="0" w:space="0" w:color="auto"/>
      </w:divBdr>
    </w:div>
    <w:div w:id="1184200385">
      <w:bodyDiv w:val="1"/>
      <w:marLeft w:val="0"/>
      <w:marRight w:val="0"/>
      <w:marTop w:val="0"/>
      <w:marBottom w:val="0"/>
      <w:divBdr>
        <w:top w:val="none" w:sz="0" w:space="0" w:color="auto"/>
        <w:left w:val="none" w:sz="0" w:space="0" w:color="auto"/>
        <w:bottom w:val="none" w:sz="0" w:space="0" w:color="auto"/>
        <w:right w:val="none" w:sz="0" w:space="0" w:color="auto"/>
      </w:divBdr>
    </w:div>
    <w:div w:id="1201285443">
      <w:bodyDiv w:val="1"/>
      <w:marLeft w:val="0"/>
      <w:marRight w:val="0"/>
      <w:marTop w:val="0"/>
      <w:marBottom w:val="0"/>
      <w:divBdr>
        <w:top w:val="none" w:sz="0" w:space="0" w:color="auto"/>
        <w:left w:val="none" w:sz="0" w:space="0" w:color="auto"/>
        <w:bottom w:val="none" w:sz="0" w:space="0" w:color="auto"/>
        <w:right w:val="none" w:sz="0" w:space="0" w:color="auto"/>
      </w:divBdr>
    </w:div>
    <w:div w:id="1273131333">
      <w:bodyDiv w:val="1"/>
      <w:marLeft w:val="0"/>
      <w:marRight w:val="0"/>
      <w:marTop w:val="0"/>
      <w:marBottom w:val="0"/>
      <w:divBdr>
        <w:top w:val="none" w:sz="0" w:space="0" w:color="auto"/>
        <w:left w:val="none" w:sz="0" w:space="0" w:color="auto"/>
        <w:bottom w:val="none" w:sz="0" w:space="0" w:color="auto"/>
        <w:right w:val="none" w:sz="0" w:space="0" w:color="auto"/>
      </w:divBdr>
    </w:div>
    <w:div w:id="1330792774">
      <w:bodyDiv w:val="1"/>
      <w:marLeft w:val="0"/>
      <w:marRight w:val="0"/>
      <w:marTop w:val="0"/>
      <w:marBottom w:val="0"/>
      <w:divBdr>
        <w:top w:val="none" w:sz="0" w:space="0" w:color="auto"/>
        <w:left w:val="none" w:sz="0" w:space="0" w:color="auto"/>
        <w:bottom w:val="none" w:sz="0" w:space="0" w:color="auto"/>
        <w:right w:val="none" w:sz="0" w:space="0" w:color="auto"/>
      </w:divBdr>
    </w:div>
    <w:div w:id="1475178033">
      <w:bodyDiv w:val="1"/>
      <w:marLeft w:val="0"/>
      <w:marRight w:val="0"/>
      <w:marTop w:val="0"/>
      <w:marBottom w:val="0"/>
      <w:divBdr>
        <w:top w:val="none" w:sz="0" w:space="0" w:color="auto"/>
        <w:left w:val="none" w:sz="0" w:space="0" w:color="auto"/>
        <w:bottom w:val="none" w:sz="0" w:space="0" w:color="auto"/>
        <w:right w:val="none" w:sz="0" w:space="0" w:color="auto"/>
      </w:divBdr>
    </w:div>
    <w:div w:id="1504320829">
      <w:bodyDiv w:val="1"/>
      <w:marLeft w:val="0"/>
      <w:marRight w:val="0"/>
      <w:marTop w:val="0"/>
      <w:marBottom w:val="0"/>
      <w:divBdr>
        <w:top w:val="none" w:sz="0" w:space="0" w:color="auto"/>
        <w:left w:val="none" w:sz="0" w:space="0" w:color="auto"/>
        <w:bottom w:val="none" w:sz="0" w:space="0" w:color="auto"/>
        <w:right w:val="none" w:sz="0" w:space="0" w:color="auto"/>
      </w:divBdr>
    </w:div>
    <w:div w:id="176927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28165;&#31185;\&#27169;&#26495;\&#28165;&#31185;&#25253;&#21578;&#27169;&#26495;SX-&#26368;&#26032;.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charlieyan\&#26032;&#38395;&#31295;&#65288;2013&#24180;&#24213;&#21518;&#65289;\2013&#24180;&#23395;&#24230;LP&#24066;&#22330;&#26032;&#38395;&#31295;%2012-3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charlieyan\&#26032;&#38395;&#31295;&#65288;2013&#24180;&#24213;&#21518;&#65289;\2013&#24180;&#23395;&#24230;LP&#24066;&#22330;&#26032;&#38395;&#31295;%2012-3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charlieyan\&#26032;&#38395;&#31295;&#65288;2013&#24180;&#24213;&#21518;&#65289;\2013&#24180;&#23395;&#24230;LP&#24066;&#22330;&#26032;&#38395;&#31295;%2012-3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charlieyan\&#26032;&#38395;&#31295;&#65288;2013&#24180;&#24213;&#21518;&#65289;\2013&#24180;&#23395;&#24230;LP&#24066;&#22330;&#26032;&#38395;&#31295;%2012-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700" b="0" i="0" u="none" strike="noStrike" baseline="0">
                <a:solidFill>
                  <a:srgbClr val="000000"/>
                </a:solidFill>
                <a:latin typeface="Arial Narrow"/>
                <a:ea typeface="Arial Narrow"/>
                <a:cs typeface="Arial Narrow"/>
              </a:defRPr>
            </a:pPr>
            <a:r>
              <a:rPr lang="en-US" altLang="zh-CN" sz="900" b="1" i="0" strike="noStrike">
                <a:solidFill>
                  <a:srgbClr val="000000"/>
                </a:solidFill>
                <a:latin typeface="Arial" pitchFamily="34" charset="0"/>
                <a:ea typeface="+mj-ea"/>
                <a:cs typeface="Arial" pitchFamily="34" charset="0"/>
              </a:rPr>
              <a:t>2013</a:t>
            </a:r>
            <a:r>
              <a:rPr lang="zh-CN" altLang="en-US" sz="900" b="1" i="0" strike="noStrike">
                <a:solidFill>
                  <a:srgbClr val="000000"/>
                </a:solidFill>
                <a:latin typeface="Arial" pitchFamily="34" charset="0"/>
                <a:ea typeface="+mj-ea"/>
                <a:cs typeface="Arial" pitchFamily="34" charset="0"/>
              </a:rPr>
              <a:t>年中国股权投资市场</a:t>
            </a:r>
            <a:r>
              <a:rPr lang="en-US" altLang="zh-CN" sz="900" b="1" i="0" strike="noStrike">
                <a:solidFill>
                  <a:srgbClr val="000000"/>
                </a:solidFill>
                <a:latin typeface="Arial" pitchFamily="34" charset="0"/>
                <a:ea typeface="+mj-ea"/>
                <a:cs typeface="Arial" pitchFamily="34" charset="0"/>
              </a:rPr>
              <a:t>LP</a:t>
            </a:r>
            <a:r>
              <a:rPr lang="zh-CN" altLang="en-US" sz="900" b="1" i="0" strike="noStrike">
                <a:solidFill>
                  <a:srgbClr val="000000"/>
                </a:solidFill>
                <a:latin typeface="Arial" pitchFamily="34" charset="0"/>
                <a:ea typeface="+mj-ea"/>
                <a:cs typeface="Arial" pitchFamily="34" charset="0"/>
              </a:rPr>
              <a:t>类别比较</a:t>
            </a:r>
          </a:p>
          <a:p>
            <a:pPr>
              <a:defRPr sz="700" b="0" i="0" u="none" strike="noStrike" baseline="0">
                <a:solidFill>
                  <a:srgbClr val="000000"/>
                </a:solidFill>
                <a:latin typeface="Arial Narrow"/>
                <a:ea typeface="Arial Narrow"/>
                <a:cs typeface="Arial Narrow"/>
              </a:defRPr>
            </a:pPr>
            <a:r>
              <a:rPr lang="zh-CN" altLang="en-US" sz="900" b="1" i="0" strike="noStrike">
                <a:solidFill>
                  <a:srgbClr val="000000"/>
                </a:solidFill>
                <a:latin typeface="Arial" pitchFamily="34" charset="0"/>
                <a:ea typeface="+mj-ea"/>
                <a:cs typeface="Arial" pitchFamily="34" charset="0"/>
              </a:rPr>
              <a:t>（按数量，个）</a:t>
            </a:r>
          </a:p>
        </c:rich>
      </c:tx>
      <c:layout>
        <c:manualLayout>
          <c:xMode val="edge"/>
          <c:yMode val="edge"/>
          <c:x val="0.282389181066868"/>
          <c:y val="1.9504662980957169E-2"/>
        </c:manualLayout>
      </c:layout>
      <c:spPr>
        <a:noFill/>
        <a:ln w="25400">
          <a:noFill/>
        </a:ln>
      </c:spPr>
    </c:title>
    <c:plotArea>
      <c:layout>
        <c:manualLayout>
          <c:layoutTarget val="inner"/>
          <c:xMode val="edge"/>
          <c:yMode val="edge"/>
          <c:x val="0.27209032473495282"/>
          <c:y val="0.21143686826380745"/>
          <c:w val="0.4357463060355623"/>
          <c:h val="0.58289279731993249"/>
        </c:manualLayout>
      </c:layout>
      <c:pieChart>
        <c:varyColors val="1"/>
        <c:ser>
          <c:idx val="1"/>
          <c:order val="0"/>
          <c:spPr>
            <a:solidFill>
              <a:srgbClr val="000080"/>
            </a:solidFill>
            <a:ln w="25400">
              <a:noFill/>
            </a:ln>
          </c:spPr>
          <c:dPt>
            <c:idx val="0"/>
            <c:spPr>
              <a:solidFill>
                <a:srgbClr val="00CCFF"/>
              </a:solidFill>
              <a:ln w="25400">
                <a:noFill/>
              </a:ln>
            </c:spPr>
          </c:dPt>
          <c:dPt>
            <c:idx val="1"/>
            <c:spPr>
              <a:solidFill>
                <a:srgbClr val="0000FF"/>
              </a:solidFill>
              <a:ln w="25400">
                <a:noFill/>
              </a:ln>
            </c:spPr>
          </c:dPt>
          <c:dPt>
            <c:idx val="2"/>
            <c:spPr>
              <a:solidFill>
                <a:srgbClr val="00CCFF"/>
              </a:solidFill>
              <a:ln w="25400">
                <a:noFill/>
              </a:ln>
            </c:spPr>
          </c:dPt>
          <c:dPt>
            <c:idx val="3"/>
            <c:spPr>
              <a:solidFill>
                <a:schemeClr val="accent1">
                  <a:lumMod val="20000"/>
                  <a:lumOff val="80000"/>
                </a:schemeClr>
              </a:solidFill>
              <a:ln w="25400">
                <a:noFill/>
              </a:ln>
            </c:spPr>
          </c:dPt>
          <c:dPt>
            <c:idx val="4"/>
            <c:spPr>
              <a:solidFill>
                <a:srgbClr val="333399"/>
              </a:solidFill>
              <a:ln w="25400">
                <a:noFill/>
              </a:ln>
            </c:spPr>
          </c:dPt>
          <c:dPt>
            <c:idx val="5"/>
            <c:spPr>
              <a:solidFill>
                <a:srgbClr val="00FFFF"/>
              </a:solidFill>
              <a:ln w="25400">
                <a:noFill/>
              </a:ln>
            </c:spPr>
          </c:dPt>
          <c:dPt>
            <c:idx val="6"/>
            <c:spPr/>
          </c:dPt>
          <c:dPt>
            <c:idx val="7"/>
            <c:spPr>
              <a:solidFill>
                <a:srgbClr val="0070C0"/>
              </a:solidFill>
              <a:ln w="25400">
                <a:noFill/>
              </a:ln>
            </c:spPr>
          </c:dPt>
          <c:dPt>
            <c:idx val="8"/>
            <c:spPr>
              <a:solidFill>
                <a:srgbClr val="CCFFFF"/>
              </a:solidFill>
              <a:ln w="25400">
                <a:noFill/>
              </a:ln>
            </c:spPr>
          </c:dPt>
          <c:dPt>
            <c:idx val="9"/>
            <c:spPr>
              <a:solidFill>
                <a:srgbClr val="3366FF"/>
              </a:solidFill>
              <a:ln w="25400">
                <a:noFill/>
              </a:ln>
            </c:spPr>
          </c:dPt>
          <c:dPt>
            <c:idx val="10"/>
            <c:spPr>
              <a:solidFill>
                <a:schemeClr val="tx2">
                  <a:lumMod val="40000"/>
                  <a:lumOff val="60000"/>
                </a:schemeClr>
              </a:solidFill>
              <a:ln w="25400">
                <a:noFill/>
              </a:ln>
            </c:spPr>
          </c:dPt>
          <c:dPt>
            <c:idx val="11"/>
            <c:spPr>
              <a:solidFill>
                <a:schemeClr val="tx2">
                  <a:lumMod val="60000"/>
                  <a:lumOff val="40000"/>
                </a:schemeClr>
              </a:solidFill>
              <a:ln w="25400">
                <a:noFill/>
              </a:ln>
            </c:spPr>
          </c:dPt>
          <c:dPt>
            <c:idx val="12"/>
            <c:spPr>
              <a:solidFill>
                <a:srgbClr val="99CCFF"/>
              </a:solidFill>
              <a:ln w="25400">
                <a:noFill/>
              </a:ln>
            </c:spPr>
          </c:dPt>
          <c:dPt>
            <c:idx val="13"/>
            <c:spPr>
              <a:solidFill>
                <a:srgbClr val="00CCFF"/>
              </a:solidFill>
              <a:ln w="25400">
                <a:noFill/>
              </a:ln>
            </c:spPr>
          </c:dPt>
          <c:dPt>
            <c:idx val="14"/>
            <c:spPr>
              <a:solidFill>
                <a:srgbClr val="3366FF"/>
              </a:solidFill>
              <a:ln w="25400">
                <a:noFill/>
              </a:ln>
            </c:spPr>
          </c:dPt>
          <c:dPt>
            <c:idx val="15"/>
            <c:spPr>
              <a:solidFill>
                <a:srgbClr val="0099FF"/>
              </a:solidFill>
              <a:ln w="25400">
                <a:noFill/>
              </a:ln>
            </c:spPr>
          </c:dPt>
          <c:dPt>
            <c:idx val="16"/>
            <c:spPr>
              <a:solidFill>
                <a:schemeClr val="accent1">
                  <a:lumMod val="40000"/>
                  <a:lumOff val="60000"/>
                </a:schemeClr>
              </a:solidFill>
              <a:ln w="25400">
                <a:noFill/>
              </a:ln>
            </c:spPr>
          </c:dPt>
          <c:dLbls>
            <c:dLbl>
              <c:idx val="0"/>
              <c:layout>
                <c:manualLayout>
                  <c:x val="7.5236872860839812E-2"/>
                  <c:y val="0.27094181046518123"/>
                </c:manualLayout>
              </c:layout>
              <c:dLblPos val="bestFit"/>
              <c:showVal val="1"/>
              <c:showCatName val="1"/>
              <c:showPercent val="1"/>
            </c:dLbl>
            <c:dLbl>
              <c:idx val="1"/>
              <c:layout>
                <c:manualLayout>
                  <c:x val="3.6510977544035442E-2"/>
                  <c:y val="0.29417015692187432"/>
                </c:manualLayout>
              </c:layout>
              <c:dLblPos val="bestFit"/>
              <c:showVal val="1"/>
              <c:showCatName val="1"/>
              <c:showPercent val="1"/>
            </c:dLbl>
            <c:dLbl>
              <c:idx val="2"/>
              <c:layout>
                <c:manualLayout>
                  <c:x val="-6.6464855163202261E-2"/>
                  <c:y val="0.17881694309487933"/>
                </c:manualLayout>
              </c:layout>
              <c:dLblPos val="bestFit"/>
              <c:showVal val="1"/>
              <c:showCatName val="1"/>
              <c:showPercent val="1"/>
            </c:dLbl>
            <c:dLbl>
              <c:idx val="3"/>
              <c:layout>
                <c:manualLayout>
                  <c:x val="-0.26775649052508554"/>
                  <c:y val="0.19911347517730527"/>
                </c:manualLayout>
              </c:layout>
              <c:dLblPos val="bestFit"/>
              <c:showVal val="1"/>
              <c:showCatName val="1"/>
              <c:showPercent val="1"/>
            </c:dLbl>
            <c:dLbl>
              <c:idx val="4"/>
              <c:layout>
                <c:manualLayout>
                  <c:x val="-0.10995137323649719"/>
                  <c:y val="-4.4262299659351523E-2"/>
                </c:manualLayout>
              </c:layout>
              <c:dLblPos val="bestFit"/>
              <c:showVal val="1"/>
              <c:showCatName val="1"/>
              <c:showPercent val="1"/>
            </c:dLbl>
            <c:dLbl>
              <c:idx val="5"/>
              <c:layout>
                <c:manualLayout>
                  <c:x val="-8.5035896151599635E-2"/>
                  <c:y val="0.21620036857095093"/>
                </c:manualLayout>
              </c:layout>
              <c:dLblPos val="bestFit"/>
              <c:showVal val="1"/>
              <c:showCatName val="1"/>
              <c:showPercent val="1"/>
            </c:dLbl>
            <c:dLbl>
              <c:idx val="6"/>
              <c:layout>
                <c:manualLayout>
                  <c:x val="-9.3583354203188945E-2"/>
                  <c:y val="0.12059641480985089"/>
                </c:manualLayout>
              </c:layout>
              <c:dLblPos val="bestFit"/>
              <c:showVal val="1"/>
              <c:showCatName val="1"/>
              <c:showPercent val="1"/>
            </c:dLbl>
            <c:dLbl>
              <c:idx val="7"/>
              <c:layout>
                <c:manualLayout>
                  <c:x val="-9.2954962851658038E-2"/>
                  <c:y val="2.5974758474339738E-2"/>
                </c:manualLayout>
              </c:layout>
              <c:dLblPos val="bestFit"/>
              <c:showVal val="1"/>
              <c:showCatName val="1"/>
              <c:showPercent val="1"/>
            </c:dLbl>
            <c:dLbl>
              <c:idx val="8"/>
              <c:layout>
                <c:manualLayout>
                  <c:x val="-7.6131354871024293E-2"/>
                  <c:y val="-6.0836265147707964E-2"/>
                </c:manualLayout>
              </c:layout>
              <c:dLblPos val="bestFit"/>
              <c:showVal val="1"/>
              <c:showCatName val="1"/>
              <c:showPercent val="1"/>
            </c:dLbl>
            <c:dLbl>
              <c:idx val="9"/>
              <c:layout>
                <c:manualLayout>
                  <c:x val="-5.8792887553218882E-2"/>
                  <c:y val="-1.1107388172223161E-3"/>
                </c:manualLayout>
              </c:layout>
              <c:dLblPos val="bestFit"/>
              <c:showVal val="1"/>
              <c:showCatName val="1"/>
              <c:showPercent val="1"/>
            </c:dLbl>
            <c:dLbl>
              <c:idx val="10"/>
              <c:layout>
                <c:manualLayout>
                  <c:x val="-9.8750939143501568E-2"/>
                  <c:y val="-8.0510414921539063E-3"/>
                </c:manualLayout>
              </c:layout>
              <c:dLblPos val="bestFit"/>
              <c:showVal val="1"/>
              <c:showCatName val="1"/>
              <c:showPercent val="1"/>
            </c:dLbl>
            <c:dLbl>
              <c:idx val="11"/>
              <c:layout>
                <c:manualLayout>
                  <c:x val="3.5801402454295257E-2"/>
                  <c:y val="-1.4382643658904179E-3"/>
                </c:manualLayout>
              </c:layout>
              <c:dLblPos val="bestFit"/>
              <c:showVal val="1"/>
              <c:showCatName val="1"/>
              <c:showPercent val="1"/>
            </c:dLbl>
            <c:dLbl>
              <c:idx val="12"/>
              <c:layout>
                <c:manualLayout>
                  <c:x val="0.12936284330912431"/>
                  <c:y val="-2.2244652929022307E-2"/>
                </c:manualLayout>
              </c:layout>
              <c:dLblPos val="bestFit"/>
              <c:showVal val="1"/>
              <c:showCatName val="1"/>
              <c:showPercent val="1"/>
            </c:dLbl>
            <c:dLbl>
              <c:idx val="13"/>
              <c:layout>
                <c:manualLayout>
                  <c:x val="0.21265735871107774"/>
                  <c:y val="-1.2670464064332402E-2"/>
                </c:manualLayout>
              </c:layout>
              <c:dLblPos val="bestFit"/>
              <c:showVal val="1"/>
              <c:showCatName val="1"/>
              <c:showPercent val="1"/>
            </c:dLbl>
            <c:dLbl>
              <c:idx val="14"/>
              <c:layout>
                <c:manualLayout>
                  <c:x val="0.11278236914600551"/>
                  <c:y val="4.0490590271960732E-2"/>
                </c:manualLayout>
              </c:layout>
              <c:dLblPos val="bestFit"/>
              <c:showVal val="1"/>
              <c:showCatName val="1"/>
              <c:showPercent val="1"/>
            </c:dLbl>
            <c:dLbl>
              <c:idx val="15"/>
              <c:layout>
                <c:manualLayout>
                  <c:x val="0.10803552049419819"/>
                  <c:y val="8.7347406042329809E-2"/>
                </c:manualLayout>
              </c:layout>
              <c:dLblPos val="bestFit"/>
              <c:showVal val="1"/>
              <c:showCatName val="1"/>
              <c:showPercent val="1"/>
            </c:dLbl>
            <c:dLbl>
              <c:idx val="16"/>
              <c:layout>
                <c:manualLayout>
                  <c:x val="8.4527715168211767E-2"/>
                  <c:y val="0.10711816608030378"/>
                </c:manualLayout>
              </c:layout>
              <c:dLblPos val="bestFit"/>
              <c:showVal val="1"/>
              <c:showCatName val="1"/>
              <c:showPercent val="1"/>
            </c:dLbl>
            <c:dLbl>
              <c:idx val="17"/>
              <c:layout>
                <c:manualLayout>
                  <c:x val="9.1546038901411067E-2"/>
                  <c:y val="0.18072010945440423"/>
                </c:manualLayout>
              </c:layout>
              <c:dLblPos val="bestFit"/>
              <c:showVal val="1"/>
              <c:showCatName val="1"/>
              <c:showPercent val="1"/>
            </c:dLbl>
            <c:dLbl>
              <c:idx val="18"/>
              <c:layout>
                <c:manualLayout>
                  <c:x val="0.11509996660823109"/>
                  <c:y val="0.25364103423242279"/>
                </c:manualLayout>
              </c:layout>
              <c:dLblPos val="bestFit"/>
              <c:showVal val="1"/>
              <c:showCatName val="1"/>
              <c:showPercent val="1"/>
            </c:dLbl>
            <c:numFmt formatCode="0.0%" sourceLinked="0"/>
            <c:spPr>
              <a:noFill/>
              <a:ln w="25400">
                <a:noFill/>
              </a:ln>
            </c:spPr>
            <c:txPr>
              <a:bodyPr/>
              <a:lstStyle/>
              <a:p>
                <a:pPr>
                  <a:defRPr sz="900" b="0" i="0" u="none" strike="noStrike" baseline="0">
                    <a:solidFill>
                      <a:srgbClr val="000000"/>
                    </a:solidFill>
                    <a:latin typeface="Arial"/>
                    <a:ea typeface="Arial"/>
                    <a:cs typeface="Arial"/>
                  </a:defRPr>
                </a:pPr>
                <a:endParaRPr lang="zh-CN"/>
              </a:p>
            </c:txPr>
            <c:showVal val="1"/>
            <c:showCatName val="1"/>
            <c:showPercent val="1"/>
            <c:showLeaderLines val="1"/>
          </c:dLbls>
          <c:cat>
            <c:strRef>
              <c:f>Sheet1!$J$2:$J$20</c:f>
              <c:strCache>
                <c:ptCount val="19"/>
                <c:pt idx="0">
                  <c:v>FOF</c:v>
                </c:pt>
                <c:pt idx="1">
                  <c:v>VC/PE机构</c:v>
                </c:pt>
                <c:pt idx="2">
                  <c:v>保险机构</c:v>
                </c:pt>
                <c:pt idx="3">
                  <c:v>大学及其基金会</c:v>
                </c:pt>
                <c:pt idx="4">
                  <c:v>富有家族及个人</c:v>
                </c:pt>
                <c:pt idx="5">
                  <c:v>公共养老基金</c:v>
                </c:pt>
                <c:pt idx="6">
                  <c:v>家族基金</c:v>
                </c:pt>
                <c:pt idx="7">
                  <c:v>捐赠基金</c:v>
                </c:pt>
                <c:pt idx="8">
                  <c:v>其他</c:v>
                </c:pt>
                <c:pt idx="9">
                  <c:v>企业</c:v>
                </c:pt>
                <c:pt idx="10">
                  <c:v>企业年金</c:v>
                </c:pt>
                <c:pt idx="11">
                  <c:v>上市公司</c:v>
                </c:pt>
                <c:pt idx="12">
                  <c:v>投资公司</c:v>
                </c:pt>
                <c:pt idx="13">
                  <c:v>信托</c:v>
                </c:pt>
                <c:pt idx="14">
                  <c:v>银行</c:v>
                </c:pt>
                <c:pt idx="15">
                  <c:v>政府机构</c:v>
                </c:pt>
                <c:pt idx="16">
                  <c:v>政府引导基金</c:v>
                </c:pt>
                <c:pt idx="17">
                  <c:v>主权财富基金</c:v>
                </c:pt>
                <c:pt idx="18">
                  <c:v>资产管理公司</c:v>
                </c:pt>
              </c:strCache>
            </c:strRef>
          </c:cat>
          <c:val>
            <c:numRef>
              <c:f>Sheet1!$K$2:$K$20</c:f>
              <c:numCache>
                <c:formatCode>#,##0_ </c:formatCode>
                <c:ptCount val="19"/>
                <c:pt idx="0">
                  <c:v>130</c:v>
                </c:pt>
                <c:pt idx="1">
                  <c:v>545</c:v>
                </c:pt>
                <c:pt idx="2">
                  <c:v>48</c:v>
                </c:pt>
                <c:pt idx="3">
                  <c:v>38</c:v>
                </c:pt>
                <c:pt idx="4">
                  <c:v>4377</c:v>
                </c:pt>
                <c:pt idx="5">
                  <c:v>95</c:v>
                </c:pt>
                <c:pt idx="6">
                  <c:v>26</c:v>
                </c:pt>
                <c:pt idx="7">
                  <c:v>25</c:v>
                </c:pt>
                <c:pt idx="8">
                  <c:v>86</c:v>
                </c:pt>
                <c:pt idx="9">
                  <c:v>1432</c:v>
                </c:pt>
                <c:pt idx="10">
                  <c:v>8</c:v>
                </c:pt>
                <c:pt idx="11">
                  <c:v>359</c:v>
                </c:pt>
                <c:pt idx="12">
                  <c:v>528</c:v>
                </c:pt>
                <c:pt idx="13">
                  <c:v>58</c:v>
                </c:pt>
                <c:pt idx="14">
                  <c:v>98</c:v>
                </c:pt>
                <c:pt idx="15">
                  <c:v>337</c:v>
                </c:pt>
                <c:pt idx="16">
                  <c:v>229</c:v>
                </c:pt>
                <c:pt idx="17">
                  <c:v>23</c:v>
                </c:pt>
                <c:pt idx="18">
                  <c:v>180</c:v>
                </c:pt>
              </c:numCache>
            </c:numRef>
          </c:val>
        </c:ser>
        <c:dLbls>
          <c:showVal val="1"/>
          <c:showCatName val="1"/>
          <c:showPercent val="1"/>
        </c:dLbls>
        <c:firstSliceAng val="80"/>
      </c:pieChart>
      <c:spPr>
        <a:noFill/>
        <a:ln w="25400">
          <a:noFill/>
        </a:ln>
      </c:spPr>
    </c:plotArea>
    <c:plotVisOnly val="1"/>
    <c:dispBlanksAs val="zero"/>
  </c:chart>
  <c:spPr>
    <a:solidFill>
      <a:srgbClr val="FFFFFF"/>
    </a:solidFill>
    <a:ln w="3175">
      <a:solidFill>
        <a:srgbClr val="000000"/>
      </a:solidFill>
      <a:prstDash val="solid"/>
    </a:ln>
  </c:spPr>
  <c:txPr>
    <a:bodyPr/>
    <a:lstStyle/>
    <a:p>
      <a:pPr>
        <a:defRPr sz="700" b="0" i="0" u="none" strike="noStrike" baseline="0">
          <a:solidFill>
            <a:srgbClr val="000000"/>
          </a:solidFill>
          <a:latin typeface="Arial Narrow"/>
          <a:ea typeface="Arial Narrow"/>
          <a:cs typeface="Arial Narrow"/>
        </a:defRPr>
      </a:pPr>
      <a:endParaRPr lang="zh-CN"/>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700" b="0" i="0" u="none" strike="noStrike" baseline="0">
                <a:solidFill>
                  <a:srgbClr val="000000"/>
                </a:solidFill>
                <a:latin typeface="Arial Narrow"/>
                <a:ea typeface="Arial Narrow"/>
                <a:cs typeface="Arial Narrow"/>
              </a:defRPr>
            </a:pPr>
            <a:r>
              <a:rPr lang="zh-CN" altLang="en-US" sz="900" b="1" i="0" strike="noStrike">
                <a:solidFill>
                  <a:srgbClr val="000000"/>
                </a:solidFill>
                <a:latin typeface="Arial" pitchFamily="34" charset="0"/>
                <a:cs typeface="Arial" pitchFamily="34" charset="0"/>
              </a:rPr>
              <a:t> </a:t>
            </a:r>
            <a:r>
              <a:rPr lang="en-US" altLang="zh-CN" sz="900" b="1" i="0" strike="noStrike">
                <a:solidFill>
                  <a:srgbClr val="000000"/>
                </a:solidFill>
                <a:latin typeface="Arial" pitchFamily="34" charset="0"/>
                <a:cs typeface="Arial" pitchFamily="34" charset="0"/>
              </a:rPr>
              <a:t>2013</a:t>
            </a:r>
            <a:r>
              <a:rPr lang="zh-CN" altLang="en-US" sz="900" b="1" i="0" strike="noStrike">
                <a:solidFill>
                  <a:srgbClr val="000000"/>
                </a:solidFill>
                <a:latin typeface="Arial" pitchFamily="34" charset="0"/>
                <a:cs typeface="Arial" pitchFamily="34" charset="0"/>
              </a:rPr>
              <a:t>年</a:t>
            </a:r>
            <a:r>
              <a:rPr lang="zh-CN" altLang="en-US" sz="900" b="1" i="0" strike="noStrike">
                <a:solidFill>
                  <a:srgbClr val="000000"/>
                </a:solidFill>
                <a:latin typeface="Arial" pitchFamily="34" charset="0"/>
                <a:ea typeface="宋体"/>
                <a:cs typeface="Arial" pitchFamily="34" charset="0"/>
              </a:rPr>
              <a:t>中国股权投资市场</a:t>
            </a:r>
            <a:r>
              <a:rPr lang="en-US" altLang="zh-CN" sz="900" b="1" i="0" strike="noStrike">
                <a:solidFill>
                  <a:srgbClr val="000000"/>
                </a:solidFill>
                <a:latin typeface="Arial" pitchFamily="34" charset="0"/>
                <a:cs typeface="Arial" pitchFamily="34" charset="0"/>
              </a:rPr>
              <a:t>LP</a:t>
            </a:r>
            <a:r>
              <a:rPr lang="zh-CN" altLang="en-US" sz="900" b="1" i="0" strike="noStrike">
                <a:solidFill>
                  <a:srgbClr val="000000"/>
                </a:solidFill>
                <a:latin typeface="Arial" pitchFamily="34" charset="0"/>
                <a:ea typeface="宋体"/>
                <a:cs typeface="Arial" pitchFamily="34" charset="0"/>
              </a:rPr>
              <a:t>类别比较</a:t>
            </a:r>
          </a:p>
          <a:p>
            <a:pPr>
              <a:defRPr sz="700" b="0" i="0" u="none" strike="noStrike" baseline="0">
                <a:solidFill>
                  <a:srgbClr val="000000"/>
                </a:solidFill>
                <a:latin typeface="Arial Narrow"/>
                <a:ea typeface="Arial Narrow"/>
                <a:cs typeface="Arial Narrow"/>
              </a:defRPr>
            </a:pPr>
            <a:r>
              <a:rPr lang="zh-CN" altLang="en-US" sz="900" b="1" i="0" strike="noStrike">
                <a:solidFill>
                  <a:srgbClr val="000000"/>
                </a:solidFill>
                <a:latin typeface="Arial" pitchFamily="34" charset="0"/>
                <a:ea typeface="宋体"/>
                <a:cs typeface="Arial" pitchFamily="34" charset="0"/>
              </a:rPr>
              <a:t>（按可投资本量，</a:t>
            </a:r>
            <a:r>
              <a:rPr lang="en-US" altLang="zh-CN" sz="900" b="1" i="0" strike="noStrike">
                <a:solidFill>
                  <a:srgbClr val="000000"/>
                </a:solidFill>
                <a:latin typeface="Arial" pitchFamily="34" charset="0"/>
                <a:cs typeface="Arial" pitchFamily="34" charset="0"/>
              </a:rPr>
              <a:t>US$B</a:t>
            </a:r>
            <a:r>
              <a:rPr lang="zh-CN" altLang="en-US" sz="900" b="1" i="0" strike="noStrike">
                <a:solidFill>
                  <a:srgbClr val="000000"/>
                </a:solidFill>
                <a:latin typeface="Arial" pitchFamily="34" charset="0"/>
                <a:ea typeface="宋体"/>
                <a:cs typeface="Arial" pitchFamily="34" charset="0"/>
              </a:rPr>
              <a:t>）</a:t>
            </a:r>
          </a:p>
        </c:rich>
      </c:tx>
      <c:layout>
        <c:manualLayout>
          <c:xMode val="edge"/>
          <c:yMode val="edge"/>
          <c:x val="0.27964521245512919"/>
          <c:y val="1.7772194304857649E-3"/>
        </c:manualLayout>
      </c:layout>
      <c:spPr>
        <a:noFill/>
        <a:ln w="25400">
          <a:noFill/>
        </a:ln>
      </c:spPr>
    </c:title>
    <c:plotArea>
      <c:layout>
        <c:manualLayout>
          <c:layoutTarget val="inner"/>
          <c:xMode val="edge"/>
          <c:yMode val="edge"/>
          <c:x val="0.27163849236163284"/>
          <c:y val="0.22897040759352341"/>
          <c:w val="0.43308560814759334"/>
          <c:h val="0.57933361250698279"/>
        </c:manualLayout>
      </c:layout>
      <c:pieChart>
        <c:varyColors val="1"/>
        <c:ser>
          <c:idx val="1"/>
          <c:order val="0"/>
          <c:spPr>
            <a:solidFill>
              <a:srgbClr val="000080"/>
            </a:solidFill>
            <a:ln w="25400">
              <a:noFill/>
            </a:ln>
          </c:spPr>
          <c:dPt>
            <c:idx val="0"/>
            <c:spPr>
              <a:solidFill>
                <a:srgbClr val="00CCFF"/>
              </a:solidFill>
              <a:ln w="25400">
                <a:noFill/>
              </a:ln>
            </c:spPr>
          </c:dPt>
          <c:dPt>
            <c:idx val="1"/>
            <c:spPr>
              <a:solidFill>
                <a:srgbClr val="3366FF"/>
              </a:solidFill>
              <a:ln w="25400">
                <a:noFill/>
              </a:ln>
            </c:spPr>
          </c:dPt>
          <c:dPt>
            <c:idx val="2"/>
            <c:spPr>
              <a:solidFill>
                <a:srgbClr val="00CCFF"/>
              </a:solidFill>
              <a:ln w="25400">
                <a:noFill/>
              </a:ln>
            </c:spPr>
          </c:dPt>
          <c:dPt>
            <c:idx val="3"/>
            <c:spPr>
              <a:solidFill>
                <a:srgbClr val="3333FF"/>
              </a:solidFill>
              <a:ln w="25400">
                <a:noFill/>
              </a:ln>
            </c:spPr>
          </c:dPt>
          <c:dPt>
            <c:idx val="5"/>
            <c:spPr>
              <a:solidFill>
                <a:srgbClr val="3366FF"/>
              </a:solidFill>
              <a:ln w="25400">
                <a:noFill/>
              </a:ln>
            </c:spPr>
          </c:dPt>
          <c:dPt>
            <c:idx val="7"/>
            <c:spPr>
              <a:solidFill>
                <a:srgbClr val="0070C0"/>
              </a:solidFill>
              <a:ln w="25400">
                <a:noFill/>
              </a:ln>
            </c:spPr>
          </c:dPt>
          <c:dPt>
            <c:idx val="8"/>
            <c:spPr>
              <a:solidFill>
                <a:srgbClr val="CCFFFF"/>
              </a:solidFill>
              <a:ln w="25400">
                <a:noFill/>
              </a:ln>
            </c:spPr>
          </c:dPt>
          <c:dPt>
            <c:idx val="9"/>
            <c:spPr>
              <a:solidFill>
                <a:schemeClr val="tx2">
                  <a:lumMod val="20000"/>
                  <a:lumOff val="80000"/>
                </a:schemeClr>
              </a:solidFill>
              <a:ln w="25400">
                <a:noFill/>
              </a:ln>
            </c:spPr>
          </c:dPt>
          <c:dPt>
            <c:idx val="10"/>
            <c:spPr>
              <a:solidFill>
                <a:schemeClr val="tx2">
                  <a:lumMod val="40000"/>
                  <a:lumOff val="60000"/>
                </a:schemeClr>
              </a:solidFill>
              <a:ln w="25400">
                <a:noFill/>
              </a:ln>
            </c:spPr>
          </c:dPt>
          <c:dPt>
            <c:idx val="11"/>
            <c:spPr>
              <a:solidFill>
                <a:srgbClr val="333399"/>
              </a:solidFill>
              <a:ln w="25400">
                <a:noFill/>
              </a:ln>
            </c:spPr>
          </c:dPt>
          <c:dPt>
            <c:idx val="12"/>
            <c:spPr>
              <a:solidFill>
                <a:srgbClr val="99CCFF"/>
              </a:solidFill>
              <a:ln w="25400">
                <a:noFill/>
              </a:ln>
            </c:spPr>
          </c:dPt>
          <c:dPt>
            <c:idx val="13"/>
            <c:spPr>
              <a:solidFill>
                <a:srgbClr val="00CCFF"/>
              </a:solidFill>
              <a:ln w="25400">
                <a:noFill/>
              </a:ln>
            </c:spPr>
          </c:dPt>
          <c:dPt>
            <c:idx val="14"/>
            <c:spPr>
              <a:solidFill>
                <a:srgbClr val="3366FF"/>
              </a:solidFill>
              <a:ln w="25400">
                <a:noFill/>
              </a:ln>
            </c:spPr>
          </c:dPt>
          <c:dPt>
            <c:idx val="15"/>
            <c:spPr>
              <a:solidFill>
                <a:srgbClr val="333399"/>
              </a:solidFill>
              <a:ln w="25400">
                <a:noFill/>
              </a:ln>
            </c:spPr>
          </c:dPt>
          <c:dPt>
            <c:idx val="17"/>
            <c:spPr>
              <a:solidFill>
                <a:srgbClr val="00FFFF"/>
              </a:solidFill>
              <a:ln w="25400">
                <a:noFill/>
              </a:ln>
            </c:spPr>
          </c:dPt>
          <c:dLbls>
            <c:dLbl>
              <c:idx val="0"/>
              <c:layout>
                <c:manualLayout>
                  <c:x val="8.8343768261123737E-2"/>
                  <c:y val="-4.0972082635399219E-2"/>
                </c:manualLayout>
              </c:layout>
              <c:dLblPos val="bestFit"/>
              <c:showVal val="1"/>
              <c:showCatName val="1"/>
              <c:showPercent val="1"/>
            </c:dLbl>
            <c:dLbl>
              <c:idx val="1"/>
              <c:layout>
                <c:manualLayout>
                  <c:x val="9.4154144753318528E-2"/>
                  <c:y val="-5.6751256281407016E-2"/>
                </c:manualLayout>
              </c:layout>
              <c:dLblPos val="bestFit"/>
              <c:showVal val="1"/>
              <c:showCatName val="1"/>
              <c:showPercent val="1"/>
            </c:dLbl>
            <c:dLbl>
              <c:idx val="2"/>
              <c:layout>
                <c:manualLayout>
                  <c:x val="9.0267760247099774E-2"/>
                  <c:y val="5.1535455053042991E-3"/>
                </c:manualLayout>
              </c:layout>
              <c:dLblPos val="bestFit"/>
              <c:showVal val="1"/>
              <c:showCatName val="1"/>
              <c:showPercent val="1"/>
            </c:dLbl>
            <c:dLbl>
              <c:idx val="3"/>
              <c:layout>
                <c:manualLayout>
                  <c:x val="9.7453668920611053E-2"/>
                  <c:y val="0.10341457286432161"/>
                </c:manualLayout>
              </c:layout>
              <c:dLblPos val="bestFit"/>
              <c:showVal val="1"/>
              <c:showCatName val="1"/>
              <c:showPercent val="1"/>
            </c:dLbl>
            <c:dLbl>
              <c:idx val="4"/>
              <c:layout>
                <c:manualLayout>
                  <c:x val="1.6583187244344422E-2"/>
                  <c:y val="0.15428391959799231"/>
                </c:manualLayout>
              </c:layout>
              <c:dLblPos val="bestFit"/>
              <c:showVal val="1"/>
              <c:showCatName val="1"/>
              <c:showPercent val="1"/>
            </c:dLbl>
            <c:dLbl>
              <c:idx val="5"/>
              <c:layout>
                <c:manualLayout>
                  <c:x val="-5.5869229484932004E-2"/>
                  <c:y val="2.1211613623674394E-2"/>
                </c:manualLayout>
              </c:layout>
              <c:dLblPos val="bestFit"/>
              <c:showVal val="1"/>
              <c:showCatName val="1"/>
              <c:showPercent val="1"/>
            </c:dLbl>
            <c:dLbl>
              <c:idx val="6"/>
              <c:layout>
                <c:manualLayout>
                  <c:x val="0.10018657650889062"/>
                  <c:y val="3.1961474036850922E-2"/>
                </c:manualLayout>
              </c:layout>
              <c:dLblPos val="bestFit"/>
              <c:showVal val="1"/>
              <c:showCatName val="1"/>
              <c:showPercent val="1"/>
            </c:dLbl>
            <c:dLbl>
              <c:idx val="7"/>
              <c:layout>
                <c:manualLayout>
                  <c:x val="-0.15048230236247015"/>
                  <c:y val="2.7484366275823981E-2"/>
                </c:manualLayout>
              </c:layout>
              <c:dLblPos val="bestFit"/>
              <c:showVal val="1"/>
              <c:showCatName val="1"/>
              <c:showPercent val="1"/>
            </c:dLbl>
            <c:dLbl>
              <c:idx val="8"/>
              <c:layout>
                <c:manualLayout>
                  <c:x val="-0.16679105100592831"/>
                  <c:y val="-2.5379676158570692E-2"/>
                </c:manualLayout>
              </c:layout>
              <c:dLblPos val="bestFit"/>
              <c:showVal val="1"/>
              <c:showCatName val="1"/>
              <c:showPercent val="1"/>
            </c:dLbl>
            <c:dLbl>
              <c:idx val="9"/>
              <c:layout>
                <c:manualLayout>
                  <c:x val="-0.17128913097921394"/>
                  <c:y val="-0.10750027917364666"/>
                </c:manualLayout>
              </c:layout>
              <c:dLblPos val="bestFit"/>
              <c:showVal val="1"/>
              <c:showCatName val="1"/>
              <c:showPercent val="1"/>
            </c:dLbl>
            <c:dLbl>
              <c:idx val="10"/>
              <c:layout>
                <c:manualLayout>
                  <c:x val="-9.6494281659570913E-2"/>
                  <c:y val="-0.15956113902847746"/>
                </c:manualLayout>
              </c:layout>
              <c:dLblPos val="bestFit"/>
              <c:showVal val="1"/>
              <c:showCatName val="1"/>
              <c:showPercent val="1"/>
            </c:dLbl>
            <c:dLbl>
              <c:idx val="11"/>
              <c:layout>
                <c:manualLayout>
                  <c:x val="-4.8688746973870857E-2"/>
                  <c:y val="-2.6290061418202202E-2"/>
                </c:manualLayout>
              </c:layout>
              <c:dLblPos val="bestFit"/>
              <c:showVal val="1"/>
              <c:showCatName val="1"/>
              <c:showPercent val="1"/>
            </c:dLbl>
            <c:dLbl>
              <c:idx val="12"/>
              <c:layout>
                <c:manualLayout>
                  <c:x val="-0.10538463143835072"/>
                  <c:y val="8.2373255164712444E-2"/>
                </c:manualLayout>
              </c:layout>
              <c:dLblPos val="bestFit"/>
              <c:showVal val="1"/>
              <c:showCatName val="1"/>
              <c:showPercent val="1"/>
            </c:dLbl>
            <c:dLbl>
              <c:idx val="13"/>
              <c:layout>
                <c:manualLayout>
                  <c:x val="-9.9579681108606724E-2"/>
                  <c:y val="-3.393439419318816E-2"/>
                </c:manualLayout>
              </c:layout>
              <c:dLblPos val="bestFit"/>
              <c:showVal val="1"/>
              <c:showCatName val="1"/>
              <c:showPercent val="1"/>
            </c:dLbl>
            <c:dLbl>
              <c:idx val="14"/>
              <c:layout>
                <c:manualLayout>
                  <c:x val="3.1696301861591142E-2"/>
                  <c:y val="4.3919597989949839E-3"/>
                </c:manualLayout>
              </c:layout>
              <c:dLblPos val="bestFit"/>
              <c:showVal val="1"/>
              <c:showCatName val="1"/>
              <c:showPercent val="1"/>
            </c:dLbl>
            <c:dLbl>
              <c:idx val="15"/>
              <c:layout>
                <c:manualLayout>
                  <c:x val="0.13285332665497937"/>
                  <c:y val="-1.0269960915689559E-2"/>
                </c:manualLayout>
              </c:layout>
              <c:dLblPos val="bestFit"/>
              <c:showVal val="1"/>
              <c:showCatName val="1"/>
              <c:showPercent val="1"/>
            </c:dLbl>
            <c:dLbl>
              <c:idx val="16"/>
              <c:layout>
                <c:manualLayout>
                  <c:x val="0.22312025210785538"/>
                  <c:y val="3.6601340033501212E-2"/>
                </c:manualLayout>
              </c:layout>
              <c:dLblPos val="bestFit"/>
              <c:showVal val="1"/>
              <c:showCatName val="1"/>
              <c:showPercent val="1"/>
            </c:dLbl>
            <c:dLbl>
              <c:idx val="17"/>
              <c:layout>
                <c:manualLayout>
                  <c:x val="0.15444402704733456"/>
                  <c:y val="4.0248185371300572E-2"/>
                </c:manualLayout>
              </c:layout>
              <c:dLblPos val="bestFit"/>
              <c:showVal val="1"/>
              <c:showCatName val="1"/>
              <c:showPercent val="1"/>
            </c:dLbl>
            <c:dLbl>
              <c:idx val="18"/>
              <c:layout>
                <c:manualLayout>
                  <c:x val="7.7248518240253777E-2"/>
                  <c:y val="-5.2959240647682856E-2"/>
                </c:manualLayout>
              </c:layout>
              <c:dLblPos val="bestFit"/>
              <c:showVal val="1"/>
              <c:showCatName val="1"/>
              <c:showPercent val="1"/>
            </c:dLbl>
            <c:numFmt formatCode="0.0%" sourceLinked="0"/>
            <c:spPr>
              <a:noFill/>
              <a:ln w="25400">
                <a:noFill/>
              </a:ln>
            </c:spPr>
            <c:txPr>
              <a:bodyPr/>
              <a:lstStyle/>
              <a:p>
                <a:pPr>
                  <a:defRPr sz="900" b="0" i="0" u="none" strike="noStrike" baseline="0">
                    <a:solidFill>
                      <a:srgbClr val="000000"/>
                    </a:solidFill>
                    <a:latin typeface="Arial"/>
                    <a:ea typeface="Arial"/>
                    <a:cs typeface="Arial"/>
                  </a:defRPr>
                </a:pPr>
                <a:endParaRPr lang="zh-CN"/>
              </a:p>
            </c:txPr>
            <c:showVal val="1"/>
            <c:showCatName val="1"/>
            <c:showPercent val="1"/>
            <c:showLeaderLines val="1"/>
          </c:dLbls>
          <c:cat>
            <c:strRef>
              <c:f>Sheet1!$M$34:$M$52</c:f>
              <c:strCache>
                <c:ptCount val="19"/>
                <c:pt idx="0">
                  <c:v>FOF</c:v>
                </c:pt>
                <c:pt idx="1">
                  <c:v>VC/PE机构</c:v>
                </c:pt>
                <c:pt idx="2">
                  <c:v>保险机构</c:v>
                </c:pt>
                <c:pt idx="3">
                  <c:v>大学及其基金会</c:v>
                </c:pt>
                <c:pt idx="4">
                  <c:v>富有家族及个人</c:v>
                </c:pt>
                <c:pt idx="5">
                  <c:v>公共养老基金</c:v>
                </c:pt>
                <c:pt idx="6">
                  <c:v>家族基金</c:v>
                </c:pt>
                <c:pt idx="7">
                  <c:v>捐赠基金</c:v>
                </c:pt>
                <c:pt idx="8">
                  <c:v>其他</c:v>
                </c:pt>
                <c:pt idx="9">
                  <c:v>企业</c:v>
                </c:pt>
                <c:pt idx="10">
                  <c:v>企业年金</c:v>
                </c:pt>
                <c:pt idx="11">
                  <c:v>上市公司</c:v>
                </c:pt>
                <c:pt idx="12">
                  <c:v>投资公司</c:v>
                </c:pt>
                <c:pt idx="13">
                  <c:v>信托</c:v>
                </c:pt>
                <c:pt idx="14">
                  <c:v>银行</c:v>
                </c:pt>
                <c:pt idx="15">
                  <c:v>政府机构</c:v>
                </c:pt>
                <c:pt idx="16">
                  <c:v>政府引导基金</c:v>
                </c:pt>
                <c:pt idx="17">
                  <c:v>主权财富基金</c:v>
                </c:pt>
                <c:pt idx="18">
                  <c:v>资产管理公司</c:v>
                </c:pt>
              </c:strCache>
            </c:strRef>
          </c:cat>
          <c:val>
            <c:numRef>
              <c:f>Sheet1!$N$34:$N$52</c:f>
              <c:numCache>
                <c:formatCode>#,##0.00_ </c:formatCode>
                <c:ptCount val="19"/>
                <c:pt idx="0">
                  <c:v>51.93981067173209</c:v>
                </c:pt>
                <c:pt idx="1">
                  <c:v>27.091166713512468</c:v>
                </c:pt>
                <c:pt idx="2">
                  <c:v>8.9646730337720903</c:v>
                </c:pt>
                <c:pt idx="3">
                  <c:v>5.9723590054298432</c:v>
                </c:pt>
                <c:pt idx="4">
                  <c:v>10.931491403854253</c:v>
                </c:pt>
                <c:pt idx="5">
                  <c:v>166.78449574849569</c:v>
                </c:pt>
                <c:pt idx="6">
                  <c:v>11.017000000000001</c:v>
                </c:pt>
                <c:pt idx="7">
                  <c:v>0.96602970780242692</c:v>
                </c:pt>
                <c:pt idx="8">
                  <c:v>1.7834433682831028</c:v>
                </c:pt>
                <c:pt idx="9">
                  <c:v>29.825479222507429</c:v>
                </c:pt>
                <c:pt idx="10">
                  <c:v>32.710545974026012</c:v>
                </c:pt>
                <c:pt idx="11">
                  <c:v>216.01416937152445</c:v>
                </c:pt>
                <c:pt idx="12">
                  <c:v>33.549350068367957</c:v>
                </c:pt>
                <c:pt idx="13">
                  <c:v>2.3204660246346167</c:v>
                </c:pt>
                <c:pt idx="14">
                  <c:v>24.067773696723869</c:v>
                </c:pt>
                <c:pt idx="15">
                  <c:v>8.3886373647458541</c:v>
                </c:pt>
                <c:pt idx="16">
                  <c:v>16.993584692050987</c:v>
                </c:pt>
                <c:pt idx="17">
                  <c:v>154.24161436597095</c:v>
                </c:pt>
                <c:pt idx="18">
                  <c:v>19.11339237069356</c:v>
                </c:pt>
              </c:numCache>
            </c:numRef>
          </c:val>
        </c:ser>
        <c:dLbls>
          <c:showVal val="1"/>
          <c:showCatName val="1"/>
          <c:showPercent val="1"/>
        </c:dLbls>
        <c:firstSliceAng val="80"/>
      </c:pieChart>
      <c:spPr>
        <a:noFill/>
        <a:ln w="25400">
          <a:noFill/>
        </a:ln>
      </c:spPr>
    </c:plotArea>
    <c:plotVisOnly val="1"/>
    <c:dispBlanksAs val="zero"/>
  </c:chart>
  <c:spPr>
    <a:solidFill>
      <a:srgbClr val="FFFFFF"/>
    </a:solidFill>
    <a:ln w="3175">
      <a:solidFill>
        <a:srgbClr val="000000"/>
      </a:solidFill>
      <a:prstDash val="solid"/>
    </a:ln>
  </c:spPr>
  <c:txPr>
    <a:bodyPr/>
    <a:lstStyle/>
    <a:p>
      <a:pPr>
        <a:defRPr sz="700" b="0" i="0" u="none" strike="noStrike" baseline="0">
          <a:solidFill>
            <a:srgbClr val="000000"/>
          </a:solidFill>
          <a:latin typeface="Arial Narrow"/>
          <a:ea typeface="Arial Narrow"/>
          <a:cs typeface="Arial Narrow"/>
        </a:defRPr>
      </a:pPr>
      <a:endParaRPr lang="zh-CN"/>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700" b="0" i="0" u="none" strike="noStrike" baseline="0">
                <a:solidFill>
                  <a:srgbClr val="000000"/>
                </a:solidFill>
                <a:latin typeface="Arial Narrow"/>
                <a:ea typeface="Arial Narrow"/>
                <a:cs typeface="Arial Narrow"/>
              </a:defRPr>
            </a:pPr>
            <a:r>
              <a:rPr lang="en-US" altLang="zh-CN" sz="900" b="1" i="0" u="none" strike="noStrike" baseline="0">
                <a:solidFill>
                  <a:srgbClr val="000000"/>
                </a:solidFill>
                <a:latin typeface="Arial"/>
                <a:cs typeface="Arial"/>
              </a:rPr>
              <a:t>2013</a:t>
            </a:r>
            <a:r>
              <a:rPr lang="zh-CN" altLang="en-US" sz="900" b="1" i="0" u="none" strike="noStrike" baseline="0">
                <a:solidFill>
                  <a:srgbClr val="000000"/>
                </a:solidFill>
                <a:latin typeface="宋体"/>
                <a:ea typeface="宋体"/>
              </a:rPr>
              <a:t>年中国股权投资市场</a:t>
            </a:r>
            <a:r>
              <a:rPr lang="en-US" altLang="zh-CN" sz="900" b="1" i="0" u="none" strike="noStrike" baseline="0">
                <a:solidFill>
                  <a:srgbClr val="000000"/>
                </a:solidFill>
                <a:latin typeface="Arial"/>
                <a:cs typeface="Arial"/>
              </a:rPr>
              <a:t>LP</a:t>
            </a:r>
            <a:r>
              <a:rPr lang="zh-CN" altLang="en-US" sz="900" b="1" i="0" u="none" strike="noStrike" baseline="0">
                <a:solidFill>
                  <a:srgbClr val="000000"/>
                </a:solidFill>
                <a:latin typeface="宋体"/>
                <a:ea typeface="宋体"/>
              </a:rPr>
              <a:t>类型比较</a:t>
            </a:r>
          </a:p>
          <a:p>
            <a:pPr>
              <a:defRPr sz="700" b="0" i="0" u="none" strike="noStrike" baseline="0">
                <a:solidFill>
                  <a:srgbClr val="000000"/>
                </a:solidFill>
                <a:latin typeface="Arial Narrow"/>
                <a:ea typeface="Arial Narrow"/>
                <a:cs typeface="Arial Narrow"/>
              </a:defRPr>
            </a:pPr>
            <a:r>
              <a:rPr lang="zh-CN" altLang="en-US" sz="900" b="1" i="0" u="none" strike="noStrike" baseline="0">
                <a:solidFill>
                  <a:srgbClr val="000000"/>
                </a:solidFill>
                <a:latin typeface="宋体"/>
                <a:ea typeface="宋体"/>
              </a:rPr>
              <a:t>（按数量，个）</a:t>
            </a:r>
          </a:p>
        </c:rich>
      </c:tx>
      <c:layout>
        <c:manualLayout>
          <c:xMode val="edge"/>
          <c:yMode val="edge"/>
          <c:x val="0.28030783036981477"/>
          <c:y val="4.4260469011725409E-2"/>
        </c:manualLayout>
      </c:layout>
      <c:spPr>
        <a:noFill/>
        <a:ln w="25400">
          <a:noFill/>
        </a:ln>
      </c:spPr>
    </c:title>
    <c:plotArea>
      <c:layout>
        <c:manualLayout>
          <c:layoutTarget val="inner"/>
          <c:xMode val="edge"/>
          <c:yMode val="edge"/>
          <c:x val="0.25977460555972981"/>
          <c:y val="0.20814824120603106"/>
          <c:w val="0.44864148442677027"/>
          <c:h val="0.60017730496453903"/>
        </c:manualLayout>
      </c:layout>
      <c:pieChart>
        <c:varyColors val="1"/>
        <c:ser>
          <c:idx val="1"/>
          <c:order val="0"/>
          <c:spPr>
            <a:solidFill>
              <a:srgbClr val="000080"/>
            </a:solidFill>
            <a:ln w="25400">
              <a:noFill/>
            </a:ln>
          </c:spPr>
          <c:dPt>
            <c:idx val="0"/>
            <c:spPr>
              <a:solidFill>
                <a:srgbClr val="333399"/>
              </a:solidFill>
              <a:ln w="25400">
                <a:noFill/>
              </a:ln>
            </c:spPr>
          </c:dPt>
          <c:dPt>
            <c:idx val="1"/>
            <c:spPr>
              <a:solidFill>
                <a:srgbClr val="00CCFF"/>
              </a:solidFill>
              <a:ln w="25400">
                <a:noFill/>
              </a:ln>
            </c:spPr>
          </c:dPt>
          <c:dPt>
            <c:idx val="2"/>
            <c:spPr>
              <a:solidFill>
                <a:srgbClr val="3366FF"/>
              </a:solidFill>
              <a:ln w="25400">
                <a:noFill/>
              </a:ln>
            </c:spPr>
          </c:dPt>
          <c:dLbls>
            <c:dLbl>
              <c:idx val="0"/>
              <c:layout>
                <c:manualLayout>
                  <c:x val="-1.7083855079722883E-2"/>
                  <c:y val="1.0414572864321608E-2"/>
                </c:manualLayout>
              </c:layout>
              <c:numFmt formatCode="0.0%" sourceLinked="0"/>
              <c:spPr>
                <a:noFill/>
                <a:ln w="25400">
                  <a:noFill/>
                </a:ln>
              </c:spPr>
              <c:txPr>
                <a:bodyPr/>
                <a:lstStyle/>
                <a:p>
                  <a:pPr>
                    <a:defRPr sz="900" b="0" i="0" u="none" strike="noStrike" baseline="0">
                      <a:solidFill>
                        <a:srgbClr val="000000"/>
                      </a:solidFill>
                      <a:latin typeface="Arial" pitchFamily="34" charset="0"/>
                      <a:ea typeface="Arial Narrow"/>
                      <a:cs typeface="Arial" pitchFamily="34" charset="0"/>
                    </a:defRPr>
                  </a:pPr>
                  <a:endParaRPr lang="zh-CN"/>
                </a:p>
              </c:txPr>
              <c:dLblPos val="bestFit"/>
              <c:showVal val="1"/>
              <c:showCatName val="1"/>
              <c:showPercent val="1"/>
            </c:dLbl>
            <c:dLbl>
              <c:idx val="1"/>
              <c:layout>
                <c:manualLayout>
                  <c:x val="3.5643626346105683E-2"/>
                  <c:y val="1.6238135120044666E-2"/>
                </c:manualLayout>
              </c:layout>
              <c:tx>
                <c:rich>
                  <a:bodyPr/>
                  <a:lstStyle/>
                  <a:p>
                    <a:pPr>
                      <a:defRPr sz="900" b="0" i="0" u="none" strike="noStrike" baseline="0">
                        <a:solidFill>
                          <a:srgbClr val="000000"/>
                        </a:solidFill>
                        <a:latin typeface="Arial" pitchFamily="34" charset="0"/>
                        <a:ea typeface="Arial Narrow"/>
                        <a:cs typeface="Arial" pitchFamily="34" charset="0"/>
                      </a:defRPr>
                    </a:pPr>
                    <a:r>
                      <a:rPr lang="zh-CN" altLang="en-US" sz="900" b="0" i="0" u="none" strike="noStrike" baseline="0">
                        <a:solidFill>
                          <a:srgbClr val="000000"/>
                        </a:solidFill>
                        <a:latin typeface="Arial"/>
                        <a:cs typeface="Arial"/>
                      </a:rPr>
                      <a:t>合资</a:t>
                    </a:r>
                    <a:r>
                      <a:rPr lang="en-US" altLang="zh-CN" sz="900" b="0" i="0" u="none" strike="noStrike" baseline="0">
                        <a:solidFill>
                          <a:srgbClr val="000000"/>
                        </a:solidFill>
                        <a:latin typeface="Arial"/>
                        <a:cs typeface="Arial"/>
                      </a:rPr>
                      <a:t>, 60 ,</a:t>
                    </a:r>
                  </a:p>
                  <a:p>
                    <a:pPr>
                      <a:defRPr sz="900" b="0" i="0" u="none" strike="noStrike" baseline="0">
                        <a:solidFill>
                          <a:srgbClr val="000000"/>
                        </a:solidFill>
                        <a:latin typeface="Arial" pitchFamily="34" charset="0"/>
                        <a:ea typeface="Arial Narrow"/>
                        <a:cs typeface="Arial" pitchFamily="34" charset="0"/>
                      </a:defRPr>
                    </a:pPr>
                    <a:r>
                      <a:rPr lang="en-US" altLang="zh-CN" sz="900" b="0" i="0" u="none" strike="noStrike" baseline="0">
                        <a:solidFill>
                          <a:srgbClr val="000000"/>
                        </a:solidFill>
                        <a:latin typeface="Arial"/>
                        <a:cs typeface="Arial"/>
                      </a:rPr>
                      <a:t> 0.7%</a:t>
                    </a:r>
                    <a:endParaRPr lang="zh-CN" altLang="en-US" sz="1000" b="0" i="0" u="none" strike="noStrike" baseline="0">
                      <a:solidFill>
                        <a:srgbClr val="000000"/>
                      </a:solidFill>
                      <a:latin typeface="Arial"/>
                      <a:cs typeface="Arial"/>
                    </a:endParaRPr>
                  </a:p>
                </c:rich>
              </c:tx>
              <c:numFmt formatCode="0.0%" sourceLinked="0"/>
              <c:spPr>
                <a:noFill/>
                <a:ln w="25400">
                  <a:noFill/>
                </a:ln>
              </c:spPr>
              <c:dLblPos val="bestFit"/>
              <c:showVal val="1"/>
              <c:showCatName val="1"/>
              <c:showPercent val="1"/>
            </c:dLbl>
            <c:dLbl>
              <c:idx val="2"/>
              <c:layout>
                <c:manualLayout>
                  <c:x val="-1.2244344269137758E-3"/>
                  <c:y val="1.8955890563930845E-3"/>
                </c:manualLayout>
              </c:layout>
              <c:numFmt formatCode="0.0%" sourceLinked="0"/>
              <c:spPr>
                <a:noFill/>
                <a:ln w="25400">
                  <a:noFill/>
                </a:ln>
              </c:spPr>
              <c:txPr>
                <a:bodyPr/>
                <a:lstStyle/>
                <a:p>
                  <a:pPr>
                    <a:defRPr sz="900" b="0" i="0" u="none" strike="noStrike" baseline="0">
                      <a:solidFill>
                        <a:srgbClr val="000000"/>
                      </a:solidFill>
                      <a:latin typeface="Arial" pitchFamily="34" charset="0"/>
                      <a:ea typeface="Arial Narrow"/>
                      <a:cs typeface="Arial" pitchFamily="34" charset="0"/>
                    </a:defRPr>
                  </a:pPr>
                  <a:endParaRPr lang="zh-CN"/>
                </a:p>
              </c:txPr>
              <c:dLblPos val="bestFit"/>
              <c:showVal val="1"/>
              <c:showCatName val="1"/>
              <c:showPercent val="1"/>
            </c:dLbl>
            <c:numFmt formatCode="0.0%" sourceLinked="0"/>
            <c:spPr>
              <a:noFill/>
              <a:ln w="25400">
                <a:noFill/>
              </a:ln>
            </c:spPr>
            <c:txPr>
              <a:bodyPr/>
              <a:lstStyle/>
              <a:p>
                <a:pPr>
                  <a:defRPr sz="900" b="0" i="0" u="none" strike="noStrike" baseline="0">
                    <a:solidFill>
                      <a:srgbClr val="000000"/>
                    </a:solidFill>
                    <a:latin typeface="Arial" pitchFamily="34" charset="0"/>
                    <a:ea typeface="Arial"/>
                    <a:cs typeface="Arial" pitchFamily="34" charset="0"/>
                  </a:defRPr>
                </a:pPr>
                <a:endParaRPr lang="zh-CN"/>
              </a:p>
            </c:txPr>
            <c:dLblPos val="bestFit"/>
            <c:showVal val="1"/>
            <c:showCatName val="1"/>
            <c:showPercent val="1"/>
            <c:showLeaderLines val="1"/>
          </c:dLbls>
          <c:cat>
            <c:strRef>
              <c:f>Sheet1!$K$63:$K$65</c:f>
              <c:strCache>
                <c:ptCount val="3"/>
                <c:pt idx="0">
                  <c:v>本土</c:v>
                </c:pt>
                <c:pt idx="1">
                  <c:v>合资</c:v>
                </c:pt>
                <c:pt idx="2">
                  <c:v>外资</c:v>
                </c:pt>
              </c:strCache>
            </c:strRef>
          </c:cat>
          <c:val>
            <c:numRef>
              <c:f>Sheet1!$L$63:$L$65</c:f>
              <c:numCache>
                <c:formatCode>#,##0_ </c:formatCode>
                <c:ptCount val="3"/>
                <c:pt idx="0">
                  <c:v>7412</c:v>
                </c:pt>
                <c:pt idx="1">
                  <c:v>60</c:v>
                </c:pt>
                <c:pt idx="2">
                  <c:v>1150</c:v>
                </c:pt>
              </c:numCache>
            </c:numRef>
          </c:val>
        </c:ser>
        <c:dLbls>
          <c:showVal val="1"/>
          <c:showCatName val="1"/>
          <c:showPercent val="1"/>
        </c:dLbls>
        <c:firstSliceAng val="119"/>
      </c:pieChart>
      <c:spPr>
        <a:noFill/>
        <a:ln w="25400">
          <a:noFill/>
        </a:ln>
      </c:spPr>
    </c:plotArea>
    <c:plotVisOnly val="1"/>
    <c:dispBlanksAs val="zero"/>
  </c:chart>
  <c:spPr>
    <a:solidFill>
      <a:srgbClr val="FFFFFF"/>
    </a:solidFill>
    <a:ln w="3175">
      <a:solidFill>
        <a:srgbClr val="000000"/>
      </a:solidFill>
      <a:prstDash val="solid"/>
    </a:ln>
  </c:spPr>
  <c:txPr>
    <a:bodyPr/>
    <a:lstStyle/>
    <a:p>
      <a:pPr>
        <a:defRPr sz="700" b="0" i="0" u="none" strike="noStrike" baseline="0">
          <a:solidFill>
            <a:srgbClr val="000000"/>
          </a:solidFill>
          <a:latin typeface="Arial Narrow"/>
          <a:ea typeface="Arial Narrow"/>
          <a:cs typeface="Arial Narrow"/>
        </a:defRPr>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700" b="0" i="0" u="none" strike="noStrike" baseline="0">
                <a:solidFill>
                  <a:srgbClr val="000000"/>
                </a:solidFill>
                <a:latin typeface="Arial Narrow"/>
                <a:ea typeface="Arial Narrow"/>
                <a:cs typeface="Arial Narrow"/>
              </a:defRPr>
            </a:pPr>
            <a:r>
              <a:rPr lang="en-US" altLang="zh-CN" sz="900" b="1" i="0" u="none" strike="noStrike" baseline="0">
                <a:solidFill>
                  <a:srgbClr val="000000"/>
                </a:solidFill>
                <a:latin typeface="Arial"/>
                <a:cs typeface="Arial"/>
              </a:rPr>
              <a:t>2013</a:t>
            </a:r>
            <a:r>
              <a:rPr lang="zh-CN" altLang="en-US" sz="900" b="1" i="0" u="none" strike="noStrike" baseline="0">
                <a:solidFill>
                  <a:srgbClr val="000000"/>
                </a:solidFill>
                <a:latin typeface="宋体"/>
                <a:ea typeface="宋体"/>
              </a:rPr>
              <a:t>年中国股权投资市场</a:t>
            </a:r>
            <a:r>
              <a:rPr lang="en-US" altLang="zh-CN" sz="900" b="1" i="0" u="none" strike="noStrike" baseline="0">
                <a:solidFill>
                  <a:srgbClr val="000000"/>
                </a:solidFill>
                <a:latin typeface="Arial"/>
                <a:cs typeface="Arial"/>
              </a:rPr>
              <a:t>LP</a:t>
            </a:r>
            <a:r>
              <a:rPr lang="zh-CN" altLang="en-US" sz="900" b="1" i="0" u="none" strike="noStrike" baseline="0">
                <a:solidFill>
                  <a:srgbClr val="000000"/>
                </a:solidFill>
                <a:latin typeface="宋体"/>
                <a:ea typeface="宋体"/>
              </a:rPr>
              <a:t>类型比较</a:t>
            </a:r>
            <a:endParaRPr lang="zh-CN" altLang="en-US" sz="900" b="1" i="0" u="none" strike="noStrike" baseline="0">
              <a:solidFill>
                <a:srgbClr val="000000"/>
              </a:solidFill>
              <a:latin typeface="Arial Narrow"/>
            </a:endParaRPr>
          </a:p>
          <a:p>
            <a:pPr>
              <a:defRPr sz="700" b="0" i="0" u="none" strike="noStrike" baseline="0">
                <a:solidFill>
                  <a:srgbClr val="000000"/>
                </a:solidFill>
                <a:latin typeface="Arial Narrow"/>
                <a:ea typeface="Arial Narrow"/>
                <a:cs typeface="Arial Narrow"/>
              </a:defRPr>
            </a:pPr>
            <a:r>
              <a:rPr lang="zh-CN" altLang="en-US" sz="900" b="1" i="0" u="none" strike="noStrike" baseline="0">
                <a:solidFill>
                  <a:srgbClr val="000000"/>
                </a:solidFill>
                <a:latin typeface="宋体"/>
                <a:ea typeface="宋体"/>
              </a:rPr>
              <a:t>（按可投资本量，</a:t>
            </a:r>
            <a:r>
              <a:rPr lang="en-US" altLang="zh-CN" sz="900" b="1" i="0" u="none" strike="noStrike" baseline="0">
                <a:solidFill>
                  <a:srgbClr val="000000"/>
                </a:solidFill>
                <a:latin typeface="Arial"/>
                <a:cs typeface="Arial"/>
              </a:rPr>
              <a:t>US$B</a:t>
            </a:r>
            <a:r>
              <a:rPr lang="zh-CN" altLang="en-US" sz="900" b="1" i="0" u="none" strike="noStrike" baseline="0">
                <a:solidFill>
                  <a:srgbClr val="000000"/>
                </a:solidFill>
                <a:latin typeface="宋体"/>
                <a:ea typeface="宋体"/>
              </a:rPr>
              <a:t>）</a:t>
            </a:r>
          </a:p>
        </c:rich>
      </c:tx>
      <c:layout>
        <c:manualLayout>
          <c:xMode val="edge"/>
          <c:yMode val="edge"/>
          <c:x val="0.26705359378913096"/>
          <c:y val="4.6986878838637634E-2"/>
        </c:manualLayout>
      </c:layout>
      <c:spPr>
        <a:noFill/>
        <a:ln w="25400">
          <a:noFill/>
        </a:ln>
      </c:spPr>
    </c:title>
    <c:plotArea>
      <c:layout>
        <c:manualLayout>
          <c:layoutTarget val="inner"/>
          <c:xMode val="edge"/>
          <c:yMode val="edge"/>
          <c:x val="0.2579156778483313"/>
          <c:y val="0.2166136236739252"/>
          <c:w val="0.45261762756792578"/>
          <c:h val="0.60549645390070961"/>
        </c:manualLayout>
      </c:layout>
      <c:pieChart>
        <c:varyColors val="1"/>
        <c:ser>
          <c:idx val="1"/>
          <c:order val="0"/>
          <c:spPr>
            <a:solidFill>
              <a:srgbClr val="000080"/>
            </a:solidFill>
            <a:ln w="25400">
              <a:noFill/>
            </a:ln>
          </c:spPr>
          <c:dPt>
            <c:idx val="0"/>
            <c:spPr>
              <a:solidFill>
                <a:srgbClr val="3366FF"/>
              </a:solidFill>
              <a:ln w="25400">
                <a:noFill/>
              </a:ln>
            </c:spPr>
          </c:dPt>
          <c:dPt>
            <c:idx val="1"/>
            <c:spPr>
              <a:solidFill>
                <a:srgbClr val="00CCFF"/>
              </a:solidFill>
              <a:ln w="25400">
                <a:noFill/>
              </a:ln>
            </c:spPr>
          </c:dPt>
          <c:dPt>
            <c:idx val="2"/>
            <c:spPr>
              <a:solidFill>
                <a:srgbClr val="333399"/>
              </a:solidFill>
              <a:ln w="25400">
                <a:noFill/>
              </a:ln>
            </c:spPr>
          </c:dPt>
          <c:dLbls>
            <c:dLbl>
              <c:idx val="0"/>
              <c:layout>
                <c:manualLayout>
                  <c:x val="1.9254484424774981E-2"/>
                  <c:y val="9.0368509212730968E-3"/>
                </c:manualLayout>
              </c:layout>
              <c:dLblPos val="bestFit"/>
              <c:showVal val="1"/>
              <c:showCatName val="1"/>
              <c:showPercent val="1"/>
            </c:dLbl>
            <c:dLbl>
              <c:idx val="1"/>
              <c:layout>
                <c:manualLayout>
                  <c:x val="7.2664245763419316E-2"/>
                  <c:y val="-3.4097152428810902E-2"/>
                </c:manualLayout>
              </c:layout>
              <c:tx>
                <c:rich>
                  <a:bodyPr/>
                  <a:lstStyle/>
                  <a:p>
                    <a:r>
                      <a:rPr lang="zh-CN" altLang="en-US" sz="900"/>
                      <a:t>合资</a:t>
                    </a:r>
                    <a:r>
                      <a:rPr lang="en-US" altLang="zh-CN" sz="900"/>
                      <a:t>, 4.17 , </a:t>
                    </a:r>
                  </a:p>
                  <a:p>
                    <a:r>
                      <a:rPr lang="en-US" altLang="zh-CN" sz="900"/>
                      <a:t>0.5%</a:t>
                    </a:r>
                    <a:endParaRPr lang="zh-CN" altLang="en-US"/>
                  </a:p>
                </c:rich>
              </c:tx>
              <c:dLblPos val="bestFit"/>
              <c:showVal val="1"/>
              <c:showCatName val="1"/>
              <c:showPercent val="1"/>
            </c:dLbl>
            <c:dLbl>
              <c:idx val="2"/>
              <c:layout>
                <c:manualLayout>
                  <c:x val="-2.5492111194590536E-2"/>
                  <c:y val="7.3646007816862103E-3"/>
                </c:manualLayout>
              </c:layout>
              <c:dLblPos val="bestFit"/>
              <c:showVal val="1"/>
              <c:showCatName val="1"/>
              <c:showPercent val="1"/>
            </c:dLbl>
            <c:dLbl>
              <c:idx val="13"/>
              <c:showVal val="1"/>
              <c:showCatName val="1"/>
              <c:showPercent val="1"/>
            </c:dLbl>
            <c:numFmt formatCode="0.0%" sourceLinked="0"/>
            <c:spPr>
              <a:noFill/>
              <a:ln w="25400">
                <a:noFill/>
              </a:ln>
            </c:spPr>
            <c:txPr>
              <a:bodyPr/>
              <a:lstStyle/>
              <a:p>
                <a:pPr>
                  <a:defRPr sz="900" b="0" i="0" u="none" strike="noStrike" baseline="0">
                    <a:solidFill>
                      <a:srgbClr val="000000"/>
                    </a:solidFill>
                    <a:latin typeface="Arial"/>
                    <a:ea typeface="Arial"/>
                    <a:cs typeface="Arial"/>
                  </a:defRPr>
                </a:pPr>
                <a:endParaRPr lang="zh-CN"/>
              </a:p>
            </c:txPr>
            <c:dLblPos val="bestFit"/>
            <c:showVal val="1"/>
            <c:showCatName val="1"/>
            <c:showPercent val="1"/>
            <c:showLeaderLines val="1"/>
          </c:dLbls>
          <c:cat>
            <c:strRef>
              <c:f>Sheet1!$K$91:$K$93</c:f>
              <c:strCache>
                <c:ptCount val="3"/>
                <c:pt idx="0">
                  <c:v>本土</c:v>
                </c:pt>
                <c:pt idx="1">
                  <c:v>合资</c:v>
                </c:pt>
                <c:pt idx="2">
                  <c:v>外资</c:v>
                </c:pt>
              </c:strCache>
            </c:strRef>
          </c:cat>
          <c:val>
            <c:numRef>
              <c:f>Sheet1!$L$91:$L$93</c:f>
              <c:numCache>
                <c:formatCode>#,##0.00_ </c:formatCode>
                <c:ptCount val="3"/>
                <c:pt idx="0">
                  <c:v>179.46507793904792</c:v>
                </c:pt>
                <c:pt idx="1">
                  <c:v>4.1737790346144514</c:v>
                </c:pt>
                <c:pt idx="2">
                  <c:v>639.03662583046219</c:v>
                </c:pt>
              </c:numCache>
            </c:numRef>
          </c:val>
        </c:ser>
        <c:dLbls>
          <c:showVal val="1"/>
          <c:showCatName val="1"/>
          <c:showPercent val="1"/>
        </c:dLbls>
        <c:firstSliceAng val="49"/>
      </c:pieChart>
      <c:spPr>
        <a:noFill/>
        <a:ln w="25400">
          <a:noFill/>
        </a:ln>
      </c:spPr>
    </c:plotArea>
    <c:plotVisOnly val="1"/>
    <c:dispBlanksAs val="zero"/>
  </c:chart>
  <c:spPr>
    <a:solidFill>
      <a:srgbClr val="FFFFFF"/>
    </a:solidFill>
    <a:ln w="3175">
      <a:solidFill>
        <a:srgbClr val="000000"/>
      </a:solidFill>
      <a:prstDash val="solid"/>
    </a:ln>
  </c:spPr>
  <c:txPr>
    <a:bodyPr/>
    <a:lstStyle/>
    <a:p>
      <a:pPr>
        <a:defRPr sz="700" b="0" i="0" u="none" strike="noStrike" baseline="0">
          <a:solidFill>
            <a:srgbClr val="000000"/>
          </a:solidFill>
          <a:latin typeface="Arial Narrow"/>
          <a:ea typeface="Arial Narrow"/>
          <a:cs typeface="Arial Narrow"/>
        </a:defRPr>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0.04598</cdr:x>
      <cdr:y>0.14371</cdr:y>
    </cdr:from>
    <cdr:to>
      <cdr:x>1</cdr:x>
      <cdr:y>0.14371</cdr:y>
    </cdr:to>
    <cdr:grpSp>
      <cdr:nvGrpSpPr>
        <cdr:cNvPr id="52" name="Group 1"/>
        <cdr:cNvGrpSpPr>
          <a:grpSpLocks xmlns:a="http://schemas.openxmlformats.org/drawingml/2006/main"/>
        </cdr:cNvGrpSpPr>
      </cdr:nvGrpSpPr>
      <cdr:grpSpPr bwMode="auto">
        <a:xfrm xmlns:a="http://schemas.openxmlformats.org/drawingml/2006/main">
          <a:off x="220318" y="514683"/>
          <a:ext cx="4571282" cy="0"/>
          <a:chOff x="220318" y="514683"/>
          <a:chExt cx="4571282" cy="0"/>
        </a:xfrm>
      </cdr:grpSpPr>
    </cdr:grpSp>
  </cdr:relSizeAnchor>
  <cdr:relSizeAnchor xmlns:cdr="http://schemas.openxmlformats.org/drawingml/2006/chartDrawing">
    <cdr:from>
      <cdr:x>0.04778</cdr:x>
      <cdr:y>0.15661</cdr:y>
    </cdr:from>
    <cdr:to>
      <cdr:x>1</cdr:x>
      <cdr:y>0.15661</cdr:y>
    </cdr:to>
    <cdr:grpSp>
      <cdr:nvGrpSpPr>
        <cdr:cNvPr id="20482" name="Group 1"/>
        <cdr:cNvGrpSpPr>
          <a:grpSpLocks xmlns:a="http://schemas.openxmlformats.org/drawingml/2006/main"/>
        </cdr:cNvGrpSpPr>
      </cdr:nvGrpSpPr>
      <cdr:grpSpPr bwMode="auto">
        <a:xfrm xmlns:a="http://schemas.openxmlformats.org/drawingml/2006/main">
          <a:off x="228943" y="560883"/>
          <a:ext cx="4562657" cy="0"/>
          <a:chOff x="228943" y="560883"/>
          <a:chExt cx="4562657" cy="0"/>
        </a:xfrm>
      </cdr:grpSpPr>
      <cdr:grpSp>
        <cdr:nvGrpSpPr>
          <cdr:cNvPr id="58" name="Group 3"/>
          <cdr:cNvGrpSpPr>
            <a:grpSpLocks xmlns:a="http://schemas.openxmlformats.org/drawingml/2006/main"/>
          </cdr:cNvGrpSpPr>
        </cdr:nvGrpSpPr>
        <cdr:grpSpPr bwMode="auto">
          <a:xfrm xmlns:a="http://schemas.openxmlformats.org/drawingml/2006/main">
            <a:off x="1" y="480"/>
            <a:ext cx="503" cy="0"/>
            <a:chOff x="1" y="480"/>
            <a:chExt cx="503" cy="0"/>
          </a:xfrm>
        </cdr:grpSpPr>
      </cdr:grpSp>
      <cdr:grpSp>
        <cdr:nvGrpSpPr>
          <cdr:cNvPr id="20491" name="Group 3"/>
          <cdr:cNvGrpSpPr>
            <a:grpSpLocks xmlns:a="http://schemas.openxmlformats.org/drawingml/2006/main"/>
          </cdr:cNvGrpSpPr>
        </cdr:nvGrpSpPr>
        <cdr:grpSpPr bwMode="auto">
          <a:xfrm xmlns:a="http://schemas.openxmlformats.org/drawingml/2006/main">
            <a:off x="1" y="480"/>
            <a:ext cx="503" cy="0"/>
            <a:chOff x="1" y="480"/>
            <a:chExt cx="503" cy="0"/>
          </a:xfrm>
        </cdr:grpSpPr>
        <cdr:sp macro="" textlink="">
          <cdr:nvSpPr>
            <cdr:cNvPr id="37892" name="Line 4"/>
            <cdr:cNvSpPr>
              <a:spLocks xmlns:a="http://schemas.openxmlformats.org/drawingml/2006/main" noChangeShapeType="1"/>
            </cdr:cNvSpPr>
          </cdr:nvSpPr>
          <cdr:spPr bwMode="auto">
            <a:xfrm xmlns:a="http://schemas.openxmlformats.org/drawingml/2006/main">
              <a:off x="1" y="480"/>
              <a:ext cx="172" cy="0"/>
            </a:xfrm>
            <a:prstGeom xmlns:a="http://schemas.openxmlformats.org/drawingml/2006/main" prst="line">
              <a:avLst/>
            </a:prstGeom>
            <a:noFill xmlns:a="http://schemas.openxmlformats.org/drawingml/2006/main"/>
            <a:ln xmlns:a="http://schemas.openxmlformats.org/drawingml/2006/main" w="38100">
              <a:solidFill>
                <a:srgbClr val="00008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sp macro="" textlink="">
          <cdr:nvSpPr>
            <cdr:cNvPr id="37893" name="Line 5"/>
            <cdr:cNvSpPr>
              <a:spLocks xmlns:a="http://schemas.openxmlformats.org/drawingml/2006/main" noChangeShapeType="1"/>
            </cdr:cNvSpPr>
          </cdr:nvSpPr>
          <cdr:spPr bwMode="auto">
            <a:xfrm xmlns:a="http://schemas.openxmlformats.org/drawingml/2006/main" flipV="1">
              <a:off x="173" y="480"/>
              <a:ext cx="331" cy="0"/>
            </a:xfrm>
            <a:prstGeom xmlns:a="http://schemas.openxmlformats.org/drawingml/2006/main" prst="line">
              <a:avLst/>
            </a:prstGeom>
            <a:noFill xmlns:a="http://schemas.openxmlformats.org/drawingml/2006/main"/>
            <a:ln xmlns:a="http://schemas.openxmlformats.org/drawingml/2006/main" w="38100">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grpSp>
    </cdr:grpSp>
  </cdr:relSizeAnchor>
  <cdr:relSizeAnchor xmlns:cdr="http://schemas.openxmlformats.org/drawingml/2006/chartDrawing">
    <cdr:from>
      <cdr:x>0.00604</cdr:x>
      <cdr:y>0.91287</cdr:y>
    </cdr:from>
    <cdr:to>
      <cdr:x>1</cdr:x>
      <cdr:y>1</cdr:y>
    </cdr:to>
    <cdr:grpSp>
      <cdr:nvGrpSpPr>
        <cdr:cNvPr id="54" name="Group 6"/>
        <cdr:cNvGrpSpPr>
          <a:grpSpLocks xmlns:a="http://schemas.openxmlformats.org/drawingml/2006/main"/>
        </cdr:cNvGrpSpPr>
      </cdr:nvGrpSpPr>
      <cdr:grpSpPr bwMode="auto">
        <a:xfrm xmlns:a="http://schemas.openxmlformats.org/drawingml/2006/main">
          <a:off x="28941" y="3269353"/>
          <a:ext cx="4762659" cy="312047"/>
          <a:chOff x="1" y="480"/>
          <a:chExt cx="503" cy="24"/>
        </a:xfrm>
      </cdr:grpSpPr>
    </cdr:grpSp>
  </cdr:relSizeAnchor>
  <cdr:relSizeAnchor xmlns:cdr="http://schemas.openxmlformats.org/drawingml/2006/chartDrawing">
    <cdr:from>
      <cdr:x>0</cdr:x>
      <cdr:y>0.91312</cdr:y>
    </cdr:from>
    <cdr:to>
      <cdr:x>1</cdr:x>
      <cdr:y>1</cdr:y>
    </cdr:to>
    <cdr:grpSp>
      <cdr:nvGrpSpPr>
        <cdr:cNvPr id="20484" name="Group 6"/>
        <cdr:cNvGrpSpPr>
          <a:grpSpLocks xmlns:a="http://schemas.openxmlformats.org/drawingml/2006/main"/>
        </cdr:cNvGrpSpPr>
      </cdr:nvGrpSpPr>
      <cdr:grpSpPr bwMode="auto">
        <a:xfrm xmlns:a="http://schemas.openxmlformats.org/drawingml/2006/main">
          <a:off x="0" y="3270248"/>
          <a:ext cx="4791600" cy="311152"/>
          <a:chOff x="1" y="480"/>
          <a:chExt cx="503" cy="24"/>
        </a:xfrm>
      </cdr:grpSpPr>
      <cdr:sp macro="" textlink="">
        <cdr:nvSpPr>
          <cdr:cNvPr id="64519" name="Rectangle 7"/>
          <cdr:cNvSpPr>
            <a:spLocks xmlns:a="http://schemas.openxmlformats.org/drawingml/2006/main" noChangeArrowheads="1"/>
          </cdr:cNvSpPr>
        </cdr:nvSpPr>
        <cdr:spPr bwMode="auto">
          <a:xfrm xmlns:a="http://schemas.openxmlformats.org/drawingml/2006/main">
            <a:off x="1" y="484"/>
            <a:ext cx="503" cy="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900" b="0" i="0" u="none" strike="noStrike" baseline="0">
                <a:solidFill>
                  <a:srgbClr val="000000"/>
                </a:solidFill>
                <a:latin typeface="宋体"/>
                <a:ea typeface="宋体"/>
              </a:rPr>
              <a:t>来源：私募通</a:t>
            </a:r>
            <a:r>
              <a:rPr lang="zh-CN" altLang="en-US" sz="900" b="0" i="0" u="none" strike="noStrike" baseline="0">
                <a:solidFill>
                  <a:srgbClr val="000000"/>
                </a:solidFill>
                <a:latin typeface="Arial"/>
                <a:cs typeface="Arial"/>
              </a:rPr>
              <a:t> </a:t>
            </a:r>
            <a:r>
              <a:rPr lang="en-US" altLang="zh-CN" sz="900" b="0" i="0" u="none" strike="noStrike" baseline="0">
                <a:solidFill>
                  <a:srgbClr val="000000"/>
                </a:solidFill>
                <a:latin typeface="Arial"/>
                <a:cs typeface="Arial"/>
              </a:rPr>
              <a:t>2014.01                                                                                         www.pedata.cn            </a:t>
            </a:r>
          </a:p>
        </cdr:txBody>
      </cdr:sp>
      <cdr:grpSp>
        <cdr:nvGrpSpPr>
          <cdr:cNvPr id="56" name="Group 8"/>
          <cdr:cNvGrpSpPr>
            <a:grpSpLocks xmlns:a="http://schemas.openxmlformats.org/drawingml/2006/main"/>
          </cdr:cNvGrpSpPr>
        </cdr:nvGrpSpPr>
        <cdr:grpSpPr bwMode="auto">
          <a:xfrm xmlns:a="http://schemas.openxmlformats.org/drawingml/2006/main">
            <a:off x="1" y="480"/>
            <a:ext cx="503" cy="0"/>
            <a:chOff x="1" y="480"/>
            <a:chExt cx="503" cy="0"/>
          </a:xfrm>
        </cdr:grpSpPr>
      </cdr:grpSp>
      <cdr:grpSp>
        <cdr:nvGrpSpPr>
          <cdr:cNvPr id="20487" name="Group 8"/>
          <cdr:cNvGrpSpPr>
            <a:grpSpLocks xmlns:a="http://schemas.openxmlformats.org/drawingml/2006/main"/>
          </cdr:cNvGrpSpPr>
        </cdr:nvGrpSpPr>
        <cdr:grpSpPr bwMode="auto">
          <a:xfrm xmlns:a="http://schemas.openxmlformats.org/drawingml/2006/main">
            <a:off x="1" y="480"/>
            <a:ext cx="503" cy="0"/>
            <a:chOff x="1" y="480"/>
            <a:chExt cx="503" cy="0"/>
          </a:xfrm>
        </cdr:grpSpPr>
        <cdr:sp macro="" textlink="">
          <cdr:nvSpPr>
            <cdr:cNvPr id="64521" name="Line 9"/>
            <cdr:cNvSpPr>
              <a:spLocks xmlns:a="http://schemas.openxmlformats.org/drawingml/2006/main" noChangeShapeType="1"/>
            </cdr:cNvSpPr>
          </cdr:nvSpPr>
          <cdr:spPr bwMode="auto">
            <a:xfrm xmlns:a="http://schemas.openxmlformats.org/drawingml/2006/main">
              <a:off x="1" y="480"/>
              <a:ext cx="172" cy="0"/>
            </a:xfrm>
            <a:prstGeom xmlns:a="http://schemas.openxmlformats.org/drawingml/2006/main" prst="line">
              <a:avLst/>
            </a:prstGeom>
            <a:noFill xmlns:a="http://schemas.openxmlformats.org/drawingml/2006/main"/>
            <a:ln xmlns:a="http://schemas.openxmlformats.org/drawingml/2006/main" w="38100">
              <a:solidFill>
                <a:srgbClr val="00008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sp macro="" textlink="">
          <cdr:nvSpPr>
            <cdr:cNvPr id="64522" name="Line 10"/>
            <cdr:cNvSpPr>
              <a:spLocks xmlns:a="http://schemas.openxmlformats.org/drawingml/2006/main" noChangeShapeType="1"/>
            </cdr:cNvSpPr>
          </cdr:nvSpPr>
          <cdr:spPr bwMode="auto">
            <a:xfrm xmlns:a="http://schemas.openxmlformats.org/drawingml/2006/main" flipV="1">
              <a:off x="173" y="480"/>
              <a:ext cx="331" cy="0"/>
            </a:xfrm>
            <a:prstGeom xmlns:a="http://schemas.openxmlformats.org/drawingml/2006/main" prst="line">
              <a:avLst/>
            </a:prstGeom>
            <a:noFill xmlns:a="http://schemas.openxmlformats.org/drawingml/2006/main"/>
            <a:ln xmlns:a="http://schemas.openxmlformats.org/drawingml/2006/main" w="38100">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grpSp>
    </cdr:grpSp>
  </cdr:relSizeAnchor>
</c:userShapes>
</file>

<file path=word/drawings/drawing2.xml><?xml version="1.0" encoding="utf-8"?>
<c:userShapes xmlns:c="http://schemas.openxmlformats.org/drawingml/2006/chart">
  <cdr:relSizeAnchor xmlns:cdr="http://schemas.openxmlformats.org/drawingml/2006/chartDrawing">
    <cdr:from>
      <cdr:x>0.04206</cdr:x>
      <cdr:y>0.11815</cdr:y>
    </cdr:from>
    <cdr:to>
      <cdr:x>1</cdr:x>
      <cdr:y>0.11815</cdr:y>
    </cdr:to>
    <cdr:grpSp>
      <cdr:nvGrpSpPr>
        <cdr:cNvPr id="11" name="Group 1"/>
        <cdr:cNvGrpSpPr>
          <a:grpSpLocks xmlns:a="http://schemas.openxmlformats.org/drawingml/2006/main"/>
        </cdr:cNvGrpSpPr>
      </cdr:nvGrpSpPr>
      <cdr:grpSpPr bwMode="auto">
        <a:xfrm xmlns:a="http://schemas.openxmlformats.org/drawingml/2006/main">
          <a:off x="201535" y="423213"/>
          <a:ext cx="4590065" cy="0"/>
          <a:chOff x="201535" y="423213"/>
          <a:chExt cx="4590065" cy="0"/>
        </a:xfrm>
      </cdr:grpSpPr>
    </cdr:grpSp>
  </cdr:relSizeAnchor>
  <cdr:relSizeAnchor xmlns:cdr="http://schemas.openxmlformats.org/drawingml/2006/chartDrawing">
    <cdr:from>
      <cdr:x>0.04353</cdr:x>
      <cdr:y>0.13105</cdr:y>
    </cdr:from>
    <cdr:to>
      <cdr:x>1</cdr:x>
      <cdr:y>0.13105</cdr:y>
    </cdr:to>
    <cdr:grpSp>
      <cdr:nvGrpSpPr>
        <cdr:cNvPr id="187393" name="Group 1"/>
        <cdr:cNvGrpSpPr>
          <a:grpSpLocks xmlns:a="http://schemas.openxmlformats.org/drawingml/2006/main"/>
        </cdr:cNvGrpSpPr>
      </cdr:nvGrpSpPr>
      <cdr:grpSpPr bwMode="auto">
        <a:xfrm xmlns:a="http://schemas.openxmlformats.org/drawingml/2006/main">
          <a:off x="208578" y="469421"/>
          <a:ext cx="4583022" cy="0"/>
          <a:chOff x="208578" y="469421"/>
          <a:chExt cx="4583022" cy="0"/>
        </a:xfrm>
      </cdr:grpSpPr>
      <cdr:grpSp>
        <cdr:nvGrpSpPr>
          <cdr:cNvPr id="14" name="Group 3"/>
          <cdr:cNvGrpSpPr>
            <a:grpSpLocks xmlns:a="http://schemas.openxmlformats.org/drawingml/2006/main"/>
          </cdr:cNvGrpSpPr>
        </cdr:nvGrpSpPr>
        <cdr:grpSpPr bwMode="auto">
          <a:xfrm xmlns:a="http://schemas.openxmlformats.org/drawingml/2006/main">
            <a:off x="1" y="480"/>
            <a:ext cx="503" cy="0"/>
            <a:chOff x="1" y="480"/>
            <a:chExt cx="503" cy="0"/>
          </a:xfrm>
        </cdr:grpSpPr>
      </cdr:grpSp>
      <cdr:grpSp>
        <cdr:nvGrpSpPr>
          <cdr:cNvPr id="187399" name="Group 3"/>
          <cdr:cNvGrpSpPr>
            <a:grpSpLocks xmlns:a="http://schemas.openxmlformats.org/drawingml/2006/main"/>
          </cdr:cNvGrpSpPr>
        </cdr:nvGrpSpPr>
        <cdr:grpSpPr bwMode="auto">
          <a:xfrm xmlns:a="http://schemas.openxmlformats.org/drawingml/2006/main">
            <a:off x="1" y="480"/>
            <a:ext cx="503" cy="0"/>
            <a:chOff x="1" y="480"/>
            <a:chExt cx="503" cy="0"/>
          </a:xfrm>
        </cdr:grpSpPr>
        <cdr:sp macro="" textlink="">
          <cdr:nvSpPr>
            <cdr:cNvPr id="37892" name="Line 4"/>
            <cdr:cNvSpPr>
              <a:spLocks xmlns:a="http://schemas.openxmlformats.org/drawingml/2006/main" noChangeShapeType="1"/>
            </cdr:cNvSpPr>
          </cdr:nvSpPr>
          <cdr:spPr bwMode="auto">
            <a:xfrm xmlns:a="http://schemas.openxmlformats.org/drawingml/2006/main">
              <a:off x="1" y="480"/>
              <a:ext cx="172" cy="0"/>
            </a:xfrm>
            <a:prstGeom xmlns:a="http://schemas.openxmlformats.org/drawingml/2006/main" prst="line">
              <a:avLst/>
            </a:prstGeom>
            <a:noFill xmlns:a="http://schemas.openxmlformats.org/drawingml/2006/main"/>
            <a:ln xmlns:a="http://schemas.openxmlformats.org/drawingml/2006/main" w="38100">
              <a:solidFill>
                <a:srgbClr val="00008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sp macro="" textlink="">
          <cdr:nvSpPr>
            <cdr:cNvPr id="37893" name="Line 5"/>
            <cdr:cNvSpPr>
              <a:spLocks xmlns:a="http://schemas.openxmlformats.org/drawingml/2006/main" noChangeShapeType="1"/>
            </cdr:cNvSpPr>
          </cdr:nvSpPr>
          <cdr:spPr bwMode="auto">
            <a:xfrm xmlns:a="http://schemas.openxmlformats.org/drawingml/2006/main" flipV="1">
              <a:off x="173" y="480"/>
              <a:ext cx="331" cy="0"/>
            </a:xfrm>
            <a:prstGeom xmlns:a="http://schemas.openxmlformats.org/drawingml/2006/main" prst="line">
              <a:avLst/>
            </a:prstGeom>
            <a:noFill xmlns:a="http://schemas.openxmlformats.org/drawingml/2006/main"/>
            <a:ln xmlns:a="http://schemas.openxmlformats.org/drawingml/2006/main" w="38100">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grpSp>
    </cdr:grpSp>
  </cdr:relSizeAnchor>
  <cdr:relSizeAnchor xmlns:cdr="http://schemas.openxmlformats.org/drawingml/2006/chartDrawing">
    <cdr:from>
      <cdr:x>0.00555</cdr:x>
      <cdr:y>0.91774</cdr:y>
    </cdr:from>
    <cdr:to>
      <cdr:x>1</cdr:x>
      <cdr:y>1</cdr:y>
    </cdr:to>
    <cdr:grpSp>
      <cdr:nvGrpSpPr>
        <cdr:cNvPr id="12" name="Group 6"/>
        <cdr:cNvGrpSpPr>
          <a:grpSpLocks xmlns:a="http://schemas.openxmlformats.org/drawingml/2006/main"/>
        </cdr:cNvGrpSpPr>
      </cdr:nvGrpSpPr>
      <cdr:grpSpPr bwMode="auto">
        <a:xfrm xmlns:a="http://schemas.openxmlformats.org/drawingml/2006/main">
          <a:off x="26593" y="3287345"/>
          <a:ext cx="4765007" cy="294655"/>
          <a:chOff x="1" y="480"/>
          <a:chExt cx="503" cy="24"/>
        </a:xfrm>
      </cdr:grpSpPr>
    </cdr:grpSp>
  </cdr:relSizeAnchor>
  <cdr:relSizeAnchor xmlns:cdr="http://schemas.openxmlformats.org/drawingml/2006/chartDrawing">
    <cdr:from>
      <cdr:x>0</cdr:x>
      <cdr:y>0.91798</cdr:y>
    </cdr:from>
    <cdr:to>
      <cdr:x>1</cdr:x>
      <cdr:y>1</cdr:y>
    </cdr:to>
    <cdr:grpSp>
      <cdr:nvGrpSpPr>
        <cdr:cNvPr id="187394" name="Group 6"/>
        <cdr:cNvGrpSpPr>
          <a:grpSpLocks xmlns:a="http://schemas.openxmlformats.org/drawingml/2006/main"/>
        </cdr:cNvGrpSpPr>
      </cdr:nvGrpSpPr>
      <cdr:grpSpPr bwMode="auto">
        <a:xfrm xmlns:a="http://schemas.openxmlformats.org/drawingml/2006/main">
          <a:off x="0" y="3288204"/>
          <a:ext cx="4791600" cy="293796"/>
          <a:chOff x="1" y="480"/>
          <a:chExt cx="503" cy="24"/>
        </a:xfrm>
      </cdr:grpSpPr>
      <cdr:sp macro="" textlink="">
        <cdr:nvSpPr>
          <cdr:cNvPr id="64519" name="Rectangle 7"/>
          <cdr:cNvSpPr>
            <a:spLocks xmlns:a="http://schemas.openxmlformats.org/drawingml/2006/main" noChangeArrowheads="1"/>
          </cdr:cNvSpPr>
        </cdr:nvSpPr>
        <cdr:spPr bwMode="auto">
          <a:xfrm xmlns:a="http://schemas.openxmlformats.org/drawingml/2006/main">
            <a:off x="1" y="484"/>
            <a:ext cx="501" cy="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900" b="0" i="0" u="none" strike="noStrike" baseline="0">
                <a:solidFill>
                  <a:srgbClr val="000000"/>
                </a:solidFill>
                <a:latin typeface="宋体"/>
                <a:ea typeface="宋体"/>
              </a:rPr>
              <a:t>来源：私募通</a:t>
            </a:r>
            <a:r>
              <a:rPr lang="zh-CN" altLang="en-US" sz="900" b="0" i="0" u="none" strike="noStrike" baseline="0">
                <a:solidFill>
                  <a:srgbClr val="000000"/>
                </a:solidFill>
                <a:latin typeface="Arial"/>
                <a:cs typeface="Arial"/>
              </a:rPr>
              <a:t> </a:t>
            </a:r>
            <a:r>
              <a:rPr lang="en-US" altLang="zh-CN" sz="900" b="0" i="0" u="none" strike="noStrike" baseline="0">
                <a:solidFill>
                  <a:srgbClr val="000000"/>
                </a:solidFill>
                <a:latin typeface="Arial"/>
                <a:cs typeface="Arial"/>
              </a:rPr>
              <a:t>2014.01                                                                                         www.pedata.cn            </a:t>
            </a:r>
          </a:p>
        </cdr:txBody>
      </cdr:sp>
      <cdr:grpSp>
        <cdr:nvGrpSpPr>
          <cdr:cNvPr id="13" name="Group 8"/>
          <cdr:cNvGrpSpPr>
            <a:grpSpLocks xmlns:a="http://schemas.openxmlformats.org/drawingml/2006/main"/>
          </cdr:cNvGrpSpPr>
        </cdr:nvGrpSpPr>
        <cdr:grpSpPr bwMode="auto">
          <a:xfrm xmlns:a="http://schemas.openxmlformats.org/drawingml/2006/main">
            <a:off x="1" y="480"/>
            <a:ext cx="503" cy="0"/>
            <a:chOff x="1" y="480"/>
            <a:chExt cx="503" cy="0"/>
          </a:xfrm>
        </cdr:grpSpPr>
      </cdr:grpSp>
      <cdr:grpSp>
        <cdr:nvGrpSpPr>
          <cdr:cNvPr id="187396" name="Group 8"/>
          <cdr:cNvGrpSpPr>
            <a:grpSpLocks xmlns:a="http://schemas.openxmlformats.org/drawingml/2006/main"/>
          </cdr:cNvGrpSpPr>
        </cdr:nvGrpSpPr>
        <cdr:grpSpPr bwMode="auto">
          <a:xfrm xmlns:a="http://schemas.openxmlformats.org/drawingml/2006/main">
            <a:off x="1" y="480"/>
            <a:ext cx="503" cy="0"/>
            <a:chOff x="1" y="480"/>
            <a:chExt cx="503" cy="0"/>
          </a:xfrm>
        </cdr:grpSpPr>
        <cdr:sp macro="" textlink="">
          <cdr:nvSpPr>
            <cdr:cNvPr id="64521" name="Line 9"/>
            <cdr:cNvSpPr>
              <a:spLocks xmlns:a="http://schemas.openxmlformats.org/drawingml/2006/main" noChangeShapeType="1"/>
            </cdr:cNvSpPr>
          </cdr:nvSpPr>
          <cdr:spPr bwMode="auto">
            <a:xfrm xmlns:a="http://schemas.openxmlformats.org/drawingml/2006/main">
              <a:off x="1" y="480"/>
              <a:ext cx="172" cy="0"/>
            </a:xfrm>
            <a:prstGeom xmlns:a="http://schemas.openxmlformats.org/drawingml/2006/main" prst="line">
              <a:avLst/>
            </a:prstGeom>
            <a:noFill xmlns:a="http://schemas.openxmlformats.org/drawingml/2006/main"/>
            <a:ln xmlns:a="http://schemas.openxmlformats.org/drawingml/2006/main" w="38100">
              <a:solidFill>
                <a:srgbClr val="00008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sp macro="" textlink="">
          <cdr:nvSpPr>
            <cdr:cNvPr id="64522" name="Line 10"/>
            <cdr:cNvSpPr>
              <a:spLocks xmlns:a="http://schemas.openxmlformats.org/drawingml/2006/main" noChangeShapeType="1"/>
            </cdr:cNvSpPr>
          </cdr:nvSpPr>
          <cdr:spPr bwMode="auto">
            <a:xfrm xmlns:a="http://schemas.openxmlformats.org/drawingml/2006/main" flipV="1">
              <a:off x="173" y="480"/>
              <a:ext cx="331" cy="0"/>
            </a:xfrm>
            <a:prstGeom xmlns:a="http://schemas.openxmlformats.org/drawingml/2006/main" prst="line">
              <a:avLst/>
            </a:prstGeom>
            <a:noFill xmlns:a="http://schemas.openxmlformats.org/drawingml/2006/main"/>
            <a:ln xmlns:a="http://schemas.openxmlformats.org/drawingml/2006/main" w="38100">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grpSp>
    </cdr:grpSp>
  </cdr:relSizeAnchor>
</c:userShapes>
</file>

<file path=word/drawings/drawing3.xml><?xml version="1.0" encoding="utf-8"?>
<c:userShapes xmlns:c="http://schemas.openxmlformats.org/drawingml/2006/chart">
  <cdr:relSizeAnchor xmlns:cdr="http://schemas.openxmlformats.org/drawingml/2006/chartDrawing">
    <cdr:from>
      <cdr:x>0.04214</cdr:x>
      <cdr:y>0.11864</cdr:y>
    </cdr:from>
    <cdr:to>
      <cdr:x>1</cdr:x>
      <cdr:y>0.11864</cdr:y>
    </cdr:to>
    <cdr:grpSp>
      <cdr:nvGrpSpPr>
        <cdr:cNvPr id="11" name="Group 1"/>
        <cdr:cNvGrpSpPr>
          <a:grpSpLocks xmlns:a="http://schemas.openxmlformats.org/drawingml/2006/main"/>
        </cdr:cNvGrpSpPr>
      </cdr:nvGrpSpPr>
      <cdr:grpSpPr bwMode="auto">
        <a:xfrm xmlns:a="http://schemas.openxmlformats.org/drawingml/2006/main">
          <a:off x="201918" y="424968"/>
          <a:ext cx="4589682" cy="0"/>
          <a:chOff x="201896" y="424897"/>
          <a:chExt cx="4589179" cy="0"/>
        </a:xfrm>
      </cdr:grpSpPr>
    </cdr:grpSp>
  </cdr:relSizeAnchor>
  <cdr:relSizeAnchor xmlns:cdr="http://schemas.openxmlformats.org/drawingml/2006/chartDrawing">
    <cdr:from>
      <cdr:x>0.0441</cdr:x>
      <cdr:y>0.13154</cdr:y>
    </cdr:from>
    <cdr:to>
      <cdr:x>1</cdr:x>
      <cdr:y>0.13154</cdr:y>
    </cdr:to>
    <cdr:grpSp>
      <cdr:nvGrpSpPr>
        <cdr:cNvPr id="185345" name="Group 1"/>
        <cdr:cNvGrpSpPr>
          <a:grpSpLocks xmlns:a="http://schemas.openxmlformats.org/drawingml/2006/main"/>
        </cdr:cNvGrpSpPr>
      </cdr:nvGrpSpPr>
      <cdr:grpSpPr bwMode="auto">
        <a:xfrm xmlns:a="http://schemas.openxmlformats.org/drawingml/2006/main">
          <a:off x="211310" y="471176"/>
          <a:ext cx="4580290" cy="0"/>
          <a:chOff x="211286" y="471097"/>
          <a:chExt cx="4579789" cy="0"/>
        </a:xfrm>
      </cdr:grpSpPr>
      <cdr:grpSp>
        <cdr:nvGrpSpPr>
          <cdr:cNvPr id="14" name="Group 3"/>
          <cdr:cNvGrpSpPr>
            <a:grpSpLocks xmlns:a="http://schemas.openxmlformats.org/drawingml/2006/main"/>
          </cdr:cNvGrpSpPr>
        </cdr:nvGrpSpPr>
        <cdr:grpSpPr bwMode="auto">
          <a:xfrm xmlns:a="http://schemas.openxmlformats.org/drawingml/2006/main">
            <a:off x="1" y="480"/>
            <a:ext cx="503" cy="0"/>
            <a:chOff x="1" y="480"/>
            <a:chExt cx="503" cy="0"/>
          </a:xfrm>
        </cdr:grpSpPr>
      </cdr:grpSp>
      <cdr:grpSp>
        <cdr:nvGrpSpPr>
          <cdr:cNvPr id="185351" name="Group 3"/>
          <cdr:cNvGrpSpPr>
            <a:grpSpLocks xmlns:a="http://schemas.openxmlformats.org/drawingml/2006/main"/>
          </cdr:cNvGrpSpPr>
        </cdr:nvGrpSpPr>
        <cdr:grpSpPr bwMode="auto">
          <a:xfrm xmlns:a="http://schemas.openxmlformats.org/drawingml/2006/main">
            <a:off x="1" y="480"/>
            <a:ext cx="503" cy="0"/>
            <a:chOff x="1" y="480"/>
            <a:chExt cx="503" cy="0"/>
          </a:xfrm>
        </cdr:grpSpPr>
        <cdr:sp macro="" textlink="">
          <cdr:nvSpPr>
            <cdr:cNvPr id="37892" name="Line 4"/>
            <cdr:cNvSpPr>
              <a:spLocks xmlns:a="http://schemas.openxmlformats.org/drawingml/2006/main" noChangeShapeType="1"/>
            </cdr:cNvSpPr>
          </cdr:nvSpPr>
          <cdr:spPr bwMode="auto">
            <a:xfrm xmlns:a="http://schemas.openxmlformats.org/drawingml/2006/main">
              <a:off x="1" y="480"/>
              <a:ext cx="172" cy="0"/>
            </a:xfrm>
            <a:prstGeom xmlns:a="http://schemas.openxmlformats.org/drawingml/2006/main" prst="line">
              <a:avLst/>
            </a:prstGeom>
            <a:noFill xmlns:a="http://schemas.openxmlformats.org/drawingml/2006/main"/>
            <a:ln xmlns:a="http://schemas.openxmlformats.org/drawingml/2006/main" w="38100">
              <a:solidFill>
                <a:srgbClr val="00008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sp macro="" textlink="">
          <cdr:nvSpPr>
            <cdr:cNvPr id="37893" name="Line 5"/>
            <cdr:cNvSpPr>
              <a:spLocks xmlns:a="http://schemas.openxmlformats.org/drawingml/2006/main" noChangeShapeType="1"/>
            </cdr:cNvSpPr>
          </cdr:nvSpPr>
          <cdr:spPr bwMode="auto">
            <a:xfrm xmlns:a="http://schemas.openxmlformats.org/drawingml/2006/main" flipV="1">
              <a:off x="173" y="480"/>
              <a:ext cx="331" cy="0"/>
            </a:xfrm>
            <a:prstGeom xmlns:a="http://schemas.openxmlformats.org/drawingml/2006/main" prst="line">
              <a:avLst/>
            </a:prstGeom>
            <a:noFill xmlns:a="http://schemas.openxmlformats.org/drawingml/2006/main"/>
            <a:ln xmlns:a="http://schemas.openxmlformats.org/drawingml/2006/main" w="38100">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grpSp>
    </cdr:grpSp>
  </cdr:relSizeAnchor>
  <cdr:relSizeAnchor xmlns:cdr="http://schemas.openxmlformats.org/drawingml/2006/chartDrawing">
    <cdr:from>
      <cdr:x>0.00195</cdr:x>
      <cdr:y>0.9046</cdr:y>
    </cdr:from>
    <cdr:to>
      <cdr:x>1</cdr:x>
      <cdr:y>1</cdr:y>
    </cdr:to>
    <cdr:grpSp>
      <cdr:nvGrpSpPr>
        <cdr:cNvPr id="12" name="Group 6"/>
        <cdr:cNvGrpSpPr>
          <a:grpSpLocks xmlns:a="http://schemas.openxmlformats.org/drawingml/2006/main"/>
        </cdr:cNvGrpSpPr>
      </cdr:nvGrpSpPr>
      <cdr:grpSpPr bwMode="auto">
        <a:xfrm xmlns:a="http://schemas.openxmlformats.org/drawingml/2006/main">
          <a:off x="9344" y="3240277"/>
          <a:ext cx="4782256" cy="341723"/>
          <a:chOff x="1" y="480"/>
          <a:chExt cx="507" cy="24"/>
        </a:xfrm>
      </cdr:grpSpPr>
    </cdr:grpSp>
  </cdr:relSizeAnchor>
  <cdr:relSizeAnchor xmlns:cdr="http://schemas.openxmlformats.org/drawingml/2006/chartDrawing">
    <cdr:from>
      <cdr:x>0</cdr:x>
      <cdr:y>0.90655</cdr:y>
    </cdr:from>
    <cdr:to>
      <cdr:x>1</cdr:x>
      <cdr:y>1</cdr:y>
    </cdr:to>
    <cdr:grpSp>
      <cdr:nvGrpSpPr>
        <cdr:cNvPr id="185346" name="Group 6"/>
        <cdr:cNvGrpSpPr>
          <a:grpSpLocks xmlns:a="http://schemas.openxmlformats.org/drawingml/2006/main"/>
        </cdr:cNvGrpSpPr>
      </cdr:nvGrpSpPr>
      <cdr:grpSpPr bwMode="auto">
        <a:xfrm xmlns:a="http://schemas.openxmlformats.org/drawingml/2006/main">
          <a:off x="0" y="3247262"/>
          <a:ext cx="4791600" cy="334738"/>
          <a:chOff x="5" y="480"/>
          <a:chExt cx="503" cy="24"/>
        </a:xfrm>
      </cdr:grpSpPr>
      <cdr:sp macro="" textlink="">
        <cdr:nvSpPr>
          <cdr:cNvPr id="13319" name="Rectangle 7"/>
          <cdr:cNvSpPr>
            <a:spLocks xmlns:a="http://schemas.openxmlformats.org/drawingml/2006/main" noChangeArrowheads="1"/>
          </cdr:cNvSpPr>
        </cdr:nvSpPr>
        <cdr:spPr bwMode="auto">
          <a:xfrm xmlns:a="http://schemas.openxmlformats.org/drawingml/2006/main">
            <a:off x="5" y="484"/>
            <a:ext cx="500" cy="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900" b="0" i="0" u="none" strike="noStrike" baseline="0">
                <a:solidFill>
                  <a:srgbClr val="000000"/>
                </a:solidFill>
                <a:latin typeface="宋体"/>
                <a:ea typeface="宋体"/>
              </a:rPr>
              <a:t> 来源：私募通</a:t>
            </a:r>
            <a:r>
              <a:rPr lang="en-US" altLang="zh-CN" sz="900" b="0" i="0" u="none" strike="noStrike" baseline="0">
                <a:solidFill>
                  <a:srgbClr val="000000"/>
                </a:solidFill>
                <a:latin typeface="Arial"/>
                <a:cs typeface="Arial"/>
              </a:rPr>
              <a:t>2014.01                                                                                       www.pedata.cn            </a:t>
            </a:r>
          </a:p>
        </cdr:txBody>
      </cdr:sp>
      <cdr:grpSp>
        <cdr:nvGrpSpPr>
          <cdr:cNvPr id="13" name="Group 8"/>
          <cdr:cNvGrpSpPr>
            <a:grpSpLocks xmlns:a="http://schemas.openxmlformats.org/drawingml/2006/main"/>
          </cdr:cNvGrpSpPr>
        </cdr:nvGrpSpPr>
        <cdr:grpSpPr bwMode="auto">
          <a:xfrm xmlns:a="http://schemas.openxmlformats.org/drawingml/2006/main">
            <a:off x="5" y="480"/>
            <a:ext cx="503" cy="0"/>
            <a:chOff x="1" y="480"/>
            <a:chExt cx="503" cy="0"/>
          </a:xfrm>
        </cdr:grpSpPr>
      </cdr:grpSp>
      <cdr:grpSp>
        <cdr:nvGrpSpPr>
          <cdr:cNvPr id="185348" name="Group 8"/>
          <cdr:cNvGrpSpPr>
            <a:grpSpLocks xmlns:a="http://schemas.openxmlformats.org/drawingml/2006/main"/>
          </cdr:cNvGrpSpPr>
        </cdr:nvGrpSpPr>
        <cdr:grpSpPr bwMode="auto">
          <a:xfrm xmlns:a="http://schemas.openxmlformats.org/drawingml/2006/main">
            <a:off x="5" y="480"/>
            <a:ext cx="503" cy="0"/>
            <a:chOff x="1" y="480"/>
            <a:chExt cx="503" cy="0"/>
          </a:xfrm>
        </cdr:grpSpPr>
        <cdr:sp macro="" textlink="">
          <cdr:nvSpPr>
            <cdr:cNvPr id="13321" name="Line 9"/>
            <cdr:cNvSpPr>
              <a:spLocks xmlns:a="http://schemas.openxmlformats.org/drawingml/2006/main" noChangeShapeType="1"/>
            </cdr:cNvSpPr>
          </cdr:nvSpPr>
          <cdr:spPr bwMode="auto">
            <a:xfrm xmlns:a="http://schemas.openxmlformats.org/drawingml/2006/main">
              <a:off x="1" y="480"/>
              <a:ext cx="172" cy="0"/>
            </a:xfrm>
            <a:prstGeom xmlns:a="http://schemas.openxmlformats.org/drawingml/2006/main" prst="line">
              <a:avLst/>
            </a:prstGeom>
            <a:noFill xmlns:a="http://schemas.openxmlformats.org/drawingml/2006/main"/>
            <a:ln xmlns:a="http://schemas.openxmlformats.org/drawingml/2006/main" w="38100">
              <a:solidFill>
                <a:srgbClr val="00008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sp macro="" textlink="">
          <cdr:nvSpPr>
            <cdr:cNvPr id="13322" name="Line 10"/>
            <cdr:cNvSpPr>
              <a:spLocks xmlns:a="http://schemas.openxmlformats.org/drawingml/2006/main" noChangeShapeType="1"/>
            </cdr:cNvSpPr>
          </cdr:nvSpPr>
          <cdr:spPr bwMode="auto">
            <a:xfrm xmlns:a="http://schemas.openxmlformats.org/drawingml/2006/main" flipV="1">
              <a:off x="173" y="480"/>
              <a:ext cx="331" cy="0"/>
            </a:xfrm>
            <a:prstGeom xmlns:a="http://schemas.openxmlformats.org/drawingml/2006/main" prst="line">
              <a:avLst/>
            </a:prstGeom>
            <a:noFill xmlns:a="http://schemas.openxmlformats.org/drawingml/2006/main"/>
            <a:ln xmlns:a="http://schemas.openxmlformats.org/drawingml/2006/main" w="38100">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grpSp>
    </cdr:grpSp>
  </cdr:relSizeAnchor>
</c:userShapes>
</file>

<file path=word/drawings/drawing4.xml><?xml version="1.0" encoding="utf-8"?>
<c:userShapes xmlns:c="http://schemas.openxmlformats.org/drawingml/2006/chart">
  <cdr:relSizeAnchor xmlns:cdr="http://schemas.openxmlformats.org/drawingml/2006/chartDrawing">
    <cdr:from>
      <cdr:x>0.0022</cdr:x>
      <cdr:y>0.91409</cdr:y>
    </cdr:from>
    <cdr:to>
      <cdr:x>1</cdr:x>
      <cdr:y>1</cdr:y>
    </cdr:to>
    <cdr:grpSp>
      <cdr:nvGrpSpPr>
        <cdr:cNvPr id="12" name="Group 1"/>
        <cdr:cNvGrpSpPr>
          <a:grpSpLocks xmlns:a="http://schemas.openxmlformats.org/drawingml/2006/main"/>
        </cdr:cNvGrpSpPr>
      </cdr:nvGrpSpPr>
      <cdr:grpSpPr bwMode="auto">
        <a:xfrm xmlns:a="http://schemas.openxmlformats.org/drawingml/2006/main">
          <a:off x="10542" y="3274270"/>
          <a:ext cx="4781058" cy="307730"/>
          <a:chOff x="1" y="480"/>
          <a:chExt cx="503" cy="24"/>
        </a:xfrm>
      </cdr:grpSpPr>
    </cdr:grpSp>
  </cdr:relSizeAnchor>
  <cdr:relSizeAnchor xmlns:cdr="http://schemas.openxmlformats.org/drawingml/2006/chartDrawing">
    <cdr:from>
      <cdr:x>0.0002</cdr:x>
      <cdr:y>0.91076</cdr:y>
    </cdr:from>
    <cdr:to>
      <cdr:x>1</cdr:x>
      <cdr:y>1</cdr:y>
    </cdr:to>
    <cdr:grpSp>
      <cdr:nvGrpSpPr>
        <cdr:cNvPr id="186369" name="Group 1"/>
        <cdr:cNvGrpSpPr>
          <a:grpSpLocks xmlns:a="http://schemas.openxmlformats.org/drawingml/2006/main"/>
        </cdr:cNvGrpSpPr>
      </cdr:nvGrpSpPr>
      <cdr:grpSpPr bwMode="auto">
        <a:xfrm xmlns:a="http://schemas.openxmlformats.org/drawingml/2006/main">
          <a:off x="958" y="3262342"/>
          <a:ext cx="4790642" cy="319658"/>
          <a:chOff x="-1" y="480"/>
          <a:chExt cx="505" cy="25"/>
        </a:xfrm>
      </cdr:grpSpPr>
      <cdr:sp macro="" textlink="">
        <cdr:nvSpPr>
          <cdr:cNvPr id="37890" name="Rectangle 2"/>
          <cdr:cNvSpPr>
            <a:spLocks xmlns:a="http://schemas.openxmlformats.org/drawingml/2006/main" noChangeArrowheads="1"/>
          </cdr:cNvSpPr>
        </cdr:nvSpPr>
        <cdr:spPr bwMode="auto">
          <a:xfrm xmlns:a="http://schemas.openxmlformats.org/drawingml/2006/main">
            <a:off x="-1" y="485"/>
            <a:ext cx="505" cy="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1">
              <a:defRPr sz="1000"/>
            </a:pPr>
            <a:r>
              <a:rPr lang="zh-CN" altLang="en-US" sz="900" b="0" i="0" strike="noStrike">
                <a:solidFill>
                  <a:srgbClr val="000000"/>
                </a:solidFill>
                <a:latin typeface="宋体"/>
                <a:ea typeface="宋体"/>
              </a:rPr>
              <a:t>来源：私募通</a:t>
            </a:r>
            <a:r>
              <a:rPr lang="en-US" altLang="zh-CN" sz="900" b="0" i="0" strike="noStrike">
                <a:solidFill>
                  <a:srgbClr val="000000"/>
                </a:solidFill>
                <a:latin typeface="Arial"/>
                <a:cs typeface="Arial"/>
              </a:rPr>
              <a:t>2014.01             </a:t>
            </a:r>
            <a:r>
              <a:rPr lang="en-US" altLang="zh-CN" sz="900" b="0" i="0" strike="noStrike" baseline="0">
                <a:solidFill>
                  <a:srgbClr val="000000"/>
                </a:solidFill>
                <a:latin typeface="Arial"/>
                <a:cs typeface="Arial"/>
              </a:rPr>
              <a:t> </a:t>
            </a:r>
            <a:r>
              <a:rPr lang="en-US" altLang="zh-CN" sz="900" b="0" i="0" strike="noStrike">
                <a:solidFill>
                  <a:srgbClr val="000000"/>
                </a:solidFill>
                <a:latin typeface="Arial"/>
                <a:cs typeface="Arial"/>
              </a:rPr>
              <a:t>                                                                          www.pedata.cn </a:t>
            </a:r>
          </a:p>
        </cdr:txBody>
      </cdr:sp>
      <cdr:grpSp>
        <cdr:nvGrpSpPr>
          <cdr:cNvPr id="15" name="Group 3"/>
          <cdr:cNvGrpSpPr>
            <a:grpSpLocks xmlns:a="http://schemas.openxmlformats.org/drawingml/2006/main"/>
          </cdr:cNvGrpSpPr>
        </cdr:nvGrpSpPr>
        <cdr:grpSpPr bwMode="auto">
          <a:xfrm xmlns:a="http://schemas.openxmlformats.org/drawingml/2006/main">
            <a:off x="1" y="480"/>
            <a:ext cx="503" cy="0"/>
            <a:chOff x="1" y="480"/>
            <a:chExt cx="503" cy="0"/>
          </a:xfrm>
        </cdr:grpSpPr>
      </cdr:grpSp>
      <cdr:grpSp>
        <cdr:nvGrpSpPr>
          <cdr:cNvPr id="186376" name="Group 3"/>
          <cdr:cNvGrpSpPr>
            <a:grpSpLocks xmlns:a="http://schemas.openxmlformats.org/drawingml/2006/main"/>
          </cdr:cNvGrpSpPr>
        </cdr:nvGrpSpPr>
        <cdr:grpSpPr bwMode="auto">
          <a:xfrm xmlns:a="http://schemas.openxmlformats.org/drawingml/2006/main">
            <a:off x="1" y="480"/>
            <a:ext cx="503" cy="0"/>
            <a:chOff x="1" y="480"/>
            <a:chExt cx="503" cy="0"/>
          </a:xfrm>
        </cdr:grpSpPr>
        <cdr:sp macro="" textlink="">
          <cdr:nvSpPr>
            <cdr:cNvPr id="37892" name="Line 4"/>
            <cdr:cNvSpPr>
              <a:spLocks xmlns:a="http://schemas.openxmlformats.org/drawingml/2006/main" noChangeShapeType="1"/>
            </cdr:cNvSpPr>
          </cdr:nvSpPr>
          <cdr:spPr bwMode="auto">
            <a:xfrm xmlns:a="http://schemas.openxmlformats.org/drawingml/2006/main">
              <a:off x="1" y="480"/>
              <a:ext cx="172" cy="0"/>
            </a:xfrm>
            <a:prstGeom xmlns:a="http://schemas.openxmlformats.org/drawingml/2006/main" prst="line">
              <a:avLst/>
            </a:prstGeom>
            <a:noFill xmlns:a="http://schemas.openxmlformats.org/drawingml/2006/main"/>
            <a:ln xmlns:a="http://schemas.openxmlformats.org/drawingml/2006/main" w="38100">
              <a:solidFill>
                <a:srgbClr val="00008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sp macro="" textlink="">
          <cdr:nvSpPr>
            <cdr:cNvPr id="37893" name="Line 5"/>
            <cdr:cNvSpPr>
              <a:spLocks xmlns:a="http://schemas.openxmlformats.org/drawingml/2006/main" noChangeShapeType="1"/>
            </cdr:cNvSpPr>
          </cdr:nvSpPr>
          <cdr:spPr bwMode="auto">
            <a:xfrm xmlns:a="http://schemas.openxmlformats.org/drawingml/2006/main" flipV="1">
              <a:off x="173" y="480"/>
              <a:ext cx="331" cy="0"/>
            </a:xfrm>
            <a:prstGeom xmlns:a="http://schemas.openxmlformats.org/drawingml/2006/main" prst="line">
              <a:avLst/>
            </a:prstGeom>
            <a:noFill xmlns:a="http://schemas.openxmlformats.org/drawingml/2006/main"/>
            <a:ln xmlns:a="http://schemas.openxmlformats.org/drawingml/2006/main" w="38100">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grpSp>
    </cdr:grpSp>
  </cdr:relSizeAnchor>
  <cdr:relSizeAnchor xmlns:cdr="http://schemas.openxmlformats.org/drawingml/2006/chartDrawing">
    <cdr:from>
      <cdr:x>0.08833</cdr:x>
      <cdr:y>0.11815</cdr:y>
    </cdr:from>
    <cdr:to>
      <cdr:x>0.08833</cdr:x>
      <cdr:y>0.11815</cdr:y>
    </cdr:to>
    <cdr:grpSp>
      <cdr:nvGrpSpPr>
        <cdr:cNvPr id="13" name="Group 6"/>
        <cdr:cNvGrpSpPr>
          <a:grpSpLocks xmlns:a="http://schemas.openxmlformats.org/drawingml/2006/main"/>
        </cdr:cNvGrpSpPr>
      </cdr:nvGrpSpPr>
      <cdr:grpSpPr bwMode="auto">
        <a:xfrm xmlns:a="http://schemas.openxmlformats.org/drawingml/2006/main">
          <a:off x="423242" y="423213"/>
          <a:ext cx="0" cy="0"/>
          <a:chOff x="1" y="480"/>
          <a:chExt cx="503" cy="24"/>
        </a:xfrm>
      </cdr:grpSpPr>
    </cdr:grpSp>
  </cdr:relSizeAnchor>
  <cdr:relSizeAnchor xmlns:cdr="http://schemas.openxmlformats.org/drawingml/2006/chartDrawing">
    <cdr:from>
      <cdr:x>0.09813</cdr:x>
      <cdr:y>0.13105</cdr:y>
    </cdr:from>
    <cdr:to>
      <cdr:x>0.09813</cdr:x>
      <cdr:y>0.13105</cdr:y>
    </cdr:to>
    <cdr:grpSp>
      <cdr:nvGrpSpPr>
        <cdr:cNvPr id="186370" name="Group 6"/>
        <cdr:cNvGrpSpPr>
          <a:grpSpLocks xmlns:a="http://schemas.openxmlformats.org/drawingml/2006/main"/>
        </cdr:cNvGrpSpPr>
      </cdr:nvGrpSpPr>
      <cdr:grpSpPr bwMode="auto">
        <a:xfrm xmlns:a="http://schemas.openxmlformats.org/drawingml/2006/main">
          <a:off x="470200" y="469421"/>
          <a:ext cx="0" cy="0"/>
          <a:chOff x="1" y="480"/>
          <a:chExt cx="503" cy="24"/>
        </a:xfrm>
      </cdr:grpSpPr>
      <cdr:sp macro="" textlink="">
        <cdr:nvSpPr>
          <cdr:cNvPr id="15367" name="Rectangle 7"/>
          <cdr:cNvSpPr>
            <a:spLocks xmlns:a="http://schemas.openxmlformats.org/drawingml/2006/main" noChangeArrowheads="1"/>
          </cdr:cNvSpPr>
        </cdr:nvSpPr>
        <cdr:spPr bwMode="auto">
          <a:xfrm xmlns:a="http://schemas.openxmlformats.org/drawingml/2006/main">
            <a:off x="4" y="484"/>
            <a:ext cx="500" cy="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CN" altLang="en-US" sz="900" b="0" i="0" u="none" strike="noStrike" baseline="0">
                <a:solidFill>
                  <a:srgbClr val="000000"/>
                </a:solidFill>
                <a:latin typeface="宋体"/>
                <a:ea typeface="宋体"/>
              </a:rPr>
              <a:t>来源：清科数据库</a:t>
            </a:r>
            <a:r>
              <a:rPr lang="zh-CN" altLang="en-US" sz="900" b="0" i="0" u="none" strike="noStrike" baseline="0">
                <a:solidFill>
                  <a:srgbClr val="000000"/>
                </a:solidFill>
                <a:latin typeface="Arial"/>
                <a:cs typeface="Arial"/>
              </a:rPr>
              <a:t> </a:t>
            </a:r>
            <a:r>
              <a:rPr lang="en-US" altLang="zh-CN" sz="900" b="0" i="0" u="none" strike="noStrike" baseline="0">
                <a:solidFill>
                  <a:srgbClr val="000000"/>
                </a:solidFill>
                <a:latin typeface="Arial"/>
                <a:cs typeface="Arial"/>
              </a:rPr>
              <a:t>2013.01                                                                              www.zdbchina.com            </a:t>
            </a:r>
          </a:p>
        </cdr:txBody>
      </cdr:sp>
      <cdr:grpSp>
        <cdr:nvGrpSpPr>
          <cdr:cNvPr id="14" name="Group 8"/>
          <cdr:cNvGrpSpPr>
            <a:grpSpLocks xmlns:a="http://schemas.openxmlformats.org/drawingml/2006/main"/>
          </cdr:cNvGrpSpPr>
        </cdr:nvGrpSpPr>
        <cdr:grpSpPr bwMode="auto">
          <a:xfrm xmlns:a="http://schemas.openxmlformats.org/drawingml/2006/main">
            <a:off x="1" y="480"/>
            <a:ext cx="503" cy="0"/>
            <a:chOff x="1" y="480"/>
            <a:chExt cx="503" cy="0"/>
          </a:xfrm>
        </cdr:grpSpPr>
      </cdr:grpSp>
      <cdr:grpSp>
        <cdr:nvGrpSpPr>
          <cdr:cNvPr id="186372" name="Group 8"/>
          <cdr:cNvGrpSpPr>
            <a:grpSpLocks xmlns:a="http://schemas.openxmlformats.org/drawingml/2006/main"/>
          </cdr:cNvGrpSpPr>
        </cdr:nvGrpSpPr>
        <cdr:grpSpPr bwMode="auto">
          <a:xfrm xmlns:a="http://schemas.openxmlformats.org/drawingml/2006/main">
            <a:off x="1" y="480"/>
            <a:ext cx="503" cy="0"/>
            <a:chOff x="1" y="480"/>
            <a:chExt cx="503" cy="0"/>
          </a:xfrm>
        </cdr:grpSpPr>
        <cdr:sp macro="" textlink="">
          <cdr:nvSpPr>
            <cdr:cNvPr id="15369" name="Line 9"/>
            <cdr:cNvSpPr>
              <a:spLocks xmlns:a="http://schemas.openxmlformats.org/drawingml/2006/main" noChangeShapeType="1"/>
            </cdr:cNvSpPr>
          </cdr:nvSpPr>
          <cdr:spPr bwMode="auto">
            <a:xfrm xmlns:a="http://schemas.openxmlformats.org/drawingml/2006/main">
              <a:off x="1" y="480"/>
              <a:ext cx="172" cy="0"/>
            </a:xfrm>
            <a:prstGeom xmlns:a="http://schemas.openxmlformats.org/drawingml/2006/main" prst="line">
              <a:avLst/>
            </a:prstGeom>
            <a:noFill xmlns:a="http://schemas.openxmlformats.org/drawingml/2006/main"/>
            <a:ln xmlns:a="http://schemas.openxmlformats.org/drawingml/2006/main" w="38100">
              <a:solidFill>
                <a:srgbClr val="00008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sp macro="" textlink="">
          <cdr:nvSpPr>
            <cdr:cNvPr id="15370" name="Line 10"/>
            <cdr:cNvSpPr>
              <a:spLocks xmlns:a="http://schemas.openxmlformats.org/drawingml/2006/main" noChangeShapeType="1"/>
            </cdr:cNvSpPr>
          </cdr:nvSpPr>
          <cdr:spPr bwMode="auto">
            <a:xfrm xmlns:a="http://schemas.openxmlformats.org/drawingml/2006/main" flipV="1">
              <a:off x="173" y="480"/>
              <a:ext cx="331" cy="0"/>
            </a:xfrm>
            <a:prstGeom xmlns:a="http://schemas.openxmlformats.org/drawingml/2006/main" prst="line">
              <a:avLst/>
            </a:prstGeom>
            <a:noFill xmlns:a="http://schemas.openxmlformats.org/drawingml/2006/main"/>
            <a:ln xmlns:a="http://schemas.openxmlformats.org/drawingml/2006/main" w="38100">
              <a:solidFill>
                <a:srgbClr val="C0C0C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grpSp>
    </cdr:grp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清科报告模板SX-最新</Template>
  <TotalTime>1</TotalTime>
  <Pages>1</Pages>
  <Words>466</Words>
  <Characters>2658</Characters>
  <Application>Microsoft Office Word</Application>
  <DocSecurity>0</DocSecurity>
  <Lines>22</Lines>
  <Paragraphs>6</Paragraphs>
  <ScaleCrop>false</ScaleCrop>
  <Company/>
  <LinksUpToDate>false</LinksUpToDate>
  <CharactersWithSpaces>3118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雨林木风</dc:creator>
  <cp:lastModifiedBy>jewelyao</cp:lastModifiedBy>
  <cp:revision>4</cp:revision>
  <dcterms:created xsi:type="dcterms:W3CDTF">2014-01-08T05:16:00Z</dcterms:created>
  <dcterms:modified xsi:type="dcterms:W3CDTF">2014-01-08T05:18:00Z</dcterms:modified>
</cp:coreProperties>
</file>