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5BF" w:rsidRPr="006B085A" w:rsidRDefault="000865BF" w:rsidP="00B10000">
      <w:pPr>
        <w:widowControl/>
        <w:spacing w:after="120" w:line="240" w:lineRule="exact"/>
        <w:ind w:left="3430"/>
        <w:rPr>
          <w:rFonts w:ascii="Arial" w:eastAsia="KaiTi_GB2312" w:hAnsi="Arial"/>
          <w:b/>
          <w:bCs/>
          <w:color w:val="0070C0"/>
          <w:kern w:val="0"/>
          <w:sz w:val="24"/>
          <w:szCs w:val="20"/>
          <w:lang w:val="en-GB"/>
        </w:rPr>
      </w:pPr>
      <w:r>
        <w:rPr>
          <w:noProof/>
        </w:rPr>
        <w:pict>
          <v:shapetype id="_x0000_t202" coordsize="21600,21600" o:spt="202" path="m,l,21600r21600,l21600,xe">
            <v:stroke joinstyle="miter"/>
            <v:path gradientshapeok="t" o:connecttype="rect"/>
          </v:shapetype>
          <v:shape id="_x0000_s1035" type="#_x0000_t202" style="position:absolute;left:0;text-align:left;margin-left:1.5pt;margin-top:285.2pt;width:148.5pt;height:275.6pt;z-index:251656704" strokecolor="white" strokeweight="0">
            <v:stroke dashstyle="1 1" endcap="round"/>
            <v:textbox style="mso-next-textbox:#_x0000_s1035">
              <w:txbxContent>
                <w:p w:rsidR="000865BF" w:rsidRPr="00635482" w:rsidRDefault="000865BF" w:rsidP="002A2B89">
                  <w:pPr>
                    <w:rPr>
                      <w:rFonts w:ascii="楷体" w:eastAsia="楷体" w:hAnsi="楷体"/>
                      <w:b/>
                      <w:lang w:val="en-GB"/>
                    </w:rPr>
                  </w:pPr>
                  <w:r w:rsidRPr="00635482">
                    <w:rPr>
                      <w:rFonts w:ascii="楷体" w:eastAsia="楷体" w:hAnsi="楷体" w:hint="eastAsia"/>
                      <w:b/>
                      <w:lang w:val="en-GB"/>
                    </w:rPr>
                    <w:t>凯石工场移动平台：</w:t>
                  </w:r>
                </w:p>
                <w:p w:rsidR="000865BF" w:rsidRPr="00635482" w:rsidRDefault="000865BF" w:rsidP="002A2B89">
                  <w:pPr>
                    <w:rPr>
                      <w:rFonts w:ascii="楷体" w:eastAsia="楷体" w:hAnsi="楷体"/>
                      <w:lang w:val="en-GB"/>
                    </w:rPr>
                  </w:pPr>
                </w:p>
                <w:p w:rsidR="000865BF" w:rsidRPr="00635482" w:rsidRDefault="000865BF" w:rsidP="002A2B89">
                  <w:r w:rsidRPr="00635482">
                    <w:rPr>
                      <w:rFonts w:ascii="楷体" w:eastAsia="楷体" w:hAnsi="楷体" w:hint="eastAsia"/>
                      <w:lang w:val="en-GB"/>
                    </w:rPr>
                    <w:t>官方微博：</w:t>
                  </w:r>
                </w:p>
                <w:p w:rsidR="000865BF" w:rsidRPr="00635482" w:rsidRDefault="000865BF" w:rsidP="002A2B89">
                  <w:pPr>
                    <w:rPr>
                      <w:rFonts w:ascii="楷体" w:eastAsia="楷体" w:hAnsi="楷体"/>
                      <w:lang w:val="en-GB"/>
                    </w:rPr>
                  </w:pPr>
                  <w:r w:rsidRPr="00635482">
                    <w:rPr>
                      <w:rFonts w:ascii="楷体" w:eastAsia="楷体" w:hAnsi="楷体" w:hint="eastAsia"/>
                      <w:lang w:val="en-GB"/>
                    </w:rPr>
                    <w:t>凯石财富工场</w:t>
                  </w:r>
                </w:p>
                <w:p w:rsidR="000865BF" w:rsidRDefault="000865BF" w:rsidP="002A2B89">
                  <w:r w:rsidRPr="00717DB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i1043" type="#_x0000_t75" alt="66.jpg" style="width:73.5pt;height:73.5pt;visibility:visible">
                        <v:imagedata r:id="rId7" o:title=""/>
                      </v:shape>
                    </w:pict>
                  </w:r>
                </w:p>
                <w:p w:rsidR="000865BF" w:rsidRDefault="000865BF" w:rsidP="002A2B89">
                  <w:pPr>
                    <w:rPr>
                      <w:rFonts w:ascii="楷体" w:eastAsia="楷体" w:hAnsi="楷体"/>
                      <w:b/>
                      <w:lang w:val="en-GB"/>
                    </w:rPr>
                  </w:pPr>
                </w:p>
                <w:p w:rsidR="000865BF" w:rsidRPr="00635482" w:rsidRDefault="000865BF" w:rsidP="002A2B89">
                  <w:pPr>
                    <w:rPr>
                      <w:rFonts w:ascii="楷体" w:eastAsia="楷体" w:hAnsi="楷体"/>
                      <w:lang w:val="en-GB"/>
                    </w:rPr>
                  </w:pPr>
                  <w:r w:rsidRPr="00635482">
                    <w:rPr>
                      <w:rFonts w:ascii="楷体" w:eastAsia="楷体" w:hAnsi="楷体" w:hint="eastAsia"/>
                      <w:lang w:val="en-GB"/>
                    </w:rPr>
                    <w:t>官方微信：</w:t>
                  </w:r>
                </w:p>
                <w:p w:rsidR="000865BF" w:rsidRPr="00635482" w:rsidRDefault="000865BF" w:rsidP="002A2B89">
                  <w:pPr>
                    <w:rPr>
                      <w:rFonts w:ascii="楷体" w:eastAsia="楷体" w:hAnsi="楷体"/>
                      <w:lang w:val="en-GB"/>
                    </w:rPr>
                  </w:pPr>
                  <w:r w:rsidRPr="00635482">
                    <w:rPr>
                      <w:rFonts w:ascii="楷体" w:eastAsia="楷体" w:hAnsi="楷体" w:hint="eastAsia"/>
                      <w:lang w:val="en-GB"/>
                    </w:rPr>
                    <w:t>凯石财富知音订阅号</w:t>
                  </w:r>
                </w:p>
                <w:p w:rsidR="000865BF" w:rsidRDefault="000865BF" w:rsidP="002A2B89">
                  <w:r w:rsidRPr="0091641A">
                    <w:rPr>
                      <w:rFonts w:ascii="楷体" w:eastAsia="楷体" w:hAnsi="楷体"/>
                      <w:b/>
                      <w:noProof/>
                    </w:rPr>
                    <w:pict>
                      <v:shape id="图片 7" o:spid="_x0000_i1044" type="#_x0000_t75" alt="凯石财富知音订阅号3.jpg" style="width:75pt;height:75pt;visibility:visible">
                        <v:imagedata r:id="rId8" o:title=""/>
                      </v:shape>
                    </w:pict>
                  </w:r>
                </w:p>
              </w:txbxContent>
            </v:textbox>
          </v:shape>
        </w:pict>
      </w:r>
      <w:r w:rsidRPr="006B085A">
        <w:rPr>
          <w:rFonts w:ascii="Arial" w:eastAsia="KaiTi_GB2312" w:hAnsi="Arial" w:hint="eastAsia"/>
          <w:b/>
          <w:bCs/>
          <w:color w:val="0070C0"/>
          <w:kern w:val="0"/>
          <w:sz w:val="24"/>
          <w:szCs w:val="20"/>
          <w:lang w:val="en-GB"/>
        </w:rPr>
        <w:t>导语</w:t>
      </w:r>
    </w:p>
    <w:p w:rsidR="000865BF" w:rsidRDefault="000865BF" w:rsidP="000C7ABD">
      <w:pPr>
        <w:pStyle w:val="BodyText"/>
        <w:numPr>
          <w:ilvl w:val="4"/>
          <w:numId w:val="4"/>
        </w:numPr>
        <w:spacing w:after="163"/>
        <w:rPr>
          <w:b/>
          <w:color w:val="auto"/>
        </w:rPr>
      </w:pPr>
      <w:r w:rsidRPr="00CF1618">
        <w:rPr>
          <w:rFonts w:cs="Arial"/>
          <w:b/>
          <w:color w:val="auto"/>
        </w:rPr>
        <w:t>8</w:t>
      </w:r>
      <w:r w:rsidRPr="00CF1618">
        <w:rPr>
          <w:rFonts w:hint="eastAsia"/>
          <w:b/>
          <w:color w:val="auto"/>
        </w:rPr>
        <w:t>月宏观数据全面回落，经济企稳复苏动能放缓</w:t>
      </w:r>
      <w:r>
        <w:rPr>
          <w:rFonts w:hint="eastAsia"/>
          <w:b/>
          <w:color w:val="auto"/>
        </w:rPr>
        <w:t>，新股申购对资金面造成一定冲击，主板市场震荡收官，中小板、创业板强势反弹。偏股基金月内平均收益</w:t>
      </w:r>
      <w:r w:rsidRPr="00CF1618">
        <w:rPr>
          <w:b/>
          <w:color w:val="auto"/>
        </w:rPr>
        <w:t>1.90%</w:t>
      </w:r>
      <w:r>
        <w:rPr>
          <w:rFonts w:hint="eastAsia"/>
          <w:b/>
          <w:color w:val="auto"/>
        </w:rPr>
        <w:t>，成长风格基金再度走强。债市回暖，债券型基金喜迎普涨；海外欧美股指走高，</w:t>
      </w:r>
      <w:r w:rsidRPr="00CF1618">
        <w:rPr>
          <w:rFonts w:hint="eastAsia"/>
          <w:b/>
          <w:color w:val="auto"/>
        </w:rPr>
        <w:t>美股</w:t>
      </w:r>
      <w:r w:rsidRPr="00CF1618">
        <w:rPr>
          <w:b/>
          <w:color w:val="auto"/>
        </w:rPr>
        <w:t>QDII</w:t>
      </w:r>
      <w:r w:rsidRPr="00CF1618">
        <w:rPr>
          <w:rFonts w:hint="eastAsia"/>
          <w:b/>
          <w:color w:val="auto"/>
        </w:rPr>
        <w:t>涨势喜人，地产、油气主题表现活跃</w:t>
      </w:r>
      <w:r>
        <w:rPr>
          <w:rFonts w:hint="eastAsia"/>
          <w:b/>
          <w:color w:val="auto"/>
        </w:rPr>
        <w:t>。</w:t>
      </w:r>
      <w:r>
        <w:rPr>
          <w:b/>
          <w:color w:val="auto"/>
        </w:rPr>
        <w:t xml:space="preserve"> </w:t>
      </w:r>
    </w:p>
    <w:p w:rsidR="000865BF" w:rsidRDefault="000865BF" w:rsidP="000C7ABD">
      <w:pPr>
        <w:pStyle w:val="BodyText"/>
        <w:numPr>
          <w:ilvl w:val="4"/>
          <w:numId w:val="4"/>
        </w:numPr>
        <w:spacing w:after="163"/>
        <w:rPr>
          <w:b/>
          <w:color w:val="auto"/>
        </w:rPr>
      </w:pPr>
      <w:r w:rsidRPr="00CF1618">
        <w:rPr>
          <w:rFonts w:cs="Arial"/>
          <w:b/>
          <w:color w:val="auto"/>
        </w:rPr>
        <w:t>8</w:t>
      </w:r>
      <w:r w:rsidRPr="00CF1618">
        <w:rPr>
          <w:rFonts w:hint="eastAsia"/>
          <w:b/>
          <w:color w:val="auto"/>
        </w:rPr>
        <w:t>月，新基金设立节奏加快，全月共有</w:t>
      </w:r>
      <w:r w:rsidRPr="00CF1618">
        <w:rPr>
          <w:b/>
          <w:color w:val="auto"/>
        </w:rPr>
        <w:t>30</w:t>
      </w:r>
      <w:r w:rsidRPr="00CF1618">
        <w:rPr>
          <w:rFonts w:hint="eastAsia"/>
          <w:b/>
          <w:color w:val="auto"/>
        </w:rPr>
        <w:t>只基金成立，总募集规模</w:t>
      </w:r>
      <w:r w:rsidRPr="00CF1618">
        <w:rPr>
          <w:b/>
          <w:color w:val="auto"/>
        </w:rPr>
        <w:t>284.02</w:t>
      </w:r>
      <w:r w:rsidRPr="00CF1618">
        <w:rPr>
          <w:rFonts w:hint="eastAsia"/>
          <w:b/>
          <w:color w:val="auto"/>
        </w:rPr>
        <w:t>亿元，数量及规模均较上月实现倍增，与此同时平均募集规模较上月提升</w:t>
      </w:r>
      <w:r w:rsidRPr="00CF1618">
        <w:rPr>
          <w:b/>
          <w:color w:val="auto"/>
        </w:rPr>
        <w:t>1.22</w:t>
      </w:r>
      <w:r w:rsidRPr="00CF1618">
        <w:rPr>
          <w:rFonts w:hint="eastAsia"/>
          <w:b/>
          <w:color w:val="auto"/>
        </w:rPr>
        <w:t>亿元至</w:t>
      </w:r>
      <w:r w:rsidRPr="00CF1618">
        <w:rPr>
          <w:b/>
          <w:color w:val="auto"/>
        </w:rPr>
        <w:t>9.47</w:t>
      </w:r>
      <w:r w:rsidRPr="00CF1618">
        <w:rPr>
          <w:rFonts w:hint="eastAsia"/>
          <w:b/>
          <w:color w:val="auto"/>
        </w:rPr>
        <w:t>亿元。</w:t>
      </w:r>
    </w:p>
    <w:p w:rsidR="000865BF" w:rsidRPr="00D71B0C" w:rsidRDefault="000865BF" w:rsidP="000C7ABD">
      <w:pPr>
        <w:pStyle w:val="BodyText"/>
        <w:numPr>
          <w:ilvl w:val="4"/>
          <w:numId w:val="4"/>
        </w:numPr>
        <w:spacing w:after="163"/>
        <w:rPr>
          <w:b/>
          <w:color w:val="auto"/>
        </w:rPr>
      </w:pPr>
      <w:r>
        <w:rPr>
          <w:rFonts w:hint="eastAsia"/>
          <w:b/>
          <w:color w:val="auto"/>
        </w:rPr>
        <w:t>行业发展动态方面，</w:t>
      </w:r>
      <w:r w:rsidRPr="00CF1618">
        <w:rPr>
          <w:rFonts w:hint="eastAsia"/>
          <w:b/>
          <w:color w:val="auto"/>
        </w:rPr>
        <w:t>基金业协会发布《公开募集证券投资基金销售公平竞争行为规范》，对于确保基金销售合法、规范、有序开展，营造公平竞争环境，保护投资者利益起到重要推动作用。沪市小额账户实时申赎货基限制放开</w:t>
      </w:r>
      <w:r>
        <w:rPr>
          <w:rFonts w:hint="eastAsia"/>
          <w:b/>
          <w:color w:val="auto"/>
        </w:rPr>
        <w:t>，小额投资者</w:t>
      </w:r>
      <w:r w:rsidRPr="00CF1618">
        <w:rPr>
          <w:rFonts w:hint="eastAsia"/>
          <w:b/>
          <w:color w:val="auto"/>
        </w:rPr>
        <w:t>账户</w:t>
      </w:r>
      <w:r>
        <w:rPr>
          <w:rFonts w:hint="eastAsia"/>
          <w:b/>
          <w:color w:val="auto"/>
        </w:rPr>
        <w:t>可</w:t>
      </w:r>
      <w:r w:rsidRPr="00CF1618">
        <w:rPr>
          <w:rFonts w:hint="eastAsia"/>
          <w:b/>
          <w:color w:val="auto"/>
        </w:rPr>
        <w:t>不受基金净赎回额度限制。汇添富基金发布了关于召开汇添富理财</w:t>
      </w:r>
      <w:r w:rsidRPr="00CF1618">
        <w:rPr>
          <w:b/>
          <w:color w:val="auto"/>
        </w:rPr>
        <w:t>28</w:t>
      </w:r>
      <w:r w:rsidRPr="00CF1618">
        <w:rPr>
          <w:rFonts w:hint="eastAsia"/>
          <w:b/>
          <w:color w:val="auto"/>
        </w:rPr>
        <w:t>天债券型证券投资基金基金份额持有人大会的公告，将审议关于终止汇添富理财</w:t>
      </w:r>
      <w:r w:rsidRPr="00CF1618">
        <w:rPr>
          <w:b/>
          <w:color w:val="auto"/>
        </w:rPr>
        <w:t>28</w:t>
      </w:r>
      <w:r w:rsidRPr="00CF1618">
        <w:rPr>
          <w:rFonts w:hint="eastAsia"/>
          <w:b/>
          <w:color w:val="auto"/>
        </w:rPr>
        <w:t>天债券型证券投资基金基金合同有关事项的议案</w:t>
      </w:r>
      <w:r>
        <w:rPr>
          <w:rFonts w:hint="eastAsia"/>
          <w:b/>
          <w:color w:val="auto"/>
        </w:rPr>
        <w:t>，成为首只提出主动清盘的公募基金，为迷你基金处置提供新思路</w:t>
      </w:r>
      <w:r w:rsidRPr="00CF1618">
        <w:rPr>
          <w:rFonts w:hint="eastAsia"/>
          <w:b/>
          <w:color w:val="auto"/>
        </w:rPr>
        <w:t>。</w:t>
      </w:r>
    </w:p>
    <w:p w:rsidR="000865BF" w:rsidRDefault="000865BF" w:rsidP="001E7E57">
      <w:pPr>
        <w:widowControl/>
        <w:spacing w:beforeLines="100" w:after="120" w:line="240" w:lineRule="exact"/>
        <w:ind w:left="3430"/>
        <w:rPr>
          <w:rFonts w:ascii="Arial" w:eastAsia="KaiTi_GB2312" w:hAnsi="Arial"/>
          <w:b/>
          <w:bCs/>
          <w:color w:val="0070C0"/>
          <w:kern w:val="0"/>
          <w:sz w:val="24"/>
          <w:szCs w:val="20"/>
          <w:lang w:val="en-GB"/>
        </w:rPr>
      </w:pPr>
      <w:r>
        <w:rPr>
          <w:rFonts w:ascii="Arial" w:eastAsia="KaiTi_GB2312" w:hAnsi="Arial" w:hint="eastAsia"/>
          <w:b/>
          <w:bCs/>
          <w:color w:val="0070C0"/>
          <w:kern w:val="0"/>
          <w:sz w:val="24"/>
          <w:szCs w:val="20"/>
          <w:lang w:val="en-GB"/>
        </w:rPr>
        <w:t>公募产品月度业绩回顾</w:t>
      </w:r>
    </w:p>
    <w:tbl>
      <w:tblPr>
        <w:tblW w:w="6586" w:type="dxa"/>
        <w:tblInd w:w="4087" w:type="dxa"/>
        <w:tblLook w:val="00A0"/>
      </w:tblPr>
      <w:tblGrid>
        <w:gridCol w:w="1975"/>
        <w:gridCol w:w="2692"/>
        <w:gridCol w:w="1919"/>
      </w:tblGrid>
      <w:tr w:rsidR="000865BF" w:rsidRPr="0091641A" w:rsidTr="00442BB8">
        <w:trPr>
          <w:trHeight w:val="286"/>
        </w:trPr>
        <w:tc>
          <w:tcPr>
            <w:tcW w:w="6586" w:type="dxa"/>
            <w:gridSpan w:val="3"/>
            <w:tcBorders>
              <w:top w:val="single" w:sz="8" w:space="0" w:color="F79646"/>
              <w:left w:val="nil"/>
              <w:bottom w:val="single" w:sz="8" w:space="0" w:color="F79646"/>
              <w:right w:val="nil"/>
            </w:tcBorders>
            <w:noWrap/>
            <w:vAlign w:val="bottom"/>
          </w:tcPr>
          <w:p w:rsidR="000865BF" w:rsidRPr="00442BB8" w:rsidRDefault="000865BF" w:rsidP="00353348">
            <w:pPr>
              <w:widowControl/>
              <w:snapToGrid w:val="0"/>
              <w:jc w:val="left"/>
              <w:rPr>
                <w:rFonts w:ascii="宋体" w:cs="宋体"/>
                <w:b/>
                <w:bCs/>
                <w:i/>
                <w:iCs/>
                <w:color w:val="E36C0A"/>
                <w:kern w:val="0"/>
                <w:sz w:val="20"/>
                <w:szCs w:val="20"/>
              </w:rPr>
            </w:pPr>
            <w:r w:rsidRPr="00442BB8">
              <w:rPr>
                <w:rFonts w:ascii="宋体" w:hAnsi="宋体" w:cs="宋体" w:hint="eastAsia"/>
                <w:b/>
                <w:bCs/>
                <w:i/>
                <w:iCs/>
                <w:color w:val="E36C0A"/>
                <w:kern w:val="0"/>
                <w:sz w:val="20"/>
                <w:szCs w:val="20"/>
              </w:rPr>
              <w:t>图表</w:t>
            </w:r>
            <w:r w:rsidRPr="00442BB8">
              <w:rPr>
                <w:rFonts w:ascii="宋体" w:hAnsi="宋体" w:cs="宋体"/>
                <w:b/>
                <w:bCs/>
                <w:i/>
                <w:iCs/>
                <w:color w:val="E36C0A"/>
                <w:kern w:val="0"/>
                <w:sz w:val="20"/>
                <w:szCs w:val="20"/>
              </w:rPr>
              <w:t>1:2014</w:t>
            </w:r>
            <w:r w:rsidRPr="00442BB8">
              <w:rPr>
                <w:rFonts w:ascii="宋体" w:hAnsi="宋体" w:cs="宋体" w:hint="eastAsia"/>
                <w:b/>
                <w:bCs/>
                <w:i/>
                <w:iCs/>
                <w:color w:val="E36C0A"/>
                <w:kern w:val="0"/>
                <w:sz w:val="20"/>
                <w:szCs w:val="20"/>
              </w:rPr>
              <w:t>年</w:t>
            </w:r>
            <w:r w:rsidRPr="00442BB8">
              <w:rPr>
                <w:rFonts w:ascii="宋体" w:hAnsi="宋体" w:cs="宋体"/>
                <w:b/>
                <w:bCs/>
                <w:i/>
                <w:iCs/>
                <w:color w:val="E36C0A"/>
                <w:kern w:val="0"/>
                <w:sz w:val="20"/>
                <w:szCs w:val="20"/>
              </w:rPr>
              <w:t>7</w:t>
            </w:r>
            <w:r w:rsidRPr="00442BB8">
              <w:rPr>
                <w:rFonts w:ascii="宋体" w:hAnsi="宋体" w:cs="宋体" w:hint="eastAsia"/>
                <w:b/>
                <w:bCs/>
                <w:i/>
                <w:iCs/>
                <w:color w:val="E36C0A"/>
                <w:kern w:val="0"/>
                <w:sz w:val="20"/>
                <w:szCs w:val="20"/>
              </w:rPr>
              <w:t>月各类基金平均业绩</w:t>
            </w:r>
          </w:p>
        </w:tc>
      </w:tr>
      <w:tr w:rsidR="000865BF" w:rsidRPr="0091641A" w:rsidTr="00442BB8">
        <w:trPr>
          <w:trHeight w:val="738"/>
        </w:trPr>
        <w:tc>
          <w:tcPr>
            <w:tcW w:w="1975" w:type="dxa"/>
            <w:tcBorders>
              <w:top w:val="nil"/>
              <w:left w:val="nil"/>
              <w:bottom w:val="single" w:sz="8" w:space="0" w:color="F79646"/>
              <w:right w:val="nil"/>
            </w:tcBorders>
            <w:vAlign w:val="center"/>
          </w:tcPr>
          <w:p w:rsidR="000865BF" w:rsidRPr="00442BB8" w:rsidRDefault="000865BF" w:rsidP="00353348">
            <w:pPr>
              <w:widowControl/>
              <w:snapToGrid w:val="0"/>
              <w:jc w:val="center"/>
              <w:rPr>
                <w:rFonts w:ascii="宋体" w:cs="宋体"/>
                <w:color w:val="000000"/>
                <w:kern w:val="0"/>
                <w:sz w:val="20"/>
                <w:szCs w:val="20"/>
              </w:rPr>
            </w:pPr>
            <w:r w:rsidRPr="00442BB8">
              <w:rPr>
                <w:rFonts w:ascii="宋体" w:hAnsi="宋体" w:cs="宋体" w:hint="eastAsia"/>
                <w:color w:val="000000"/>
                <w:kern w:val="0"/>
                <w:sz w:val="20"/>
                <w:szCs w:val="20"/>
              </w:rPr>
              <w:t>基金类型</w:t>
            </w:r>
          </w:p>
        </w:tc>
        <w:tc>
          <w:tcPr>
            <w:tcW w:w="2692" w:type="dxa"/>
            <w:tcBorders>
              <w:top w:val="nil"/>
              <w:left w:val="nil"/>
              <w:bottom w:val="single" w:sz="8" w:space="0" w:color="F79646"/>
              <w:right w:val="nil"/>
            </w:tcBorders>
            <w:vAlign w:val="center"/>
          </w:tcPr>
          <w:p w:rsidR="000865BF" w:rsidRPr="00442BB8" w:rsidRDefault="000865BF" w:rsidP="00353348">
            <w:pPr>
              <w:widowControl/>
              <w:snapToGrid w:val="0"/>
              <w:jc w:val="center"/>
              <w:rPr>
                <w:rFonts w:ascii="宋体" w:cs="宋体"/>
                <w:color w:val="000000"/>
                <w:kern w:val="0"/>
                <w:sz w:val="20"/>
                <w:szCs w:val="20"/>
              </w:rPr>
            </w:pPr>
            <w:r w:rsidRPr="00442BB8">
              <w:rPr>
                <w:rFonts w:ascii="宋体" w:hAnsi="宋体" w:cs="宋体"/>
                <w:color w:val="000000"/>
                <w:kern w:val="0"/>
                <w:sz w:val="20"/>
                <w:szCs w:val="20"/>
              </w:rPr>
              <w:t>2014</w:t>
            </w:r>
            <w:r w:rsidRPr="00442BB8">
              <w:rPr>
                <w:rFonts w:ascii="宋体" w:hAnsi="宋体" w:cs="宋体" w:hint="eastAsia"/>
                <w:color w:val="000000"/>
                <w:kern w:val="0"/>
                <w:sz w:val="20"/>
                <w:szCs w:val="20"/>
              </w:rPr>
              <w:t>年</w:t>
            </w:r>
            <w:r>
              <w:rPr>
                <w:rFonts w:ascii="宋体" w:hAnsi="宋体" w:cs="宋体"/>
                <w:color w:val="000000"/>
                <w:kern w:val="0"/>
                <w:sz w:val="20"/>
                <w:szCs w:val="20"/>
              </w:rPr>
              <w:t>8</w:t>
            </w:r>
            <w:r w:rsidRPr="00442BB8">
              <w:rPr>
                <w:rFonts w:ascii="宋体" w:hAnsi="宋体" w:cs="宋体" w:hint="eastAsia"/>
                <w:color w:val="000000"/>
                <w:kern w:val="0"/>
                <w:sz w:val="20"/>
                <w:szCs w:val="20"/>
              </w:rPr>
              <w:t>月平均业绩</w:t>
            </w:r>
            <w:r w:rsidRPr="00442BB8">
              <w:rPr>
                <w:rFonts w:ascii="宋体" w:hAnsi="宋体" w:cs="宋体"/>
                <w:color w:val="000000"/>
                <w:kern w:val="0"/>
                <w:sz w:val="20"/>
                <w:szCs w:val="20"/>
              </w:rPr>
              <w:t>(%)</w:t>
            </w:r>
          </w:p>
        </w:tc>
        <w:tc>
          <w:tcPr>
            <w:tcW w:w="1919" w:type="dxa"/>
            <w:tcBorders>
              <w:top w:val="nil"/>
              <w:left w:val="nil"/>
              <w:bottom w:val="single" w:sz="8" w:space="0" w:color="F79646"/>
              <w:right w:val="nil"/>
            </w:tcBorders>
            <w:vAlign w:val="center"/>
          </w:tcPr>
          <w:p w:rsidR="000865BF" w:rsidRPr="00442BB8" w:rsidRDefault="000865BF" w:rsidP="00353348">
            <w:pPr>
              <w:widowControl/>
              <w:snapToGrid w:val="0"/>
              <w:jc w:val="center"/>
              <w:rPr>
                <w:rFonts w:ascii="宋体" w:cs="宋体"/>
                <w:color w:val="000000"/>
                <w:kern w:val="0"/>
                <w:sz w:val="20"/>
                <w:szCs w:val="20"/>
              </w:rPr>
            </w:pPr>
            <w:r w:rsidRPr="00442BB8">
              <w:rPr>
                <w:rFonts w:ascii="宋体" w:hAnsi="宋体" w:cs="宋体" w:hint="eastAsia"/>
                <w:color w:val="000000"/>
                <w:kern w:val="0"/>
                <w:sz w:val="20"/>
                <w:szCs w:val="20"/>
              </w:rPr>
              <w:t>样本数量</w:t>
            </w:r>
          </w:p>
        </w:tc>
      </w:tr>
      <w:tr w:rsidR="000865BF" w:rsidRPr="0091641A" w:rsidTr="00442BB8">
        <w:trPr>
          <w:trHeight w:val="271"/>
        </w:trPr>
        <w:tc>
          <w:tcPr>
            <w:tcW w:w="1975" w:type="dxa"/>
            <w:tcBorders>
              <w:top w:val="nil"/>
              <w:left w:val="nil"/>
              <w:bottom w:val="nil"/>
              <w:right w:val="nil"/>
            </w:tcBorders>
            <w:noWrap/>
            <w:vAlign w:val="bottom"/>
          </w:tcPr>
          <w:p w:rsidR="000865BF" w:rsidRPr="00442BB8" w:rsidRDefault="000865BF" w:rsidP="00353348">
            <w:pPr>
              <w:widowControl/>
              <w:snapToGrid w:val="0"/>
              <w:rPr>
                <w:rFonts w:ascii="宋体" w:cs="宋体"/>
                <w:color w:val="000000"/>
                <w:kern w:val="0"/>
                <w:sz w:val="20"/>
                <w:szCs w:val="20"/>
              </w:rPr>
            </w:pPr>
            <w:r w:rsidRPr="00442BB8">
              <w:rPr>
                <w:rFonts w:ascii="宋体" w:hAnsi="宋体" w:cs="宋体" w:hint="eastAsia"/>
                <w:color w:val="000000"/>
                <w:kern w:val="0"/>
                <w:sz w:val="20"/>
                <w:szCs w:val="20"/>
              </w:rPr>
              <w:t>传统封闭式</w:t>
            </w:r>
          </w:p>
        </w:tc>
        <w:tc>
          <w:tcPr>
            <w:tcW w:w="2692" w:type="dxa"/>
            <w:tcBorders>
              <w:top w:val="nil"/>
              <w:left w:val="nil"/>
              <w:bottom w:val="nil"/>
              <w:right w:val="nil"/>
            </w:tcBorders>
            <w:noWrap/>
            <w:vAlign w:val="bottom"/>
          </w:tcPr>
          <w:p w:rsidR="000865BF" w:rsidRPr="00CE5DB5" w:rsidRDefault="000865BF" w:rsidP="00353348">
            <w:pPr>
              <w:widowControl/>
              <w:snapToGrid w:val="0"/>
              <w:jc w:val="center"/>
              <w:rPr>
                <w:rFonts w:ascii="宋体" w:cs="宋体"/>
                <w:color w:val="000000"/>
                <w:kern w:val="0"/>
                <w:sz w:val="20"/>
                <w:szCs w:val="20"/>
              </w:rPr>
            </w:pPr>
            <w:r w:rsidRPr="00CE5DB5">
              <w:rPr>
                <w:rFonts w:ascii="宋体" w:hAnsi="宋体" w:cs="宋体"/>
                <w:color w:val="000000"/>
                <w:kern w:val="0"/>
                <w:sz w:val="20"/>
                <w:szCs w:val="20"/>
              </w:rPr>
              <w:t>5.83</w:t>
            </w:r>
          </w:p>
        </w:tc>
        <w:tc>
          <w:tcPr>
            <w:tcW w:w="1919" w:type="dxa"/>
            <w:tcBorders>
              <w:top w:val="nil"/>
              <w:left w:val="nil"/>
              <w:bottom w:val="nil"/>
              <w:right w:val="nil"/>
            </w:tcBorders>
            <w:noWrap/>
            <w:vAlign w:val="bottom"/>
          </w:tcPr>
          <w:p w:rsidR="000865BF" w:rsidRPr="00442BB8" w:rsidRDefault="000865BF" w:rsidP="00353348">
            <w:pPr>
              <w:widowControl/>
              <w:snapToGrid w:val="0"/>
              <w:jc w:val="center"/>
              <w:rPr>
                <w:rFonts w:ascii="宋体" w:cs="宋体"/>
                <w:color w:val="000000"/>
                <w:kern w:val="0"/>
                <w:sz w:val="20"/>
                <w:szCs w:val="20"/>
              </w:rPr>
            </w:pPr>
            <w:r w:rsidRPr="00442BB8">
              <w:rPr>
                <w:rFonts w:ascii="宋体" w:hAnsi="宋体" w:cs="宋体"/>
                <w:color w:val="000000"/>
                <w:kern w:val="0"/>
                <w:sz w:val="20"/>
                <w:szCs w:val="20"/>
              </w:rPr>
              <w:t>10</w:t>
            </w:r>
          </w:p>
        </w:tc>
      </w:tr>
      <w:tr w:rsidR="000865BF" w:rsidRPr="0091641A" w:rsidTr="00442BB8">
        <w:trPr>
          <w:trHeight w:val="271"/>
        </w:trPr>
        <w:tc>
          <w:tcPr>
            <w:tcW w:w="1975" w:type="dxa"/>
            <w:tcBorders>
              <w:top w:val="nil"/>
              <w:left w:val="nil"/>
              <w:bottom w:val="nil"/>
              <w:right w:val="nil"/>
            </w:tcBorders>
            <w:noWrap/>
            <w:vAlign w:val="bottom"/>
          </w:tcPr>
          <w:p w:rsidR="000865BF" w:rsidRPr="00442BB8" w:rsidRDefault="000865BF" w:rsidP="00353348">
            <w:pPr>
              <w:widowControl/>
              <w:snapToGrid w:val="0"/>
              <w:rPr>
                <w:rFonts w:ascii="宋体" w:cs="宋体"/>
                <w:color w:val="000000"/>
                <w:kern w:val="0"/>
                <w:sz w:val="20"/>
                <w:szCs w:val="20"/>
              </w:rPr>
            </w:pPr>
            <w:r w:rsidRPr="00442BB8">
              <w:rPr>
                <w:rFonts w:ascii="宋体" w:hAnsi="宋体" w:cs="宋体" w:hint="eastAsia"/>
                <w:color w:val="000000"/>
                <w:kern w:val="0"/>
                <w:sz w:val="20"/>
                <w:szCs w:val="20"/>
              </w:rPr>
              <w:t>股票型</w:t>
            </w:r>
          </w:p>
        </w:tc>
        <w:tc>
          <w:tcPr>
            <w:tcW w:w="2692" w:type="dxa"/>
            <w:tcBorders>
              <w:top w:val="nil"/>
              <w:left w:val="nil"/>
              <w:bottom w:val="nil"/>
              <w:right w:val="nil"/>
            </w:tcBorders>
            <w:noWrap/>
            <w:vAlign w:val="bottom"/>
          </w:tcPr>
          <w:p w:rsidR="000865BF" w:rsidRPr="00CE5DB5" w:rsidRDefault="000865BF" w:rsidP="00353348">
            <w:pPr>
              <w:widowControl/>
              <w:snapToGrid w:val="0"/>
              <w:jc w:val="center"/>
              <w:rPr>
                <w:rFonts w:ascii="宋体" w:cs="宋体"/>
                <w:color w:val="000000"/>
                <w:kern w:val="0"/>
                <w:sz w:val="20"/>
                <w:szCs w:val="20"/>
              </w:rPr>
            </w:pPr>
            <w:r w:rsidRPr="00CE5DB5">
              <w:rPr>
                <w:rFonts w:ascii="宋体" w:hAnsi="宋体" w:cs="宋体"/>
                <w:color w:val="000000"/>
                <w:kern w:val="0"/>
                <w:sz w:val="20"/>
                <w:szCs w:val="20"/>
              </w:rPr>
              <w:t>1.85</w:t>
            </w:r>
          </w:p>
        </w:tc>
        <w:tc>
          <w:tcPr>
            <w:tcW w:w="1919" w:type="dxa"/>
            <w:tcBorders>
              <w:top w:val="nil"/>
              <w:left w:val="nil"/>
              <w:bottom w:val="nil"/>
              <w:right w:val="nil"/>
            </w:tcBorders>
            <w:noWrap/>
            <w:vAlign w:val="bottom"/>
          </w:tcPr>
          <w:p w:rsidR="000865BF" w:rsidRPr="00442BB8" w:rsidRDefault="000865BF" w:rsidP="00353348">
            <w:pPr>
              <w:widowControl/>
              <w:snapToGrid w:val="0"/>
              <w:jc w:val="center"/>
              <w:rPr>
                <w:rFonts w:ascii="宋体" w:cs="宋体"/>
                <w:color w:val="000000"/>
                <w:kern w:val="0"/>
                <w:sz w:val="20"/>
                <w:szCs w:val="20"/>
              </w:rPr>
            </w:pPr>
            <w:r w:rsidRPr="00442BB8">
              <w:rPr>
                <w:rFonts w:ascii="宋体" w:hAnsi="宋体" w:cs="宋体"/>
                <w:color w:val="000000"/>
                <w:kern w:val="0"/>
                <w:sz w:val="20"/>
                <w:szCs w:val="20"/>
              </w:rPr>
              <w:t>65</w:t>
            </w:r>
            <w:r>
              <w:rPr>
                <w:rFonts w:ascii="宋体" w:hAnsi="宋体" w:cs="宋体"/>
                <w:color w:val="000000"/>
                <w:kern w:val="0"/>
                <w:sz w:val="20"/>
                <w:szCs w:val="20"/>
              </w:rPr>
              <w:t>6</w:t>
            </w:r>
          </w:p>
        </w:tc>
      </w:tr>
      <w:tr w:rsidR="000865BF" w:rsidRPr="0091641A" w:rsidTr="00442BB8">
        <w:trPr>
          <w:trHeight w:val="482"/>
        </w:trPr>
        <w:tc>
          <w:tcPr>
            <w:tcW w:w="1975" w:type="dxa"/>
            <w:tcBorders>
              <w:top w:val="nil"/>
              <w:left w:val="nil"/>
              <w:bottom w:val="nil"/>
              <w:right w:val="nil"/>
            </w:tcBorders>
            <w:shd w:val="clear" w:color="000000" w:fill="FDE9D9"/>
            <w:noWrap/>
            <w:vAlign w:val="bottom"/>
          </w:tcPr>
          <w:p w:rsidR="000865BF" w:rsidRPr="00442BB8" w:rsidRDefault="000865BF" w:rsidP="00353348">
            <w:pPr>
              <w:widowControl/>
              <w:snapToGrid w:val="0"/>
              <w:rPr>
                <w:rFonts w:ascii="宋体" w:cs="宋体"/>
                <w:color w:val="000000"/>
                <w:kern w:val="0"/>
                <w:sz w:val="20"/>
                <w:szCs w:val="20"/>
              </w:rPr>
            </w:pPr>
            <w:r w:rsidRPr="00442BB8">
              <w:rPr>
                <w:rFonts w:ascii="宋体" w:hAnsi="宋体" w:cs="宋体"/>
                <w:color w:val="000000"/>
                <w:kern w:val="0"/>
                <w:sz w:val="20"/>
                <w:szCs w:val="20"/>
              </w:rPr>
              <w:t xml:space="preserve">   </w:t>
            </w:r>
            <w:r w:rsidRPr="00442BB8">
              <w:rPr>
                <w:rFonts w:ascii="宋体" w:hAnsi="宋体" w:cs="宋体" w:hint="eastAsia"/>
                <w:color w:val="000000"/>
                <w:kern w:val="0"/>
                <w:sz w:val="20"/>
                <w:szCs w:val="20"/>
              </w:rPr>
              <w:t>主动股票型</w:t>
            </w:r>
          </w:p>
        </w:tc>
        <w:tc>
          <w:tcPr>
            <w:tcW w:w="2692" w:type="dxa"/>
            <w:tcBorders>
              <w:top w:val="nil"/>
              <w:left w:val="nil"/>
              <w:bottom w:val="nil"/>
              <w:right w:val="nil"/>
            </w:tcBorders>
            <w:shd w:val="clear" w:color="000000" w:fill="FDE9D9"/>
            <w:noWrap/>
            <w:vAlign w:val="bottom"/>
          </w:tcPr>
          <w:p w:rsidR="000865BF" w:rsidRPr="00CE5DB5" w:rsidRDefault="000865BF" w:rsidP="00353348">
            <w:pPr>
              <w:widowControl/>
              <w:snapToGrid w:val="0"/>
              <w:jc w:val="center"/>
              <w:rPr>
                <w:rFonts w:ascii="宋体" w:cs="宋体"/>
                <w:color w:val="000000"/>
                <w:kern w:val="0"/>
                <w:sz w:val="20"/>
                <w:szCs w:val="20"/>
              </w:rPr>
            </w:pPr>
            <w:r w:rsidRPr="00CE5DB5">
              <w:rPr>
                <w:rFonts w:ascii="宋体" w:hAnsi="宋体" w:cs="宋体"/>
                <w:color w:val="000000"/>
                <w:kern w:val="0"/>
                <w:sz w:val="20"/>
                <w:szCs w:val="20"/>
              </w:rPr>
              <w:t>2.56</w:t>
            </w:r>
          </w:p>
        </w:tc>
        <w:tc>
          <w:tcPr>
            <w:tcW w:w="1919" w:type="dxa"/>
            <w:tcBorders>
              <w:top w:val="nil"/>
              <w:left w:val="nil"/>
              <w:bottom w:val="nil"/>
              <w:right w:val="nil"/>
            </w:tcBorders>
            <w:shd w:val="clear" w:color="000000" w:fill="FDE9D9"/>
            <w:noWrap/>
            <w:vAlign w:val="bottom"/>
          </w:tcPr>
          <w:p w:rsidR="000865BF" w:rsidRPr="00442BB8" w:rsidRDefault="000865BF" w:rsidP="00353348">
            <w:pPr>
              <w:widowControl/>
              <w:snapToGrid w:val="0"/>
              <w:jc w:val="center"/>
              <w:rPr>
                <w:rFonts w:ascii="宋体" w:cs="宋体"/>
                <w:color w:val="000000"/>
                <w:kern w:val="0"/>
                <w:sz w:val="20"/>
                <w:szCs w:val="20"/>
              </w:rPr>
            </w:pPr>
            <w:r w:rsidRPr="00442BB8">
              <w:rPr>
                <w:rFonts w:ascii="宋体" w:hAnsi="宋体" w:cs="宋体"/>
                <w:color w:val="000000"/>
                <w:kern w:val="0"/>
                <w:sz w:val="20"/>
                <w:szCs w:val="20"/>
              </w:rPr>
              <w:t>39</w:t>
            </w:r>
            <w:r>
              <w:rPr>
                <w:rFonts w:ascii="宋体" w:hAnsi="宋体" w:cs="宋体"/>
                <w:color w:val="000000"/>
                <w:kern w:val="0"/>
                <w:sz w:val="20"/>
                <w:szCs w:val="20"/>
              </w:rPr>
              <w:t>6</w:t>
            </w:r>
          </w:p>
        </w:tc>
      </w:tr>
      <w:tr w:rsidR="000865BF" w:rsidRPr="0091641A" w:rsidTr="00442BB8">
        <w:trPr>
          <w:trHeight w:val="271"/>
        </w:trPr>
        <w:tc>
          <w:tcPr>
            <w:tcW w:w="1975" w:type="dxa"/>
            <w:tcBorders>
              <w:top w:val="nil"/>
              <w:left w:val="nil"/>
              <w:bottom w:val="nil"/>
              <w:right w:val="nil"/>
            </w:tcBorders>
            <w:shd w:val="clear" w:color="000000" w:fill="FDE9D9"/>
            <w:noWrap/>
            <w:vAlign w:val="bottom"/>
          </w:tcPr>
          <w:p w:rsidR="000865BF" w:rsidRPr="00442BB8" w:rsidRDefault="000865BF" w:rsidP="00353348">
            <w:pPr>
              <w:widowControl/>
              <w:snapToGrid w:val="0"/>
              <w:rPr>
                <w:rFonts w:ascii="宋体" w:cs="宋体"/>
                <w:color w:val="000000"/>
                <w:kern w:val="0"/>
                <w:sz w:val="20"/>
                <w:szCs w:val="20"/>
              </w:rPr>
            </w:pPr>
            <w:r w:rsidRPr="00442BB8">
              <w:rPr>
                <w:rFonts w:ascii="宋体" w:hAnsi="宋体" w:cs="宋体"/>
                <w:color w:val="000000"/>
                <w:kern w:val="0"/>
                <w:sz w:val="20"/>
                <w:szCs w:val="20"/>
              </w:rPr>
              <w:t xml:space="preserve">   </w:t>
            </w:r>
            <w:r w:rsidRPr="00442BB8">
              <w:rPr>
                <w:rFonts w:ascii="宋体" w:hAnsi="宋体" w:cs="宋体" w:hint="eastAsia"/>
                <w:color w:val="000000"/>
                <w:kern w:val="0"/>
                <w:sz w:val="20"/>
                <w:szCs w:val="20"/>
              </w:rPr>
              <w:t>指数型</w:t>
            </w:r>
          </w:p>
        </w:tc>
        <w:tc>
          <w:tcPr>
            <w:tcW w:w="2692" w:type="dxa"/>
            <w:tcBorders>
              <w:top w:val="nil"/>
              <w:left w:val="nil"/>
              <w:bottom w:val="nil"/>
              <w:right w:val="nil"/>
            </w:tcBorders>
            <w:shd w:val="clear" w:color="000000" w:fill="FDE9D9"/>
            <w:noWrap/>
            <w:vAlign w:val="bottom"/>
          </w:tcPr>
          <w:p w:rsidR="000865BF" w:rsidRPr="00CE5DB5" w:rsidRDefault="000865BF" w:rsidP="00353348">
            <w:pPr>
              <w:widowControl/>
              <w:snapToGrid w:val="0"/>
              <w:jc w:val="center"/>
              <w:rPr>
                <w:rFonts w:ascii="宋体" w:cs="宋体"/>
                <w:color w:val="000000"/>
                <w:kern w:val="0"/>
                <w:sz w:val="20"/>
                <w:szCs w:val="20"/>
              </w:rPr>
            </w:pPr>
            <w:r w:rsidRPr="00CE5DB5">
              <w:rPr>
                <w:rFonts w:ascii="宋体" w:hAnsi="宋体" w:cs="宋体"/>
                <w:color w:val="000000"/>
                <w:kern w:val="0"/>
                <w:sz w:val="20"/>
                <w:szCs w:val="20"/>
              </w:rPr>
              <w:t>0.77</w:t>
            </w:r>
          </w:p>
        </w:tc>
        <w:tc>
          <w:tcPr>
            <w:tcW w:w="1919" w:type="dxa"/>
            <w:tcBorders>
              <w:top w:val="nil"/>
              <w:left w:val="nil"/>
              <w:bottom w:val="nil"/>
              <w:right w:val="nil"/>
            </w:tcBorders>
            <w:shd w:val="clear" w:color="000000" w:fill="FDE9D9"/>
            <w:noWrap/>
            <w:vAlign w:val="bottom"/>
          </w:tcPr>
          <w:p w:rsidR="000865BF" w:rsidRPr="00442BB8" w:rsidRDefault="000865BF" w:rsidP="00353348">
            <w:pPr>
              <w:widowControl/>
              <w:snapToGrid w:val="0"/>
              <w:jc w:val="center"/>
              <w:rPr>
                <w:rFonts w:ascii="宋体" w:cs="宋体"/>
                <w:color w:val="000000"/>
                <w:kern w:val="0"/>
                <w:sz w:val="20"/>
                <w:szCs w:val="20"/>
              </w:rPr>
            </w:pPr>
            <w:r w:rsidRPr="00442BB8">
              <w:rPr>
                <w:rFonts w:ascii="宋体" w:hAnsi="宋体" w:cs="宋体"/>
                <w:color w:val="000000"/>
                <w:kern w:val="0"/>
                <w:sz w:val="20"/>
                <w:szCs w:val="20"/>
              </w:rPr>
              <w:t>260</w:t>
            </w:r>
          </w:p>
        </w:tc>
      </w:tr>
      <w:tr w:rsidR="000865BF" w:rsidRPr="0091641A" w:rsidTr="00442BB8">
        <w:trPr>
          <w:trHeight w:val="271"/>
        </w:trPr>
        <w:tc>
          <w:tcPr>
            <w:tcW w:w="1975" w:type="dxa"/>
            <w:tcBorders>
              <w:top w:val="nil"/>
              <w:left w:val="nil"/>
              <w:bottom w:val="nil"/>
              <w:right w:val="nil"/>
            </w:tcBorders>
            <w:noWrap/>
            <w:vAlign w:val="bottom"/>
          </w:tcPr>
          <w:p w:rsidR="000865BF" w:rsidRPr="00442BB8" w:rsidRDefault="000865BF" w:rsidP="00353348">
            <w:pPr>
              <w:widowControl/>
              <w:snapToGrid w:val="0"/>
              <w:rPr>
                <w:rFonts w:ascii="宋体" w:cs="宋体"/>
                <w:color w:val="000000"/>
                <w:kern w:val="0"/>
                <w:sz w:val="20"/>
                <w:szCs w:val="20"/>
              </w:rPr>
            </w:pPr>
            <w:r w:rsidRPr="00442BB8">
              <w:rPr>
                <w:rFonts w:ascii="宋体" w:hAnsi="宋体" w:cs="宋体" w:hint="eastAsia"/>
                <w:color w:val="000000"/>
                <w:kern w:val="0"/>
                <w:sz w:val="20"/>
                <w:szCs w:val="20"/>
              </w:rPr>
              <w:t>混合型</w:t>
            </w:r>
          </w:p>
        </w:tc>
        <w:tc>
          <w:tcPr>
            <w:tcW w:w="2692" w:type="dxa"/>
            <w:tcBorders>
              <w:top w:val="nil"/>
              <w:left w:val="nil"/>
              <w:bottom w:val="nil"/>
              <w:right w:val="nil"/>
            </w:tcBorders>
            <w:noWrap/>
            <w:vAlign w:val="bottom"/>
          </w:tcPr>
          <w:p w:rsidR="000865BF" w:rsidRPr="00CE5DB5" w:rsidRDefault="000865BF" w:rsidP="00353348">
            <w:pPr>
              <w:widowControl/>
              <w:snapToGrid w:val="0"/>
              <w:jc w:val="center"/>
              <w:rPr>
                <w:rFonts w:ascii="宋体" w:cs="宋体"/>
                <w:color w:val="000000"/>
                <w:kern w:val="0"/>
                <w:sz w:val="20"/>
                <w:szCs w:val="20"/>
              </w:rPr>
            </w:pPr>
            <w:r w:rsidRPr="00CE5DB5">
              <w:rPr>
                <w:rFonts w:ascii="宋体" w:hAnsi="宋体" w:cs="宋体"/>
                <w:color w:val="000000"/>
                <w:kern w:val="0"/>
                <w:sz w:val="20"/>
                <w:szCs w:val="20"/>
              </w:rPr>
              <w:t>2.07</w:t>
            </w:r>
          </w:p>
        </w:tc>
        <w:tc>
          <w:tcPr>
            <w:tcW w:w="1919" w:type="dxa"/>
            <w:tcBorders>
              <w:top w:val="nil"/>
              <w:left w:val="nil"/>
              <w:bottom w:val="nil"/>
              <w:right w:val="nil"/>
            </w:tcBorders>
            <w:noWrap/>
            <w:vAlign w:val="bottom"/>
          </w:tcPr>
          <w:p w:rsidR="000865BF" w:rsidRPr="00442BB8" w:rsidRDefault="000865BF" w:rsidP="00353348">
            <w:pPr>
              <w:widowControl/>
              <w:snapToGrid w:val="0"/>
              <w:jc w:val="center"/>
              <w:rPr>
                <w:rFonts w:ascii="宋体" w:cs="宋体"/>
                <w:color w:val="000000"/>
                <w:kern w:val="0"/>
                <w:sz w:val="20"/>
                <w:szCs w:val="20"/>
              </w:rPr>
            </w:pPr>
            <w:r w:rsidRPr="00442BB8">
              <w:rPr>
                <w:rFonts w:ascii="宋体" w:hAnsi="宋体" w:cs="宋体"/>
                <w:color w:val="000000"/>
                <w:kern w:val="0"/>
                <w:sz w:val="20"/>
                <w:szCs w:val="20"/>
              </w:rPr>
              <w:t>29</w:t>
            </w:r>
            <w:r>
              <w:rPr>
                <w:rFonts w:ascii="宋体" w:hAnsi="宋体" w:cs="宋体"/>
                <w:color w:val="000000"/>
                <w:kern w:val="0"/>
                <w:sz w:val="20"/>
                <w:szCs w:val="20"/>
              </w:rPr>
              <w:t>2</w:t>
            </w:r>
          </w:p>
        </w:tc>
      </w:tr>
      <w:tr w:rsidR="000865BF" w:rsidRPr="0091641A" w:rsidTr="00442BB8">
        <w:trPr>
          <w:trHeight w:val="271"/>
        </w:trPr>
        <w:tc>
          <w:tcPr>
            <w:tcW w:w="1975" w:type="dxa"/>
            <w:tcBorders>
              <w:top w:val="nil"/>
              <w:left w:val="nil"/>
              <w:bottom w:val="nil"/>
              <w:right w:val="nil"/>
            </w:tcBorders>
            <w:noWrap/>
            <w:vAlign w:val="bottom"/>
          </w:tcPr>
          <w:p w:rsidR="000865BF" w:rsidRPr="00442BB8" w:rsidRDefault="000865BF" w:rsidP="00353348">
            <w:pPr>
              <w:widowControl/>
              <w:snapToGrid w:val="0"/>
              <w:rPr>
                <w:rFonts w:ascii="宋体" w:cs="宋体"/>
                <w:color w:val="000000"/>
                <w:kern w:val="0"/>
                <w:sz w:val="20"/>
                <w:szCs w:val="20"/>
              </w:rPr>
            </w:pPr>
            <w:r w:rsidRPr="00442BB8">
              <w:rPr>
                <w:rFonts w:ascii="宋体" w:hAnsi="宋体" w:cs="宋体" w:hint="eastAsia"/>
                <w:color w:val="000000"/>
                <w:kern w:val="0"/>
                <w:sz w:val="20"/>
                <w:szCs w:val="20"/>
              </w:rPr>
              <w:t>商品基金</w:t>
            </w:r>
          </w:p>
        </w:tc>
        <w:tc>
          <w:tcPr>
            <w:tcW w:w="2692" w:type="dxa"/>
            <w:tcBorders>
              <w:top w:val="nil"/>
              <w:left w:val="nil"/>
              <w:bottom w:val="nil"/>
              <w:right w:val="nil"/>
            </w:tcBorders>
            <w:noWrap/>
            <w:vAlign w:val="bottom"/>
          </w:tcPr>
          <w:p w:rsidR="000865BF" w:rsidRPr="00CE5DB5" w:rsidRDefault="000865BF" w:rsidP="00353348">
            <w:pPr>
              <w:widowControl/>
              <w:snapToGrid w:val="0"/>
              <w:jc w:val="center"/>
              <w:rPr>
                <w:rFonts w:ascii="宋体" w:cs="宋体"/>
                <w:color w:val="000000"/>
                <w:kern w:val="0"/>
                <w:sz w:val="20"/>
                <w:szCs w:val="20"/>
              </w:rPr>
            </w:pPr>
            <w:r w:rsidRPr="00CE5DB5">
              <w:rPr>
                <w:rFonts w:ascii="宋体" w:hAnsi="宋体" w:cs="宋体"/>
                <w:color w:val="000000"/>
                <w:kern w:val="0"/>
                <w:sz w:val="20"/>
                <w:szCs w:val="20"/>
              </w:rPr>
              <w:t>-0.99</w:t>
            </w:r>
          </w:p>
        </w:tc>
        <w:tc>
          <w:tcPr>
            <w:tcW w:w="1919" w:type="dxa"/>
            <w:tcBorders>
              <w:top w:val="nil"/>
              <w:left w:val="nil"/>
              <w:bottom w:val="nil"/>
              <w:right w:val="nil"/>
            </w:tcBorders>
            <w:noWrap/>
            <w:vAlign w:val="bottom"/>
          </w:tcPr>
          <w:p w:rsidR="000865BF" w:rsidRPr="00442BB8" w:rsidRDefault="000865BF" w:rsidP="00353348">
            <w:pPr>
              <w:widowControl/>
              <w:snapToGrid w:val="0"/>
              <w:jc w:val="center"/>
              <w:rPr>
                <w:rFonts w:ascii="宋体" w:cs="宋体"/>
                <w:color w:val="000000"/>
                <w:kern w:val="0"/>
                <w:sz w:val="20"/>
                <w:szCs w:val="20"/>
              </w:rPr>
            </w:pPr>
            <w:r w:rsidRPr="00442BB8">
              <w:rPr>
                <w:rFonts w:ascii="宋体" w:hAnsi="宋体" w:cs="宋体"/>
                <w:color w:val="000000"/>
                <w:kern w:val="0"/>
                <w:sz w:val="20"/>
                <w:szCs w:val="20"/>
              </w:rPr>
              <w:t>5</w:t>
            </w:r>
          </w:p>
        </w:tc>
      </w:tr>
      <w:tr w:rsidR="000865BF" w:rsidRPr="0091641A" w:rsidTr="00442BB8">
        <w:trPr>
          <w:trHeight w:val="271"/>
        </w:trPr>
        <w:tc>
          <w:tcPr>
            <w:tcW w:w="1975" w:type="dxa"/>
            <w:tcBorders>
              <w:top w:val="nil"/>
              <w:left w:val="nil"/>
              <w:bottom w:val="nil"/>
              <w:right w:val="nil"/>
            </w:tcBorders>
            <w:noWrap/>
            <w:vAlign w:val="bottom"/>
          </w:tcPr>
          <w:p w:rsidR="000865BF" w:rsidRPr="00442BB8" w:rsidRDefault="000865BF" w:rsidP="00353348">
            <w:pPr>
              <w:widowControl/>
              <w:snapToGrid w:val="0"/>
              <w:rPr>
                <w:rFonts w:ascii="宋体" w:cs="宋体"/>
                <w:color w:val="000000"/>
                <w:kern w:val="0"/>
                <w:sz w:val="20"/>
                <w:szCs w:val="20"/>
              </w:rPr>
            </w:pPr>
            <w:r w:rsidRPr="00442BB8">
              <w:rPr>
                <w:rFonts w:ascii="宋体" w:hAnsi="宋体" w:cs="宋体" w:hint="eastAsia"/>
                <w:color w:val="000000"/>
                <w:kern w:val="0"/>
                <w:sz w:val="20"/>
                <w:szCs w:val="20"/>
              </w:rPr>
              <w:t>保本型</w:t>
            </w:r>
          </w:p>
        </w:tc>
        <w:tc>
          <w:tcPr>
            <w:tcW w:w="2692" w:type="dxa"/>
            <w:tcBorders>
              <w:top w:val="nil"/>
              <w:left w:val="nil"/>
              <w:bottom w:val="nil"/>
              <w:right w:val="nil"/>
            </w:tcBorders>
            <w:noWrap/>
            <w:vAlign w:val="bottom"/>
          </w:tcPr>
          <w:p w:rsidR="000865BF" w:rsidRPr="00CE5DB5" w:rsidRDefault="000865BF" w:rsidP="00353348">
            <w:pPr>
              <w:widowControl/>
              <w:snapToGrid w:val="0"/>
              <w:jc w:val="center"/>
              <w:rPr>
                <w:rFonts w:ascii="宋体" w:cs="宋体"/>
                <w:color w:val="000000"/>
                <w:kern w:val="0"/>
                <w:sz w:val="20"/>
                <w:szCs w:val="20"/>
              </w:rPr>
            </w:pPr>
            <w:r w:rsidRPr="00CE5DB5">
              <w:rPr>
                <w:rFonts w:ascii="宋体" w:hAnsi="宋体" w:cs="宋体"/>
                <w:color w:val="000000"/>
                <w:kern w:val="0"/>
                <w:sz w:val="20"/>
                <w:szCs w:val="20"/>
              </w:rPr>
              <w:t>0.95</w:t>
            </w:r>
          </w:p>
        </w:tc>
        <w:tc>
          <w:tcPr>
            <w:tcW w:w="1919" w:type="dxa"/>
            <w:tcBorders>
              <w:top w:val="nil"/>
              <w:left w:val="nil"/>
              <w:bottom w:val="nil"/>
              <w:right w:val="nil"/>
            </w:tcBorders>
            <w:noWrap/>
            <w:vAlign w:val="bottom"/>
          </w:tcPr>
          <w:p w:rsidR="000865BF" w:rsidRPr="00442BB8" w:rsidRDefault="000865BF" w:rsidP="00353348">
            <w:pPr>
              <w:widowControl/>
              <w:snapToGrid w:val="0"/>
              <w:jc w:val="center"/>
              <w:rPr>
                <w:rFonts w:ascii="宋体" w:cs="宋体"/>
                <w:color w:val="000000"/>
                <w:kern w:val="0"/>
                <w:sz w:val="20"/>
                <w:szCs w:val="20"/>
              </w:rPr>
            </w:pPr>
            <w:r w:rsidRPr="00442BB8">
              <w:rPr>
                <w:rFonts w:ascii="宋体" w:hAnsi="宋体" w:cs="宋体"/>
                <w:color w:val="000000"/>
                <w:kern w:val="0"/>
                <w:sz w:val="20"/>
                <w:szCs w:val="20"/>
              </w:rPr>
              <w:t>5</w:t>
            </w:r>
            <w:r>
              <w:rPr>
                <w:rFonts w:ascii="宋体" w:hAnsi="宋体" w:cs="宋体"/>
                <w:color w:val="000000"/>
                <w:kern w:val="0"/>
                <w:sz w:val="20"/>
                <w:szCs w:val="20"/>
              </w:rPr>
              <w:t>1</w:t>
            </w:r>
          </w:p>
        </w:tc>
      </w:tr>
      <w:tr w:rsidR="000865BF" w:rsidRPr="0091641A" w:rsidTr="00442BB8">
        <w:trPr>
          <w:trHeight w:val="271"/>
        </w:trPr>
        <w:tc>
          <w:tcPr>
            <w:tcW w:w="1975" w:type="dxa"/>
            <w:tcBorders>
              <w:top w:val="nil"/>
              <w:left w:val="nil"/>
              <w:bottom w:val="nil"/>
              <w:right w:val="nil"/>
            </w:tcBorders>
            <w:noWrap/>
            <w:vAlign w:val="bottom"/>
          </w:tcPr>
          <w:p w:rsidR="000865BF" w:rsidRPr="00442BB8" w:rsidRDefault="000865BF" w:rsidP="00353348">
            <w:pPr>
              <w:widowControl/>
              <w:snapToGrid w:val="0"/>
              <w:rPr>
                <w:rFonts w:ascii="宋体" w:cs="宋体"/>
                <w:color w:val="000000"/>
                <w:kern w:val="0"/>
                <w:sz w:val="20"/>
                <w:szCs w:val="20"/>
              </w:rPr>
            </w:pPr>
            <w:r w:rsidRPr="00442BB8">
              <w:rPr>
                <w:rFonts w:ascii="宋体" w:hAnsi="宋体" w:cs="宋体" w:hint="eastAsia"/>
                <w:color w:val="000000"/>
                <w:kern w:val="0"/>
                <w:sz w:val="20"/>
                <w:szCs w:val="20"/>
              </w:rPr>
              <w:t>债券型</w:t>
            </w:r>
          </w:p>
        </w:tc>
        <w:tc>
          <w:tcPr>
            <w:tcW w:w="2692" w:type="dxa"/>
            <w:tcBorders>
              <w:top w:val="nil"/>
              <w:left w:val="nil"/>
              <w:bottom w:val="nil"/>
              <w:right w:val="nil"/>
            </w:tcBorders>
            <w:noWrap/>
            <w:vAlign w:val="bottom"/>
          </w:tcPr>
          <w:p w:rsidR="000865BF" w:rsidRPr="00CE5DB5" w:rsidRDefault="000865BF" w:rsidP="00353348">
            <w:pPr>
              <w:widowControl/>
              <w:snapToGrid w:val="0"/>
              <w:jc w:val="center"/>
              <w:rPr>
                <w:rFonts w:ascii="宋体" w:cs="宋体"/>
                <w:color w:val="000000"/>
                <w:kern w:val="0"/>
                <w:sz w:val="20"/>
                <w:szCs w:val="20"/>
              </w:rPr>
            </w:pPr>
            <w:r w:rsidRPr="00CE5DB5">
              <w:rPr>
                <w:rFonts w:ascii="宋体" w:hAnsi="宋体" w:cs="宋体"/>
                <w:color w:val="000000"/>
                <w:kern w:val="0"/>
                <w:sz w:val="20"/>
                <w:szCs w:val="20"/>
              </w:rPr>
              <w:t>1.24</w:t>
            </w:r>
          </w:p>
        </w:tc>
        <w:tc>
          <w:tcPr>
            <w:tcW w:w="1919" w:type="dxa"/>
            <w:tcBorders>
              <w:top w:val="nil"/>
              <w:left w:val="nil"/>
              <w:bottom w:val="nil"/>
              <w:right w:val="nil"/>
            </w:tcBorders>
            <w:noWrap/>
            <w:vAlign w:val="bottom"/>
          </w:tcPr>
          <w:p w:rsidR="000865BF" w:rsidRPr="00442BB8" w:rsidRDefault="000865BF" w:rsidP="00353348">
            <w:pPr>
              <w:widowControl/>
              <w:snapToGrid w:val="0"/>
              <w:jc w:val="center"/>
              <w:rPr>
                <w:rFonts w:ascii="宋体" w:cs="宋体"/>
                <w:color w:val="000000"/>
                <w:kern w:val="0"/>
                <w:sz w:val="20"/>
                <w:szCs w:val="20"/>
              </w:rPr>
            </w:pPr>
            <w:r w:rsidRPr="00442BB8">
              <w:rPr>
                <w:rFonts w:ascii="宋体" w:hAnsi="宋体" w:cs="宋体"/>
                <w:color w:val="000000"/>
                <w:kern w:val="0"/>
                <w:sz w:val="20"/>
                <w:szCs w:val="20"/>
              </w:rPr>
              <w:t>622</w:t>
            </w:r>
          </w:p>
        </w:tc>
      </w:tr>
      <w:tr w:rsidR="000865BF" w:rsidRPr="0091641A" w:rsidTr="00442BB8">
        <w:trPr>
          <w:trHeight w:val="271"/>
        </w:trPr>
        <w:tc>
          <w:tcPr>
            <w:tcW w:w="1975" w:type="dxa"/>
            <w:tcBorders>
              <w:top w:val="nil"/>
              <w:left w:val="nil"/>
              <w:bottom w:val="nil"/>
              <w:right w:val="nil"/>
            </w:tcBorders>
            <w:shd w:val="clear" w:color="000000" w:fill="FDE9D9"/>
            <w:noWrap/>
            <w:vAlign w:val="bottom"/>
          </w:tcPr>
          <w:p w:rsidR="000865BF" w:rsidRPr="00442BB8" w:rsidRDefault="000865BF" w:rsidP="00353348">
            <w:pPr>
              <w:widowControl/>
              <w:snapToGrid w:val="0"/>
              <w:rPr>
                <w:rFonts w:ascii="宋体" w:cs="宋体"/>
                <w:color w:val="000000"/>
                <w:kern w:val="0"/>
                <w:sz w:val="20"/>
                <w:szCs w:val="20"/>
              </w:rPr>
            </w:pPr>
            <w:r w:rsidRPr="00442BB8">
              <w:rPr>
                <w:rFonts w:ascii="宋体" w:hAnsi="宋体" w:cs="宋体"/>
                <w:color w:val="000000"/>
                <w:kern w:val="0"/>
                <w:sz w:val="20"/>
                <w:szCs w:val="20"/>
              </w:rPr>
              <w:t xml:space="preserve">  </w:t>
            </w:r>
            <w:r w:rsidRPr="00442BB8">
              <w:rPr>
                <w:rFonts w:ascii="宋体" w:hAnsi="宋体" w:cs="宋体" w:hint="eastAsia"/>
                <w:color w:val="000000"/>
                <w:kern w:val="0"/>
                <w:sz w:val="20"/>
                <w:szCs w:val="20"/>
              </w:rPr>
              <w:t>纯债型</w:t>
            </w:r>
          </w:p>
        </w:tc>
        <w:tc>
          <w:tcPr>
            <w:tcW w:w="2692" w:type="dxa"/>
            <w:tcBorders>
              <w:top w:val="nil"/>
              <w:left w:val="nil"/>
              <w:bottom w:val="nil"/>
              <w:right w:val="nil"/>
            </w:tcBorders>
            <w:shd w:val="clear" w:color="000000" w:fill="FDE9D9"/>
            <w:noWrap/>
            <w:vAlign w:val="bottom"/>
          </w:tcPr>
          <w:p w:rsidR="000865BF" w:rsidRPr="00CE5DB5" w:rsidRDefault="000865BF" w:rsidP="00353348">
            <w:pPr>
              <w:widowControl/>
              <w:snapToGrid w:val="0"/>
              <w:jc w:val="center"/>
              <w:rPr>
                <w:rFonts w:ascii="宋体" w:cs="宋体"/>
                <w:color w:val="000000"/>
                <w:kern w:val="0"/>
                <w:sz w:val="20"/>
                <w:szCs w:val="20"/>
              </w:rPr>
            </w:pPr>
            <w:r w:rsidRPr="00CE5DB5">
              <w:rPr>
                <w:rFonts w:ascii="宋体" w:hAnsi="宋体" w:cs="宋体"/>
                <w:color w:val="000000"/>
                <w:kern w:val="0"/>
                <w:sz w:val="20"/>
                <w:szCs w:val="20"/>
              </w:rPr>
              <w:t>1.28</w:t>
            </w:r>
          </w:p>
        </w:tc>
        <w:tc>
          <w:tcPr>
            <w:tcW w:w="1919" w:type="dxa"/>
            <w:tcBorders>
              <w:top w:val="nil"/>
              <w:left w:val="nil"/>
              <w:bottom w:val="nil"/>
              <w:right w:val="nil"/>
            </w:tcBorders>
            <w:shd w:val="clear" w:color="000000" w:fill="FDE9D9"/>
            <w:noWrap/>
            <w:vAlign w:val="bottom"/>
          </w:tcPr>
          <w:p w:rsidR="000865BF" w:rsidRPr="00442BB8" w:rsidRDefault="000865BF" w:rsidP="00353348">
            <w:pPr>
              <w:widowControl/>
              <w:snapToGrid w:val="0"/>
              <w:jc w:val="center"/>
              <w:rPr>
                <w:rFonts w:ascii="宋体" w:cs="宋体"/>
                <w:color w:val="000000"/>
                <w:kern w:val="0"/>
                <w:sz w:val="20"/>
                <w:szCs w:val="20"/>
              </w:rPr>
            </w:pPr>
            <w:r w:rsidRPr="00442BB8">
              <w:rPr>
                <w:rFonts w:ascii="宋体" w:hAnsi="宋体" w:cs="宋体"/>
                <w:color w:val="000000"/>
                <w:kern w:val="0"/>
                <w:sz w:val="20"/>
                <w:szCs w:val="20"/>
              </w:rPr>
              <w:t>246</w:t>
            </w:r>
          </w:p>
        </w:tc>
      </w:tr>
      <w:tr w:rsidR="000865BF" w:rsidRPr="0091641A" w:rsidTr="00442BB8">
        <w:trPr>
          <w:trHeight w:val="271"/>
        </w:trPr>
        <w:tc>
          <w:tcPr>
            <w:tcW w:w="1975" w:type="dxa"/>
            <w:tcBorders>
              <w:top w:val="nil"/>
              <w:left w:val="nil"/>
              <w:bottom w:val="nil"/>
              <w:right w:val="nil"/>
            </w:tcBorders>
            <w:shd w:val="clear" w:color="000000" w:fill="FDE9D9"/>
            <w:noWrap/>
            <w:vAlign w:val="bottom"/>
          </w:tcPr>
          <w:p w:rsidR="000865BF" w:rsidRPr="00442BB8" w:rsidRDefault="000865BF" w:rsidP="00353348">
            <w:pPr>
              <w:widowControl/>
              <w:snapToGrid w:val="0"/>
              <w:rPr>
                <w:rFonts w:ascii="宋体" w:cs="宋体"/>
                <w:color w:val="000000"/>
                <w:kern w:val="0"/>
                <w:sz w:val="20"/>
                <w:szCs w:val="20"/>
              </w:rPr>
            </w:pPr>
            <w:r w:rsidRPr="00442BB8">
              <w:rPr>
                <w:rFonts w:ascii="宋体" w:hAnsi="宋体" w:cs="宋体"/>
                <w:color w:val="000000"/>
                <w:kern w:val="0"/>
                <w:sz w:val="20"/>
                <w:szCs w:val="20"/>
              </w:rPr>
              <w:t xml:space="preserve">  </w:t>
            </w:r>
            <w:r w:rsidRPr="00442BB8">
              <w:rPr>
                <w:rFonts w:ascii="宋体" w:hAnsi="宋体" w:cs="宋体" w:hint="eastAsia"/>
                <w:color w:val="000000"/>
                <w:kern w:val="0"/>
                <w:sz w:val="20"/>
                <w:szCs w:val="20"/>
              </w:rPr>
              <w:t>一级债基</w:t>
            </w:r>
          </w:p>
        </w:tc>
        <w:tc>
          <w:tcPr>
            <w:tcW w:w="2692" w:type="dxa"/>
            <w:tcBorders>
              <w:top w:val="nil"/>
              <w:left w:val="nil"/>
              <w:bottom w:val="nil"/>
              <w:right w:val="nil"/>
            </w:tcBorders>
            <w:shd w:val="clear" w:color="000000" w:fill="FDE9D9"/>
            <w:noWrap/>
            <w:vAlign w:val="bottom"/>
          </w:tcPr>
          <w:p w:rsidR="000865BF" w:rsidRPr="00CE5DB5" w:rsidRDefault="000865BF" w:rsidP="00353348">
            <w:pPr>
              <w:widowControl/>
              <w:snapToGrid w:val="0"/>
              <w:jc w:val="center"/>
              <w:rPr>
                <w:rFonts w:ascii="宋体" w:cs="宋体"/>
                <w:color w:val="000000"/>
                <w:kern w:val="0"/>
                <w:sz w:val="20"/>
                <w:szCs w:val="20"/>
              </w:rPr>
            </w:pPr>
            <w:r>
              <w:rPr>
                <w:rFonts w:ascii="宋体" w:hAnsi="宋体" w:cs="宋体"/>
                <w:color w:val="000000"/>
                <w:kern w:val="0"/>
                <w:sz w:val="20"/>
                <w:szCs w:val="20"/>
              </w:rPr>
              <w:t>1.16</w:t>
            </w:r>
          </w:p>
        </w:tc>
        <w:tc>
          <w:tcPr>
            <w:tcW w:w="1919" w:type="dxa"/>
            <w:tcBorders>
              <w:top w:val="nil"/>
              <w:left w:val="nil"/>
              <w:bottom w:val="nil"/>
              <w:right w:val="nil"/>
            </w:tcBorders>
            <w:shd w:val="clear" w:color="000000" w:fill="FDE9D9"/>
            <w:noWrap/>
            <w:vAlign w:val="bottom"/>
          </w:tcPr>
          <w:p w:rsidR="000865BF" w:rsidRPr="00442BB8" w:rsidRDefault="000865BF" w:rsidP="00353348">
            <w:pPr>
              <w:widowControl/>
              <w:snapToGrid w:val="0"/>
              <w:jc w:val="center"/>
              <w:rPr>
                <w:rFonts w:ascii="宋体" w:cs="宋体"/>
                <w:color w:val="000000"/>
                <w:kern w:val="0"/>
                <w:sz w:val="20"/>
                <w:szCs w:val="20"/>
              </w:rPr>
            </w:pPr>
            <w:r w:rsidRPr="00442BB8">
              <w:rPr>
                <w:rFonts w:ascii="宋体" w:hAnsi="宋体" w:cs="宋体"/>
                <w:color w:val="000000"/>
                <w:kern w:val="0"/>
                <w:sz w:val="20"/>
                <w:szCs w:val="20"/>
              </w:rPr>
              <w:t>14</w:t>
            </w:r>
            <w:r>
              <w:rPr>
                <w:rFonts w:ascii="宋体" w:cs="宋体"/>
                <w:color w:val="000000"/>
                <w:kern w:val="0"/>
                <w:sz w:val="20"/>
                <w:szCs w:val="20"/>
              </w:rPr>
              <w:t>0</w:t>
            </w:r>
          </w:p>
        </w:tc>
      </w:tr>
      <w:tr w:rsidR="000865BF" w:rsidRPr="0091641A" w:rsidTr="00442BB8">
        <w:trPr>
          <w:trHeight w:val="271"/>
        </w:trPr>
        <w:tc>
          <w:tcPr>
            <w:tcW w:w="1975" w:type="dxa"/>
            <w:tcBorders>
              <w:top w:val="nil"/>
              <w:left w:val="nil"/>
              <w:bottom w:val="nil"/>
              <w:right w:val="nil"/>
            </w:tcBorders>
            <w:shd w:val="clear" w:color="000000" w:fill="FDE9D9"/>
            <w:noWrap/>
            <w:vAlign w:val="bottom"/>
          </w:tcPr>
          <w:p w:rsidR="000865BF" w:rsidRPr="00442BB8" w:rsidRDefault="000865BF" w:rsidP="00353348">
            <w:pPr>
              <w:widowControl/>
              <w:snapToGrid w:val="0"/>
              <w:rPr>
                <w:rFonts w:ascii="宋体" w:cs="宋体"/>
                <w:color w:val="000000"/>
                <w:kern w:val="0"/>
                <w:sz w:val="20"/>
                <w:szCs w:val="20"/>
              </w:rPr>
            </w:pPr>
            <w:r w:rsidRPr="00442BB8">
              <w:rPr>
                <w:rFonts w:ascii="宋体" w:hAnsi="宋体" w:cs="宋体"/>
                <w:color w:val="000000"/>
                <w:kern w:val="0"/>
                <w:sz w:val="20"/>
                <w:szCs w:val="20"/>
              </w:rPr>
              <w:t xml:space="preserve">  </w:t>
            </w:r>
            <w:r w:rsidRPr="00442BB8">
              <w:rPr>
                <w:rFonts w:ascii="宋体" w:hAnsi="宋体" w:cs="宋体" w:hint="eastAsia"/>
                <w:color w:val="000000"/>
                <w:kern w:val="0"/>
                <w:sz w:val="20"/>
                <w:szCs w:val="20"/>
              </w:rPr>
              <w:t>二级债基</w:t>
            </w:r>
          </w:p>
        </w:tc>
        <w:tc>
          <w:tcPr>
            <w:tcW w:w="2692" w:type="dxa"/>
            <w:tcBorders>
              <w:top w:val="nil"/>
              <w:left w:val="nil"/>
              <w:bottom w:val="nil"/>
              <w:right w:val="nil"/>
            </w:tcBorders>
            <w:shd w:val="clear" w:color="000000" w:fill="FDE9D9"/>
            <w:noWrap/>
            <w:vAlign w:val="bottom"/>
          </w:tcPr>
          <w:p w:rsidR="000865BF" w:rsidRPr="00CE5DB5" w:rsidRDefault="000865BF" w:rsidP="00353348">
            <w:pPr>
              <w:widowControl/>
              <w:snapToGrid w:val="0"/>
              <w:jc w:val="center"/>
              <w:rPr>
                <w:rFonts w:ascii="宋体" w:cs="宋体"/>
                <w:color w:val="000000"/>
                <w:kern w:val="0"/>
                <w:sz w:val="20"/>
                <w:szCs w:val="20"/>
              </w:rPr>
            </w:pPr>
            <w:r w:rsidRPr="00CE5DB5">
              <w:rPr>
                <w:rFonts w:ascii="宋体" w:hAnsi="宋体" w:cs="宋体"/>
                <w:color w:val="000000"/>
                <w:kern w:val="0"/>
                <w:sz w:val="20"/>
                <w:szCs w:val="20"/>
              </w:rPr>
              <w:t>1.24</w:t>
            </w:r>
          </w:p>
        </w:tc>
        <w:tc>
          <w:tcPr>
            <w:tcW w:w="1919" w:type="dxa"/>
            <w:tcBorders>
              <w:top w:val="nil"/>
              <w:left w:val="nil"/>
              <w:bottom w:val="nil"/>
              <w:right w:val="nil"/>
            </w:tcBorders>
            <w:shd w:val="clear" w:color="000000" w:fill="FDE9D9"/>
            <w:noWrap/>
            <w:vAlign w:val="bottom"/>
          </w:tcPr>
          <w:p w:rsidR="000865BF" w:rsidRPr="00442BB8" w:rsidRDefault="000865BF" w:rsidP="00353348">
            <w:pPr>
              <w:widowControl/>
              <w:snapToGrid w:val="0"/>
              <w:jc w:val="center"/>
              <w:rPr>
                <w:rFonts w:ascii="宋体" w:cs="宋体"/>
                <w:color w:val="000000"/>
                <w:kern w:val="0"/>
                <w:sz w:val="20"/>
                <w:szCs w:val="20"/>
              </w:rPr>
            </w:pPr>
            <w:r w:rsidRPr="00442BB8">
              <w:rPr>
                <w:rFonts w:ascii="宋体" w:hAnsi="宋体" w:cs="宋体"/>
                <w:color w:val="000000"/>
                <w:kern w:val="0"/>
                <w:sz w:val="20"/>
                <w:szCs w:val="20"/>
              </w:rPr>
              <w:t>182</w:t>
            </w:r>
          </w:p>
        </w:tc>
      </w:tr>
      <w:tr w:rsidR="000865BF" w:rsidRPr="0091641A" w:rsidTr="00442BB8">
        <w:trPr>
          <w:trHeight w:val="271"/>
        </w:trPr>
        <w:tc>
          <w:tcPr>
            <w:tcW w:w="1975" w:type="dxa"/>
            <w:tcBorders>
              <w:top w:val="nil"/>
              <w:left w:val="nil"/>
              <w:bottom w:val="nil"/>
              <w:right w:val="nil"/>
            </w:tcBorders>
            <w:shd w:val="clear" w:color="000000" w:fill="FDE9D9"/>
            <w:noWrap/>
            <w:vAlign w:val="bottom"/>
          </w:tcPr>
          <w:p w:rsidR="000865BF" w:rsidRPr="00442BB8" w:rsidRDefault="000865BF" w:rsidP="00353348">
            <w:pPr>
              <w:widowControl/>
              <w:snapToGrid w:val="0"/>
              <w:rPr>
                <w:rFonts w:ascii="宋体" w:cs="宋体"/>
                <w:color w:val="000000"/>
                <w:kern w:val="0"/>
                <w:sz w:val="20"/>
                <w:szCs w:val="20"/>
              </w:rPr>
            </w:pPr>
            <w:r w:rsidRPr="00442BB8">
              <w:rPr>
                <w:rFonts w:ascii="宋体" w:hAnsi="宋体" w:cs="宋体"/>
                <w:color w:val="000000"/>
                <w:kern w:val="0"/>
                <w:sz w:val="20"/>
                <w:szCs w:val="20"/>
              </w:rPr>
              <w:t xml:space="preserve">  </w:t>
            </w:r>
            <w:r w:rsidRPr="00442BB8">
              <w:rPr>
                <w:rFonts w:ascii="宋体" w:hAnsi="宋体" w:cs="宋体" w:hint="eastAsia"/>
                <w:color w:val="000000"/>
                <w:kern w:val="0"/>
                <w:sz w:val="20"/>
                <w:szCs w:val="20"/>
              </w:rPr>
              <w:t>可转债基</w:t>
            </w:r>
          </w:p>
        </w:tc>
        <w:tc>
          <w:tcPr>
            <w:tcW w:w="2692" w:type="dxa"/>
            <w:tcBorders>
              <w:top w:val="nil"/>
              <w:left w:val="nil"/>
              <w:bottom w:val="nil"/>
              <w:right w:val="nil"/>
            </w:tcBorders>
            <w:shd w:val="clear" w:color="000000" w:fill="FDE9D9"/>
            <w:noWrap/>
            <w:vAlign w:val="bottom"/>
          </w:tcPr>
          <w:p w:rsidR="000865BF" w:rsidRPr="00CE5DB5" w:rsidRDefault="000865BF" w:rsidP="00353348">
            <w:pPr>
              <w:widowControl/>
              <w:snapToGrid w:val="0"/>
              <w:jc w:val="center"/>
              <w:rPr>
                <w:rFonts w:ascii="宋体" w:cs="宋体"/>
                <w:color w:val="000000"/>
                <w:kern w:val="0"/>
                <w:sz w:val="20"/>
                <w:szCs w:val="20"/>
              </w:rPr>
            </w:pPr>
            <w:r w:rsidRPr="00CE5DB5">
              <w:rPr>
                <w:rFonts w:ascii="宋体" w:hAnsi="宋体" w:cs="宋体"/>
                <w:color w:val="000000"/>
                <w:kern w:val="0"/>
                <w:sz w:val="20"/>
                <w:szCs w:val="20"/>
              </w:rPr>
              <w:t>1.91</w:t>
            </w:r>
          </w:p>
        </w:tc>
        <w:tc>
          <w:tcPr>
            <w:tcW w:w="1919" w:type="dxa"/>
            <w:tcBorders>
              <w:top w:val="nil"/>
              <w:left w:val="nil"/>
              <w:bottom w:val="nil"/>
              <w:right w:val="nil"/>
            </w:tcBorders>
            <w:shd w:val="clear" w:color="000000" w:fill="FDE9D9"/>
            <w:noWrap/>
            <w:vAlign w:val="bottom"/>
          </w:tcPr>
          <w:p w:rsidR="000865BF" w:rsidRPr="00442BB8" w:rsidRDefault="000865BF" w:rsidP="00353348">
            <w:pPr>
              <w:widowControl/>
              <w:snapToGrid w:val="0"/>
              <w:jc w:val="center"/>
              <w:rPr>
                <w:rFonts w:ascii="宋体" w:cs="宋体"/>
                <w:color w:val="000000"/>
                <w:kern w:val="0"/>
                <w:sz w:val="20"/>
                <w:szCs w:val="20"/>
              </w:rPr>
            </w:pPr>
            <w:r w:rsidRPr="00442BB8">
              <w:rPr>
                <w:rFonts w:ascii="宋体" w:hAnsi="宋体" w:cs="宋体"/>
                <w:color w:val="000000"/>
                <w:kern w:val="0"/>
                <w:sz w:val="20"/>
                <w:szCs w:val="20"/>
              </w:rPr>
              <w:t>23</w:t>
            </w:r>
          </w:p>
        </w:tc>
      </w:tr>
      <w:tr w:rsidR="000865BF" w:rsidRPr="0091641A" w:rsidTr="00442BB8">
        <w:trPr>
          <w:trHeight w:val="271"/>
        </w:trPr>
        <w:tc>
          <w:tcPr>
            <w:tcW w:w="1975" w:type="dxa"/>
            <w:tcBorders>
              <w:top w:val="nil"/>
              <w:left w:val="nil"/>
              <w:bottom w:val="nil"/>
              <w:right w:val="nil"/>
            </w:tcBorders>
            <w:shd w:val="clear" w:color="000000" w:fill="FDE9D9"/>
            <w:noWrap/>
            <w:vAlign w:val="bottom"/>
          </w:tcPr>
          <w:p w:rsidR="000865BF" w:rsidRPr="00442BB8" w:rsidRDefault="000865BF" w:rsidP="00353348">
            <w:pPr>
              <w:widowControl/>
              <w:snapToGrid w:val="0"/>
              <w:rPr>
                <w:rFonts w:ascii="宋体" w:cs="宋体"/>
                <w:color w:val="000000"/>
                <w:kern w:val="0"/>
                <w:sz w:val="20"/>
                <w:szCs w:val="20"/>
              </w:rPr>
            </w:pPr>
            <w:r w:rsidRPr="00442BB8">
              <w:rPr>
                <w:rFonts w:ascii="宋体" w:hAnsi="宋体" w:cs="宋体"/>
                <w:color w:val="000000"/>
                <w:kern w:val="0"/>
                <w:sz w:val="20"/>
                <w:szCs w:val="20"/>
              </w:rPr>
              <w:t xml:space="preserve">  </w:t>
            </w:r>
            <w:r w:rsidRPr="00442BB8">
              <w:rPr>
                <w:rFonts w:ascii="宋体" w:hAnsi="宋体" w:cs="宋体" w:hint="eastAsia"/>
                <w:color w:val="000000"/>
                <w:kern w:val="0"/>
                <w:sz w:val="20"/>
                <w:szCs w:val="20"/>
              </w:rPr>
              <w:t>指数债基</w:t>
            </w:r>
          </w:p>
        </w:tc>
        <w:tc>
          <w:tcPr>
            <w:tcW w:w="2692" w:type="dxa"/>
            <w:tcBorders>
              <w:top w:val="nil"/>
              <w:left w:val="nil"/>
              <w:bottom w:val="nil"/>
              <w:right w:val="nil"/>
            </w:tcBorders>
            <w:shd w:val="clear" w:color="000000" w:fill="FDE9D9"/>
            <w:noWrap/>
            <w:vAlign w:val="bottom"/>
          </w:tcPr>
          <w:p w:rsidR="000865BF" w:rsidRPr="00CE5DB5" w:rsidRDefault="000865BF" w:rsidP="00353348">
            <w:pPr>
              <w:widowControl/>
              <w:snapToGrid w:val="0"/>
              <w:jc w:val="center"/>
              <w:rPr>
                <w:rFonts w:ascii="宋体" w:cs="宋体"/>
                <w:color w:val="000000"/>
                <w:kern w:val="0"/>
                <w:sz w:val="20"/>
                <w:szCs w:val="20"/>
              </w:rPr>
            </w:pPr>
            <w:r w:rsidRPr="00CE5DB5">
              <w:rPr>
                <w:rFonts w:ascii="宋体" w:hAnsi="宋体" w:cs="宋体"/>
                <w:color w:val="000000"/>
                <w:kern w:val="0"/>
                <w:sz w:val="20"/>
                <w:szCs w:val="20"/>
              </w:rPr>
              <w:t>0.67</w:t>
            </w:r>
          </w:p>
        </w:tc>
        <w:tc>
          <w:tcPr>
            <w:tcW w:w="1919" w:type="dxa"/>
            <w:tcBorders>
              <w:top w:val="nil"/>
              <w:left w:val="nil"/>
              <w:bottom w:val="nil"/>
              <w:right w:val="nil"/>
            </w:tcBorders>
            <w:shd w:val="clear" w:color="000000" w:fill="FDE9D9"/>
            <w:noWrap/>
            <w:vAlign w:val="bottom"/>
          </w:tcPr>
          <w:p w:rsidR="000865BF" w:rsidRPr="00442BB8" w:rsidRDefault="000865BF" w:rsidP="00353348">
            <w:pPr>
              <w:widowControl/>
              <w:snapToGrid w:val="0"/>
              <w:jc w:val="center"/>
              <w:rPr>
                <w:rFonts w:ascii="宋体" w:cs="宋体"/>
                <w:color w:val="000000"/>
                <w:kern w:val="0"/>
                <w:sz w:val="20"/>
                <w:szCs w:val="20"/>
              </w:rPr>
            </w:pPr>
            <w:r w:rsidRPr="00442BB8">
              <w:rPr>
                <w:rFonts w:ascii="宋体" w:hAnsi="宋体" w:cs="宋体"/>
                <w:color w:val="000000"/>
                <w:kern w:val="0"/>
                <w:sz w:val="20"/>
                <w:szCs w:val="20"/>
              </w:rPr>
              <w:t>28</w:t>
            </w:r>
          </w:p>
        </w:tc>
      </w:tr>
      <w:tr w:rsidR="000865BF" w:rsidRPr="0091641A" w:rsidTr="00442BB8">
        <w:trPr>
          <w:trHeight w:val="271"/>
        </w:trPr>
        <w:tc>
          <w:tcPr>
            <w:tcW w:w="1975" w:type="dxa"/>
            <w:tcBorders>
              <w:top w:val="nil"/>
              <w:left w:val="nil"/>
              <w:bottom w:val="nil"/>
              <w:right w:val="nil"/>
            </w:tcBorders>
            <w:noWrap/>
            <w:vAlign w:val="bottom"/>
          </w:tcPr>
          <w:p w:rsidR="000865BF" w:rsidRPr="00442BB8" w:rsidRDefault="000865BF" w:rsidP="00353348">
            <w:pPr>
              <w:widowControl/>
              <w:snapToGrid w:val="0"/>
              <w:rPr>
                <w:rFonts w:ascii="宋体" w:cs="宋体"/>
                <w:color w:val="000000"/>
                <w:kern w:val="0"/>
                <w:sz w:val="20"/>
                <w:szCs w:val="20"/>
              </w:rPr>
            </w:pPr>
            <w:r w:rsidRPr="00442BB8">
              <w:rPr>
                <w:rFonts w:ascii="宋体" w:hAnsi="宋体" w:cs="宋体" w:hint="eastAsia"/>
                <w:color w:val="000000"/>
                <w:kern w:val="0"/>
                <w:sz w:val="20"/>
                <w:szCs w:val="20"/>
              </w:rPr>
              <w:t>理财债基</w:t>
            </w:r>
          </w:p>
        </w:tc>
        <w:tc>
          <w:tcPr>
            <w:tcW w:w="2692" w:type="dxa"/>
            <w:tcBorders>
              <w:top w:val="nil"/>
              <w:left w:val="nil"/>
              <w:bottom w:val="nil"/>
              <w:right w:val="nil"/>
            </w:tcBorders>
            <w:noWrap/>
            <w:vAlign w:val="bottom"/>
          </w:tcPr>
          <w:p w:rsidR="000865BF" w:rsidRPr="00CE5DB5" w:rsidRDefault="000865BF" w:rsidP="00353348">
            <w:pPr>
              <w:widowControl/>
              <w:snapToGrid w:val="0"/>
              <w:jc w:val="center"/>
              <w:rPr>
                <w:rFonts w:ascii="宋体" w:cs="宋体"/>
                <w:color w:val="000000"/>
                <w:kern w:val="0"/>
                <w:sz w:val="20"/>
                <w:szCs w:val="20"/>
              </w:rPr>
            </w:pPr>
            <w:r w:rsidRPr="00CE5DB5">
              <w:rPr>
                <w:rFonts w:ascii="宋体" w:hAnsi="宋体" w:cs="宋体"/>
                <w:color w:val="000000"/>
                <w:kern w:val="0"/>
                <w:sz w:val="20"/>
                <w:szCs w:val="20"/>
              </w:rPr>
              <w:t>0.37</w:t>
            </w:r>
          </w:p>
        </w:tc>
        <w:tc>
          <w:tcPr>
            <w:tcW w:w="1919" w:type="dxa"/>
            <w:tcBorders>
              <w:top w:val="nil"/>
              <w:left w:val="nil"/>
              <w:bottom w:val="nil"/>
              <w:right w:val="nil"/>
            </w:tcBorders>
            <w:noWrap/>
            <w:vAlign w:val="bottom"/>
          </w:tcPr>
          <w:p w:rsidR="000865BF" w:rsidRPr="00442BB8" w:rsidRDefault="000865BF" w:rsidP="00353348">
            <w:pPr>
              <w:widowControl/>
              <w:snapToGrid w:val="0"/>
              <w:jc w:val="center"/>
              <w:rPr>
                <w:rFonts w:ascii="宋体" w:cs="宋体"/>
                <w:color w:val="000000"/>
                <w:kern w:val="0"/>
                <w:sz w:val="20"/>
                <w:szCs w:val="20"/>
              </w:rPr>
            </w:pPr>
            <w:r w:rsidRPr="00442BB8">
              <w:rPr>
                <w:rFonts w:ascii="宋体" w:hAnsi="宋体" w:cs="宋体"/>
                <w:color w:val="000000"/>
                <w:kern w:val="0"/>
                <w:sz w:val="20"/>
                <w:szCs w:val="20"/>
              </w:rPr>
              <w:t>107</w:t>
            </w:r>
          </w:p>
        </w:tc>
      </w:tr>
      <w:tr w:rsidR="000865BF" w:rsidRPr="0091641A" w:rsidTr="00442BB8">
        <w:trPr>
          <w:trHeight w:val="271"/>
        </w:trPr>
        <w:tc>
          <w:tcPr>
            <w:tcW w:w="1975" w:type="dxa"/>
            <w:tcBorders>
              <w:top w:val="nil"/>
              <w:left w:val="nil"/>
              <w:bottom w:val="nil"/>
              <w:right w:val="nil"/>
            </w:tcBorders>
            <w:noWrap/>
            <w:vAlign w:val="bottom"/>
          </w:tcPr>
          <w:p w:rsidR="000865BF" w:rsidRPr="00442BB8" w:rsidRDefault="000865BF" w:rsidP="00353348">
            <w:pPr>
              <w:widowControl/>
              <w:snapToGrid w:val="0"/>
              <w:rPr>
                <w:rFonts w:ascii="宋体" w:cs="宋体"/>
                <w:color w:val="000000"/>
                <w:kern w:val="0"/>
                <w:sz w:val="20"/>
                <w:szCs w:val="20"/>
              </w:rPr>
            </w:pPr>
            <w:r w:rsidRPr="00442BB8">
              <w:rPr>
                <w:rFonts w:ascii="宋体" w:hAnsi="宋体" w:cs="宋体" w:hint="eastAsia"/>
                <w:color w:val="000000"/>
                <w:kern w:val="0"/>
                <w:sz w:val="20"/>
                <w:szCs w:val="20"/>
              </w:rPr>
              <w:t>货币型</w:t>
            </w:r>
          </w:p>
        </w:tc>
        <w:tc>
          <w:tcPr>
            <w:tcW w:w="2692" w:type="dxa"/>
            <w:tcBorders>
              <w:top w:val="nil"/>
              <w:left w:val="nil"/>
              <w:bottom w:val="nil"/>
              <w:right w:val="nil"/>
            </w:tcBorders>
            <w:noWrap/>
            <w:vAlign w:val="bottom"/>
          </w:tcPr>
          <w:p w:rsidR="000865BF" w:rsidRPr="00CE5DB5" w:rsidRDefault="000865BF" w:rsidP="00353348">
            <w:pPr>
              <w:widowControl/>
              <w:snapToGrid w:val="0"/>
              <w:jc w:val="center"/>
              <w:rPr>
                <w:rFonts w:ascii="宋体" w:cs="宋体"/>
                <w:color w:val="000000"/>
                <w:kern w:val="0"/>
                <w:sz w:val="20"/>
                <w:szCs w:val="20"/>
              </w:rPr>
            </w:pPr>
            <w:r w:rsidRPr="00CE5DB5">
              <w:rPr>
                <w:rFonts w:ascii="宋体" w:hAnsi="宋体" w:cs="宋体"/>
                <w:color w:val="000000"/>
                <w:kern w:val="0"/>
                <w:sz w:val="20"/>
                <w:szCs w:val="20"/>
              </w:rPr>
              <w:t>0.35</w:t>
            </w:r>
          </w:p>
        </w:tc>
        <w:tc>
          <w:tcPr>
            <w:tcW w:w="1919" w:type="dxa"/>
            <w:tcBorders>
              <w:top w:val="nil"/>
              <w:left w:val="nil"/>
              <w:bottom w:val="nil"/>
              <w:right w:val="nil"/>
            </w:tcBorders>
            <w:noWrap/>
            <w:vAlign w:val="bottom"/>
          </w:tcPr>
          <w:p w:rsidR="000865BF" w:rsidRPr="00442BB8" w:rsidRDefault="000865BF" w:rsidP="00353348">
            <w:pPr>
              <w:widowControl/>
              <w:snapToGrid w:val="0"/>
              <w:jc w:val="center"/>
              <w:rPr>
                <w:rFonts w:ascii="宋体" w:cs="宋体"/>
                <w:color w:val="000000"/>
                <w:kern w:val="0"/>
                <w:sz w:val="20"/>
                <w:szCs w:val="20"/>
              </w:rPr>
            </w:pPr>
            <w:r w:rsidRPr="00442BB8">
              <w:rPr>
                <w:rFonts w:ascii="宋体" w:hAnsi="宋体" w:cs="宋体"/>
                <w:color w:val="000000"/>
                <w:kern w:val="0"/>
                <w:sz w:val="20"/>
                <w:szCs w:val="20"/>
              </w:rPr>
              <w:t>225</w:t>
            </w:r>
          </w:p>
        </w:tc>
      </w:tr>
      <w:tr w:rsidR="000865BF" w:rsidRPr="0091641A" w:rsidTr="00442BB8">
        <w:trPr>
          <w:trHeight w:val="286"/>
        </w:trPr>
        <w:tc>
          <w:tcPr>
            <w:tcW w:w="1975" w:type="dxa"/>
            <w:tcBorders>
              <w:top w:val="nil"/>
              <w:left w:val="nil"/>
              <w:bottom w:val="single" w:sz="8" w:space="0" w:color="F79646"/>
              <w:right w:val="nil"/>
            </w:tcBorders>
            <w:noWrap/>
            <w:vAlign w:val="bottom"/>
          </w:tcPr>
          <w:p w:rsidR="000865BF" w:rsidRPr="00442BB8" w:rsidRDefault="000865BF" w:rsidP="00353348">
            <w:pPr>
              <w:widowControl/>
              <w:snapToGrid w:val="0"/>
              <w:rPr>
                <w:rFonts w:ascii="宋体" w:cs="宋体"/>
                <w:color w:val="000000"/>
                <w:kern w:val="0"/>
                <w:sz w:val="20"/>
                <w:szCs w:val="20"/>
              </w:rPr>
            </w:pPr>
            <w:r w:rsidRPr="00442BB8">
              <w:rPr>
                <w:rFonts w:ascii="宋体" w:hAnsi="宋体" w:cs="宋体"/>
                <w:color w:val="000000"/>
                <w:kern w:val="0"/>
                <w:sz w:val="20"/>
                <w:szCs w:val="20"/>
              </w:rPr>
              <w:t>QDII</w:t>
            </w:r>
          </w:p>
        </w:tc>
        <w:tc>
          <w:tcPr>
            <w:tcW w:w="2692" w:type="dxa"/>
            <w:tcBorders>
              <w:top w:val="nil"/>
              <w:left w:val="nil"/>
              <w:bottom w:val="single" w:sz="8" w:space="0" w:color="F79646"/>
              <w:right w:val="nil"/>
            </w:tcBorders>
            <w:noWrap/>
            <w:vAlign w:val="bottom"/>
          </w:tcPr>
          <w:p w:rsidR="000865BF" w:rsidRPr="00CE5DB5" w:rsidRDefault="000865BF" w:rsidP="00353348">
            <w:pPr>
              <w:widowControl/>
              <w:snapToGrid w:val="0"/>
              <w:jc w:val="center"/>
              <w:rPr>
                <w:rFonts w:ascii="宋体" w:cs="宋体"/>
                <w:color w:val="000000"/>
                <w:kern w:val="0"/>
                <w:sz w:val="20"/>
                <w:szCs w:val="20"/>
              </w:rPr>
            </w:pPr>
            <w:r w:rsidRPr="00CE5DB5">
              <w:rPr>
                <w:rFonts w:ascii="宋体" w:hAnsi="宋体" w:cs="宋体"/>
                <w:color w:val="000000"/>
                <w:kern w:val="0"/>
                <w:sz w:val="20"/>
                <w:szCs w:val="20"/>
              </w:rPr>
              <w:t>1.39</w:t>
            </w:r>
          </w:p>
        </w:tc>
        <w:tc>
          <w:tcPr>
            <w:tcW w:w="1919" w:type="dxa"/>
            <w:tcBorders>
              <w:top w:val="nil"/>
              <w:left w:val="nil"/>
              <w:bottom w:val="single" w:sz="8" w:space="0" w:color="F79646"/>
              <w:right w:val="nil"/>
            </w:tcBorders>
            <w:noWrap/>
            <w:vAlign w:val="bottom"/>
          </w:tcPr>
          <w:p w:rsidR="000865BF" w:rsidRPr="00442BB8" w:rsidRDefault="000865BF" w:rsidP="00353348">
            <w:pPr>
              <w:widowControl/>
              <w:snapToGrid w:val="0"/>
              <w:jc w:val="center"/>
              <w:rPr>
                <w:rFonts w:ascii="宋体" w:cs="宋体"/>
                <w:color w:val="000000"/>
                <w:kern w:val="0"/>
                <w:sz w:val="20"/>
                <w:szCs w:val="20"/>
              </w:rPr>
            </w:pPr>
            <w:r w:rsidRPr="00442BB8">
              <w:rPr>
                <w:rFonts w:ascii="宋体" w:hAnsi="宋体" w:cs="宋体"/>
                <w:color w:val="000000"/>
                <w:kern w:val="0"/>
                <w:sz w:val="20"/>
                <w:szCs w:val="20"/>
              </w:rPr>
              <w:t>85</w:t>
            </w:r>
          </w:p>
        </w:tc>
      </w:tr>
      <w:tr w:rsidR="000865BF" w:rsidRPr="0091641A" w:rsidTr="00442BB8">
        <w:trPr>
          <w:trHeight w:val="271"/>
        </w:trPr>
        <w:tc>
          <w:tcPr>
            <w:tcW w:w="6586" w:type="dxa"/>
            <w:gridSpan w:val="3"/>
            <w:tcBorders>
              <w:top w:val="single" w:sz="8" w:space="0" w:color="F79646"/>
              <w:left w:val="nil"/>
              <w:bottom w:val="nil"/>
              <w:right w:val="nil"/>
            </w:tcBorders>
            <w:noWrap/>
            <w:vAlign w:val="bottom"/>
          </w:tcPr>
          <w:p w:rsidR="000865BF" w:rsidRPr="00442BB8" w:rsidRDefault="000865BF" w:rsidP="00353348">
            <w:pPr>
              <w:widowControl/>
              <w:snapToGrid w:val="0"/>
              <w:jc w:val="left"/>
              <w:rPr>
                <w:rFonts w:ascii="宋体" w:cs="宋体"/>
                <w:color w:val="000000"/>
                <w:kern w:val="0"/>
                <w:sz w:val="20"/>
                <w:szCs w:val="20"/>
              </w:rPr>
            </w:pPr>
            <w:r w:rsidRPr="00442BB8">
              <w:rPr>
                <w:rFonts w:ascii="宋体" w:hAnsi="宋体" w:cs="宋体" w:hint="eastAsia"/>
                <w:color w:val="000000"/>
                <w:kern w:val="0"/>
                <w:sz w:val="20"/>
                <w:szCs w:val="20"/>
              </w:rPr>
              <w:t>注：统计口径不含分级基金子份额；采用简单平均计算方式</w:t>
            </w:r>
          </w:p>
        </w:tc>
      </w:tr>
      <w:tr w:rsidR="000865BF" w:rsidRPr="0091641A" w:rsidTr="00442BB8">
        <w:trPr>
          <w:trHeight w:val="286"/>
        </w:trPr>
        <w:tc>
          <w:tcPr>
            <w:tcW w:w="6586" w:type="dxa"/>
            <w:gridSpan w:val="3"/>
            <w:tcBorders>
              <w:top w:val="nil"/>
              <w:left w:val="nil"/>
              <w:bottom w:val="single" w:sz="8" w:space="0" w:color="F79646"/>
              <w:right w:val="nil"/>
            </w:tcBorders>
            <w:noWrap/>
            <w:vAlign w:val="bottom"/>
          </w:tcPr>
          <w:p w:rsidR="000865BF" w:rsidRPr="00442BB8" w:rsidRDefault="000865BF" w:rsidP="00353348">
            <w:pPr>
              <w:widowControl/>
              <w:snapToGrid w:val="0"/>
              <w:jc w:val="left"/>
              <w:rPr>
                <w:rFonts w:ascii="宋体" w:cs="宋体"/>
                <w:color w:val="000000"/>
                <w:kern w:val="0"/>
                <w:sz w:val="20"/>
                <w:szCs w:val="20"/>
              </w:rPr>
            </w:pPr>
            <w:r w:rsidRPr="00442BB8">
              <w:rPr>
                <w:rFonts w:ascii="宋体" w:hAnsi="宋体" w:cs="宋体" w:hint="eastAsia"/>
                <w:color w:val="000000"/>
                <w:kern w:val="0"/>
                <w:sz w:val="20"/>
                <w:szCs w:val="20"/>
              </w:rPr>
              <w:t>来源：凯石财富工场</w:t>
            </w:r>
          </w:p>
        </w:tc>
      </w:tr>
    </w:tbl>
    <w:p w:rsidR="000865BF" w:rsidRPr="00DD7991" w:rsidRDefault="000865BF" w:rsidP="00F74387">
      <w:pPr>
        <w:widowControl/>
        <w:spacing w:after="120" w:line="240" w:lineRule="exact"/>
        <w:ind w:left="3430"/>
        <w:rPr>
          <w:rFonts w:ascii="Arial" w:eastAsia="KaiTi_GB2312" w:hAnsi="Arial"/>
          <w:b/>
          <w:bCs/>
          <w:color w:val="0070C0"/>
          <w:kern w:val="0"/>
          <w:szCs w:val="21"/>
          <w:lang w:val="en-GB"/>
        </w:rPr>
      </w:pPr>
      <w:r w:rsidRPr="00B17375">
        <w:rPr>
          <w:rFonts w:ascii="Arial" w:eastAsia="KaiTi_GB2312" w:hAnsi="Arial" w:hint="eastAsia"/>
          <w:b/>
          <w:bCs/>
          <w:color w:val="0070C0"/>
          <w:kern w:val="0"/>
          <w:szCs w:val="21"/>
          <w:lang w:val="en-GB"/>
        </w:rPr>
        <w:t>权益类基金：</w:t>
      </w:r>
      <w:r>
        <w:rPr>
          <w:rFonts w:ascii="Arial" w:eastAsia="KaiTi_GB2312" w:hAnsi="Arial" w:hint="eastAsia"/>
          <w:b/>
          <w:bCs/>
          <w:color w:val="0070C0"/>
          <w:kern w:val="0"/>
          <w:szCs w:val="21"/>
          <w:lang w:val="en-GB"/>
        </w:rPr>
        <w:t>大盘震荡，成长风格领涨</w:t>
      </w:r>
    </w:p>
    <w:p w:rsidR="000865BF" w:rsidRPr="00B77F74" w:rsidRDefault="000865BF" w:rsidP="00F4743D">
      <w:pPr>
        <w:pStyle w:val="BodyText"/>
        <w:numPr>
          <w:ilvl w:val="4"/>
          <w:numId w:val="1"/>
        </w:numPr>
        <w:spacing w:after="163"/>
        <w:rPr>
          <w:color w:val="auto"/>
        </w:rPr>
      </w:pPr>
      <w:r>
        <w:rPr>
          <w:color w:val="auto"/>
        </w:rPr>
        <w:t>8</w:t>
      </w:r>
      <w:r>
        <w:rPr>
          <w:rFonts w:hint="eastAsia"/>
          <w:color w:val="auto"/>
        </w:rPr>
        <w:t>月宏观数据全面回落，经济企稳复苏动能放缓。此外，月末新股集中发行对市场资金面造成一定冲击。在此背景下，</w:t>
      </w:r>
      <w:r>
        <w:rPr>
          <w:color w:val="auto"/>
        </w:rPr>
        <w:t>8</w:t>
      </w:r>
      <w:r>
        <w:rPr>
          <w:rFonts w:hint="eastAsia"/>
          <w:color w:val="auto"/>
        </w:rPr>
        <w:t>月</w:t>
      </w:r>
      <w:r>
        <w:rPr>
          <w:color w:val="auto"/>
        </w:rPr>
        <w:t>A</w:t>
      </w:r>
      <w:r>
        <w:rPr>
          <w:rFonts w:hint="eastAsia"/>
          <w:color w:val="auto"/>
        </w:rPr>
        <w:t>股市场震荡收官，全月上证</w:t>
      </w:r>
      <w:r w:rsidRPr="005B0A52">
        <w:rPr>
          <w:rFonts w:hint="eastAsia"/>
          <w:color w:val="auto"/>
        </w:rPr>
        <w:t>指数微涨</w:t>
      </w:r>
      <w:r w:rsidRPr="005B0A52">
        <w:rPr>
          <w:color w:val="auto"/>
        </w:rPr>
        <w:t>0.71%</w:t>
      </w:r>
      <w:r w:rsidRPr="005B0A52">
        <w:rPr>
          <w:rFonts w:hint="eastAsia"/>
          <w:color w:val="auto"/>
        </w:rPr>
        <w:t>，深成指下跌</w:t>
      </w:r>
      <w:r w:rsidRPr="005B0A52">
        <w:rPr>
          <w:color w:val="auto"/>
        </w:rPr>
        <w:t>1.45%</w:t>
      </w:r>
      <w:r w:rsidRPr="005B0A52">
        <w:rPr>
          <w:rFonts w:hint="eastAsia"/>
          <w:color w:val="auto"/>
        </w:rPr>
        <w:t>，沪深</w:t>
      </w:r>
      <w:r w:rsidRPr="005B0A52">
        <w:rPr>
          <w:color w:val="auto"/>
        </w:rPr>
        <w:t>300</w:t>
      </w:r>
      <w:r w:rsidRPr="005B0A52">
        <w:rPr>
          <w:rFonts w:hint="eastAsia"/>
          <w:color w:val="auto"/>
        </w:rPr>
        <w:t>微跌</w:t>
      </w:r>
      <w:r w:rsidRPr="005B0A52">
        <w:rPr>
          <w:color w:val="auto"/>
        </w:rPr>
        <w:t>0.51%</w:t>
      </w:r>
      <w:r w:rsidRPr="005B0A52">
        <w:rPr>
          <w:rFonts w:hint="eastAsia"/>
          <w:color w:val="auto"/>
        </w:rPr>
        <w:t>。与疲弱的主板市场相比，中小板及创业板走势回暖，月内分别上涨</w:t>
      </w:r>
      <w:r w:rsidRPr="005B0A52">
        <w:rPr>
          <w:color w:val="auto"/>
        </w:rPr>
        <w:t>5.10%</w:t>
      </w:r>
      <w:r w:rsidRPr="005B0A52">
        <w:rPr>
          <w:rFonts w:hint="eastAsia"/>
          <w:color w:val="auto"/>
        </w:rPr>
        <w:t>和</w:t>
      </w:r>
      <w:r w:rsidRPr="005B0A52">
        <w:rPr>
          <w:color w:val="auto"/>
        </w:rPr>
        <w:t>5.94%</w:t>
      </w:r>
      <w:r w:rsidRPr="005B0A52">
        <w:rPr>
          <w:rFonts w:hint="eastAsia"/>
          <w:color w:val="auto"/>
        </w:rPr>
        <w:t>。</w:t>
      </w:r>
      <w:r>
        <w:rPr>
          <w:rFonts w:hint="eastAsia"/>
          <w:color w:val="auto"/>
        </w:rPr>
        <w:t>从行业的角度上来看，信息技术、公用事业及交运板块表现居前，而金融、地产、能源等蓝筹股表现疲软。</w:t>
      </w:r>
    </w:p>
    <w:p w:rsidR="000865BF" w:rsidRDefault="000865BF" w:rsidP="00F4743D">
      <w:pPr>
        <w:pStyle w:val="BodyText"/>
        <w:numPr>
          <w:ilvl w:val="4"/>
          <w:numId w:val="1"/>
        </w:numPr>
        <w:spacing w:after="163"/>
        <w:rPr>
          <w:color w:val="auto"/>
        </w:rPr>
      </w:pPr>
      <w:r w:rsidRPr="00F31B10">
        <w:rPr>
          <w:color w:val="auto"/>
        </w:rPr>
        <w:t>7</w:t>
      </w:r>
      <w:r w:rsidRPr="00F31B10">
        <w:rPr>
          <w:rFonts w:hint="eastAsia"/>
          <w:color w:val="auto"/>
        </w:rPr>
        <w:t>月开放式偏股型基金净值</w:t>
      </w:r>
      <w:r>
        <w:rPr>
          <w:rFonts w:hint="eastAsia"/>
          <w:color w:val="auto"/>
        </w:rPr>
        <w:t>平均上涨</w:t>
      </w:r>
      <w:r>
        <w:rPr>
          <w:color w:val="auto"/>
        </w:rPr>
        <w:t>1.90%</w:t>
      </w:r>
      <w:r w:rsidRPr="00F31B10">
        <w:rPr>
          <w:rFonts w:hint="eastAsia"/>
          <w:color w:val="auto"/>
        </w:rPr>
        <w:t>，</w:t>
      </w:r>
      <w:r>
        <w:rPr>
          <w:rFonts w:hint="eastAsia"/>
          <w:color w:val="auto"/>
        </w:rPr>
        <w:t>其中</w:t>
      </w:r>
      <w:r w:rsidRPr="00F31B10">
        <w:rPr>
          <w:rFonts w:hint="eastAsia"/>
          <w:color w:val="auto"/>
        </w:rPr>
        <w:t>股票型基金平均上涨</w:t>
      </w:r>
      <w:r>
        <w:rPr>
          <w:color w:val="auto"/>
        </w:rPr>
        <w:t>1.85</w:t>
      </w:r>
      <w:r w:rsidRPr="00F31B10">
        <w:rPr>
          <w:color w:val="auto"/>
        </w:rPr>
        <w:t>%</w:t>
      </w:r>
      <w:r>
        <w:rPr>
          <w:rFonts w:hint="eastAsia"/>
          <w:color w:val="auto"/>
        </w:rPr>
        <w:t>，</w:t>
      </w:r>
      <w:r w:rsidRPr="00F31B10">
        <w:rPr>
          <w:rFonts w:hint="eastAsia"/>
          <w:color w:val="auto"/>
        </w:rPr>
        <w:t>指数型产品</w:t>
      </w:r>
      <w:r>
        <w:rPr>
          <w:rFonts w:hint="eastAsia"/>
          <w:color w:val="auto"/>
        </w:rPr>
        <w:t>走势分化，</w:t>
      </w:r>
      <w:r w:rsidRPr="00F31B10">
        <w:rPr>
          <w:rFonts w:hint="eastAsia"/>
          <w:color w:val="auto"/>
        </w:rPr>
        <w:t>平均</w:t>
      </w:r>
      <w:r>
        <w:rPr>
          <w:rFonts w:hint="eastAsia"/>
          <w:color w:val="auto"/>
        </w:rPr>
        <w:t>收益微涨</w:t>
      </w:r>
      <w:r>
        <w:rPr>
          <w:color w:val="auto"/>
        </w:rPr>
        <w:t>0.77</w:t>
      </w:r>
      <w:r w:rsidRPr="00F31B10">
        <w:rPr>
          <w:color w:val="auto"/>
        </w:rPr>
        <w:t>%</w:t>
      </w:r>
      <w:r w:rsidRPr="00F31B10">
        <w:rPr>
          <w:rFonts w:hint="eastAsia"/>
          <w:color w:val="auto"/>
        </w:rPr>
        <w:t>，此外混合型基金月内平均</w:t>
      </w:r>
      <w:r>
        <w:rPr>
          <w:rFonts w:hint="eastAsia"/>
          <w:color w:val="auto"/>
        </w:rPr>
        <w:t>上涨</w:t>
      </w:r>
      <w:r>
        <w:rPr>
          <w:color w:val="auto"/>
        </w:rPr>
        <w:t>2.07</w:t>
      </w:r>
      <w:r w:rsidRPr="00F31B10">
        <w:rPr>
          <w:color w:val="auto"/>
        </w:rPr>
        <w:t>%</w:t>
      </w:r>
      <w:r>
        <w:rPr>
          <w:rFonts w:hint="eastAsia"/>
          <w:color w:val="auto"/>
        </w:rPr>
        <w:t>，整体来看，主动型产品表现优于被动型</w:t>
      </w:r>
      <w:r w:rsidRPr="00F31B10">
        <w:rPr>
          <w:rFonts w:hint="eastAsia"/>
          <w:color w:val="auto"/>
        </w:rPr>
        <w:t>。</w:t>
      </w:r>
    </w:p>
    <w:p w:rsidR="000865BF" w:rsidRPr="003B33A2" w:rsidRDefault="000865BF" w:rsidP="00F4743D">
      <w:pPr>
        <w:pStyle w:val="BodyText"/>
        <w:numPr>
          <w:ilvl w:val="4"/>
          <w:numId w:val="1"/>
        </w:numPr>
        <w:spacing w:after="163"/>
        <w:rPr>
          <w:color w:val="auto"/>
        </w:rPr>
      </w:pPr>
      <w:r w:rsidRPr="00F31B10">
        <w:rPr>
          <w:rFonts w:hint="eastAsia"/>
          <w:color w:val="auto"/>
        </w:rPr>
        <w:t>对于开放式主动偏股产品（主动股票型、混合型）而言，</w:t>
      </w:r>
      <w:r>
        <w:rPr>
          <w:rFonts w:hint="eastAsia"/>
          <w:color w:val="auto"/>
        </w:rPr>
        <w:t>伴随着中小板、创业板的快速反弹，成长</w:t>
      </w:r>
      <w:r w:rsidRPr="00F31B10">
        <w:rPr>
          <w:rFonts w:hint="eastAsia"/>
          <w:color w:val="auto"/>
        </w:rPr>
        <w:t>风格</w:t>
      </w:r>
      <w:r>
        <w:rPr>
          <w:rFonts w:hint="eastAsia"/>
          <w:color w:val="auto"/>
        </w:rPr>
        <w:t>基金再度领跑，其中重配文娱、信息技术、公共设施的中欧盛世成长拔得头筹，月度净值增长</w:t>
      </w:r>
      <w:r>
        <w:rPr>
          <w:color w:val="auto"/>
        </w:rPr>
        <w:t>9.22%</w:t>
      </w:r>
      <w:r>
        <w:rPr>
          <w:rFonts w:hint="eastAsia"/>
          <w:color w:val="auto"/>
        </w:rPr>
        <w:t>，此外超配有信息技术的浦银安盛价值成长净值大增</w:t>
      </w:r>
      <w:r>
        <w:rPr>
          <w:color w:val="auto"/>
        </w:rPr>
        <w:t>9.07%</w:t>
      </w:r>
      <w:r>
        <w:rPr>
          <w:rFonts w:hint="eastAsia"/>
          <w:color w:val="auto"/>
        </w:rPr>
        <w:t>，紧随其后；而受益重仓股良好表现的财通发展主题、关注信息技术、汽配、医疗的宝盈泛沿海以及军工主题基金长盛航天海工均有较佳表现。</w:t>
      </w:r>
      <w:r w:rsidRPr="003B33A2">
        <w:rPr>
          <w:rFonts w:hint="eastAsia"/>
          <w:color w:val="auto"/>
        </w:rPr>
        <w:t>另一方面，</w:t>
      </w:r>
      <w:r>
        <w:rPr>
          <w:rFonts w:hint="eastAsia"/>
          <w:color w:val="auto"/>
        </w:rPr>
        <w:t>重配金融地产、价值风格突出的信诚深度价值股票、金元惠理核心动力股票等业绩垫底。</w:t>
      </w:r>
    </w:p>
    <w:p w:rsidR="000865BF" w:rsidRDefault="000865BF" w:rsidP="00F4743D">
      <w:pPr>
        <w:pStyle w:val="BodyText"/>
        <w:numPr>
          <w:ilvl w:val="4"/>
          <w:numId w:val="1"/>
        </w:numPr>
        <w:spacing w:after="163"/>
        <w:rPr>
          <w:color w:val="auto"/>
        </w:rPr>
      </w:pPr>
      <w:r w:rsidRPr="00F31B10">
        <w:rPr>
          <w:rFonts w:hint="eastAsia"/>
          <w:color w:val="auto"/>
        </w:rPr>
        <w:t>就指数型产品而言，</w:t>
      </w:r>
      <w:r>
        <w:rPr>
          <w:rFonts w:hint="eastAsia"/>
          <w:color w:val="auto"/>
        </w:rPr>
        <w:t>标的指数成长风格突出（如创业板、中小板、中证</w:t>
      </w:r>
      <w:r>
        <w:rPr>
          <w:color w:val="auto"/>
        </w:rPr>
        <w:t>500</w:t>
      </w:r>
      <w:r>
        <w:rPr>
          <w:rFonts w:hint="eastAsia"/>
          <w:color w:val="auto"/>
        </w:rPr>
        <w:t>）的指数基金以及以信息技术、军工为投资领域的主题型指数基金业绩亮眼，如鹏华信息、</w:t>
      </w:r>
      <w:r w:rsidRPr="00B75B5D">
        <w:rPr>
          <w:rFonts w:hint="eastAsia"/>
          <w:color w:val="auto"/>
        </w:rPr>
        <w:t>国泰中小板</w:t>
      </w:r>
      <w:r w:rsidRPr="00B75B5D">
        <w:rPr>
          <w:color w:val="auto"/>
        </w:rPr>
        <w:t>300</w:t>
      </w:r>
      <w:r w:rsidRPr="00B75B5D">
        <w:rPr>
          <w:rFonts w:hint="eastAsia"/>
          <w:color w:val="auto"/>
        </w:rPr>
        <w:t>成长</w:t>
      </w:r>
      <w:r w:rsidRPr="00B75B5D">
        <w:rPr>
          <w:color w:val="auto"/>
        </w:rPr>
        <w:t>ETF</w:t>
      </w:r>
      <w:r w:rsidRPr="00B75B5D">
        <w:rPr>
          <w:rFonts w:hint="eastAsia"/>
          <w:color w:val="auto"/>
        </w:rPr>
        <w:t>联接</w:t>
      </w:r>
      <w:r>
        <w:rPr>
          <w:rFonts w:hint="eastAsia"/>
          <w:color w:val="auto"/>
        </w:rPr>
        <w:t>、</w:t>
      </w:r>
      <w:r w:rsidRPr="00B75B5D">
        <w:rPr>
          <w:rFonts w:hint="eastAsia"/>
          <w:color w:val="auto"/>
        </w:rPr>
        <w:t>易方达创业板</w:t>
      </w:r>
      <w:r w:rsidRPr="00B75B5D">
        <w:rPr>
          <w:color w:val="auto"/>
        </w:rPr>
        <w:t>ETF</w:t>
      </w:r>
      <w:r>
        <w:rPr>
          <w:rFonts w:hint="eastAsia"/>
          <w:color w:val="auto"/>
        </w:rPr>
        <w:t>、</w:t>
      </w:r>
      <w:r w:rsidRPr="00B75B5D">
        <w:rPr>
          <w:rFonts w:hint="eastAsia"/>
          <w:color w:val="auto"/>
        </w:rPr>
        <w:t>嘉实中创</w:t>
      </w:r>
      <w:r w:rsidRPr="00B75B5D">
        <w:rPr>
          <w:color w:val="auto"/>
        </w:rPr>
        <w:t>400ETF</w:t>
      </w:r>
      <w:r>
        <w:rPr>
          <w:rFonts w:hint="eastAsia"/>
          <w:color w:val="auto"/>
        </w:rPr>
        <w:t>、</w:t>
      </w:r>
      <w:r w:rsidRPr="00B75B5D">
        <w:rPr>
          <w:rFonts w:hint="eastAsia"/>
          <w:color w:val="auto"/>
        </w:rPr>
        <w:t>建信中证</w:t>
      </w:r>
      <w:r w:rsidRPr="00B75B5D">
        <w:rPr>
          <w:color w:val="auto"/>
        </w:rPr>
        <w:t>500</w:t>
      </w:r>
      <w:r>
        <w:rPr>
          <w:rFonts w:hint="eastAsia"/>
          <w:color w:val="auto"/>
        </w:rPr>
        <w:t>、</w:t>
      </w:r>
      <w:r w:rsidRPr="00B75B5D">
        <w:rPr>
          <w:rFonts w:hint="eastAsia"/>
          <w:color w:val="auto"/>
        </w:rPr>
        <w:t>前海中证军工</w:t>
      </w:r>
      <w:r w:rsidRPr="00F31B10">
        <w:rPr>
          <w:rFonts w:hint="eastAsia"/>
          <w:color w:val="auto"/>
        </w:rPr>
        <w:t>；</w:t>
      </w:r>
      <w:r>
        <w:rPr>
          <w:rFonts w:hint="eastAsia"/>
          <w:color w:val="auto"/>
        </w:rPr>
        <w:t>而金融、地产、有色等周期型行业主题指数产品则收益不佳，如</w:t>
      </w:r>
      <w:r w:rsidRPr="00B75B5D">
        <w:rPr>
          <w:rFonts w:hint="eastAsia"/>
          <w:color w:val="auto"/>
        </w:rPr>
        <w:t>华夏金融</w:t>
      </w:r>
      <w:r w:rsidRPr="00B75B5D">
        <w:rPr>
          <w:color w:val="auto"/>
        </w:rPr>
        <w:t>ETF</w:t>
      </w:r>
      <w:r>
        <w:rPr>
          <w:rFonts w:hint="eastAsia"/>
          <w:color w:val="auto"/>
        </w:rPr>
        <w:t>、</w:t>
      </w:r>
      <w:r w:rsidRPr="00B75B5D">
        <w:rPr>
          <w:rFonts w:hint="eastAsia"/>
          <w:color w:val="auto"/>
        </w:rPr>
        <w:t>国投金地</w:t>
      </w:r>
      <w:r w:rsidRPr="00B75B5D">
        <w:rPr>
          <w:color w:val="auto"/>
        </w:rPr>
        <w:t>ETF</w:t>
      </w:r>
      <w:r>
        <w:rPr>
          <w:rFonts w:hint="eastAsia"/>
          <w:color w:val="auto"/>
        </w:rPr>
        <w:t>等。</w:t>
      </w:r>
    </w:p>
    <w:p w:rsidR="000865BF" w:rsidRDefault="000865BF" w:rsidP="00E969EA">
      <w:pPr>
        <w:pStyle w:val="BodyText"/>
        <w:spacing w:after="163"/>
        <w:ind w:left="0"/>
        <w:rPr>
          <w:color w:val="auto"/>
        </w:rPr>
      </w:pPr>
      <w:r>
        <w:rPr>
          <w:noProof/>
          <w:lang w:val="en-US"/>
        </w:rPr>
        <w:pict>
          <v:shape id="_x0000_s1036" type="#_x0000_t202" style="position:absolute;left:0;text-align:left;margin-left:284.55pt;margin-top:1.1pt;width:273.75pt;height:249pt;z-index:251658752" stroked="f">
            <v:textbox>
              <w:txbxContent>
                <w:tbl>
                  <w:tblPr>
                    <w:tblW w:w="5235" w:type="dxa"/>
                    <w:tblInd w:w="93" w:type="dxa"/>
                    <w:tblLook w:val="00A0"/>
                  </w:tblPr>
                  <w:tblGrid>
                    <w:gridCol w:w="958"/>
                    <w:gridCol w:w="2559"/>
                    <w:gridCol w:w="1022"/>
                    <w:gridCol w:w="696"/>
                  </w:tblGrid>
                  <w:tr w:rsidR="000865BF" w:rsidRPr="0091641A" w:rsidTr="00F4563C">
                    <w:trPr>
                      <w:trHeight w:val="284"/>
                    </w:trPr>
                    <w:tc>
                      <w:tcPr>
                        <w:tcW w:w="4539" w:type="dxa"/>
                        <w:gridSpan w:val="3"/>
                        <w:tcBorders>
                          <w:top w:val="single" w:sz="8" w:space="0" w:color="E46D0A"/>
                          <w:left w:val="nil"/>
                          <w:bottom w:val="single" w:sz="8" w:space="0" w:color="E46D0A"/>
                          <w:right w:val="nil"/>
                        </w:tcBorders>
                        <w:noWrap/>
                        <w:vAlign w:val="center"/>
                      </w:tcPr>
                      <w:p w:rsidR="000865BF" w:rsidRPr="0091641A" w:rsidRDefault="000865BF" w:rsidP="00F4563C">
                        <w:pPr>
                          <w:widowControl/>
                          <w:jc w:val="left"/>
                          <w:rPr>
                            <w:rFonts w:ascii="宋体" w:cs="宋体"/>
                            <w:b/>
                            <w:i/>
                            <w:iCs/>
                            <w:color w:val="E36C0A"/>
                            <w:kern w:val="0"/>
                            <w:sz w:val="20"/>
                            <w:szCs w:val="20"/>
                          </w:rPr>
                        </w:pPr>
                        <w:r w:rsidRPr="0091641A">
                          <w:rPr>
                            <w:rFonts w:ascii="宋体" w:hAnsi="宋体" w:cs="宋体" w:hint="eastAsia"/>
                            <w:b/>
                            <w:i/>
                            <w:iCs/>
                            <w:color w:val="E36C0A"/>
                            <w:sz w:val="20"/>
                          </w:rPr>
                          <w:t>图表</w:t>
                        </w:r>
                        <w:r w:rsidRPr="0091641A">
                          <w:rPr>
                            <w:rFonts w:ascii="宋体" w:hAnsi="宋体" w:cs="宋体"/>
                            <w:b/>
                            <w:i/>
                            <w:iCs/>
                            <w:color w:val="E36C0A"/>
                            <w:kern w:val="0"/>
                            <w:sz w:val="20"/>
                            <w:szCs w:val="20"/>
                          </w:rPr>
                          <w:t>3:2014</w:t>
                        </w:r>
                        <w:r w:rsidRPr="0091641A">
                          <w:rPr>
                            <w:rFonts w:ascii="宋体" w:hAnsi="宋体" w:cs="宋体" w:hint="eastAsia"/>
                            <w:b/>
                            <w:i/>
                            <w:iCs/>
                            <w:color w:val="E36C0A"/>
                            <w:kern w:val="0"/>
                            <w:sz w:val="20"/>
                            <w:szCs w:val="20"/>
                          </w:rPr>
                          <w:t>年</w:t>
                        </w:r>
                        <w:r w:rsidRPr="0091641A">
                          <w:rPr>
                            <w:rFonts w:ascii="宋体" w:hAnsi="宋体" w:cs="宋体"/>
                            <w:b/>
                            <w:i/>
                            <w:iCs/>
                            <w:color w:val="E36C0A"/>
                            <w:kern w:val="0"/>
                            <w:sz w:val="20"/>
                            <w:szCs w:val="20"/>
                          </w:rPr>
                          <w:t>8</w:t>
                        </w:r>
                        <w:r w:rsidRPr="0091641A">
                          <w:rPr>
                            <w:rFonts w:ascii="宋体" w:hAnsi="宋体" w:cs="宋体" w:hint="eastAsia"/>
                            <w:b/>
                            <w:i/>
                            <w:iCs/>
                            <w:color w:val="E36C0A"/>
                            <w:kern w:val="0"/>
                            <w:sz w:val="20"/>
                            <w:szCs w:val="20"/>
                          </w:rPr>
                          <w:t>月指数型产品前十</w:t>
                        </w:r>
                      </w:p>
                    </w:tc>
                    <w:tc>
                      <w:tcPr>
                        <w:tcW w:w="696" w:type="dxa"/>
                        <w:tcBorders>
                          <w:top w:val="single" w:sz="8" w:space="0" w:color="E46D0A"/>
                          <w:left w:val="nil"/>
                          <w:bottom w:val="single" w:sz="8" w:space="0" w:color="E46D0A"/>
                          <w:right w:val="nil"/>
                        </w:tcBorders>
                        <w:noWrap/>
                        <w:vAlign w:val="bottom"/>
                      </w:tcPr>
                      <w:p w:rsidR="000865BF" w:rsidRPr="003072DB" w:rsidRDefault="000865BF" w:rsidP="003072DB">
                        <w:pPr>
                          <w:widowControl/>
                          <w:jc w:val="left"/>
                          <w:rPr>
                            <w:rFonts w:ascii="宋体" w:cs="宋体"/>
                            <w:color w:val="000000"/>
                            <w:kern w:val="0"/>
                            <w:sz w:val="22"/>
                          </w:rPr>
                        </w:pPr>
                        <w:r w:rsidRPr="003072DB">
                          <w:rPr>
                            <w:rFonts w:ascii="宋体" w:hAnsi="宋体" w:cs="宋体" w:hint="eastAsia"/>
                            <w:color w:val="000000"/>
                            <w:kern w:val="0"/>
                            <w:sz w:val="22"/>
                          </w:rPr>
                          <w:t xml:space="preserve">　</w:t>
                        </w:r>
                      </w:p>
                    </w:tc>
                  </w:tr>
                  <w:tr w:rsidR="000865BF" w:rsidRPr="0091641A" w:rsidTr="003072DB">
                    <w:trPr>
                      <w:trHeight w:val="434"/>
                    </w:trPr>
                    <w:tc>
                      <w:tcPr>
                        <w:tcW w:w="958"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市场代码</w:t>
                        </w:r>
                      </w:p>
                    </w:tc>
                    <w:tc>
                      <w:tcPr>
                        <w:tcW w:w="2559"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基金名称</w:t>
                        </w:r>
                      </w:p>
                    </w:tc>
                    <w:tc>
                      <w:tcPr>
                        <w:tcW w:w="1022" w:type="dxa"/>
                        <w:tcBorders>
                          <w:top w:val="nil"/>
                          <w:left w:val="nil"/>
                          <w:bottom w:val="single" w:sz="8" w:space="0" w:color="E46D0A"/>
                          <w:right w:val="nil"/>
                        </w:tcBorders>
                        <w:vAlign w:val="center"/>
                      </w:tcPr>
                      <w:p w:rsidR="000865BF" w:rsidRPr="003072DB" w:rsidRDefault="000865BF" w:rsidP="003072DB">
                        <w:pPr>
                          <w:widowControl/>
                          <w:jc w:val="center"/>
                          <w:rPr>
                            <w:rFonts w:ascii="宋体" w:cs="宋体"/>
                            <w:color w:val="000000"/>
                            <w:kern w:val="0"/>
                            <w:sz w:val="16"/>
                            <w:szCs w:val="16"/>
                          </w:rPr>
                        </w:pPr>
                        <w:r>
                          <w:rPr>
                            <w:rFonts w:ascii="宋体" w:hAnsi="宋体" w:cs="宋体"/>
                            <w:color w:val="000000"/>
                            <w:kern w:val="0"/>
                            <w:sz w:val="16"/>
                            <w:szCs w:val="16"/>
                          </w:rPr>
                          <w:t>7</w:t>
                        </w:r>
                        <w:r>
                          <w:rPr>
                            <w:rFonts w:ascii="宋体" w:hAnsi="宋体" w:cs="宋体" w:hint="eastAsia"/>
                            <w:color w:val="000000"/>
                            <w:kern w:val="0"/>
                            <w:sz w:val="16"/>
                            <w:szCs w:val="16"/>
                          </w:rPr>
                          <w:t>月</w:t>
                        </w:r>
                        <w:r w:rsidRPr="003072DB">
                          <w:rPr>
                            <w:rFonts w:ascii="宋体" w:hAnsi="宋体" w:cs="宋体" w:hint="eastAsia"/>
                            <w:color w:val="000000"/>
                            <w:kern w:val="0"/>
                            <w:sz w:val="16"/>
                            <w:szCs w:val="16"/>
                          </w:rPr>
                          <w:t>业绩（</w:t>
                        </w:r>
                        <w:r w:rsidRPr="003072DB">
                          <w:rPr>
                            <w:rFonts w:ascii="宋体" w:hAnsi="宋体" w:cs="宋体"/>
                            <w:color w:val="000000"/>
                            <w:kern w:val="0"/>
                            <w:sz w:val="16"/>
                            <w:szCs w:val="16"/>
                          </w:rPr>
                          <w:t>%</w:t>
                        </w:r>
                        <w:r w:rsidRPr="003072DB">
                          <w:rPr>
                            <w:rFonts w:ascii="宋体" w:hAnsi="宋体" w:cs="宋体" w:hint="eastAsia"/>
                            <w:color w:val="000000"/>
                            <w:kern w:val="0"/>
                            <w:sz w:val="16"/>
                            <w:szCs w:val="16"/>
                          </w:rPr>
                          <w:t>）</w:t>
                        </w:r>
                      </w:p>
                    </w:tc>
                    <w:tc>
                      <w:tcPr>
                        <w:tcW w:w="696"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排名</w:t>
                        </w:r>
                      </w:p>
                    </w:tc>
                  </w:tr>
                  <w:tr w:rsidR="000865BF" w:rsidRPr="0091641A" w:rsidTr="00E2759C">
                    <w:trPr>
                      <w:trHeight w:val="269"/>
                    </w:trPr>
                    <w:tc>
                      <w:tcPr>
                        <w:tcW w:w="958"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160626</w:t>
                        </w:r>
                      </w:p>
                    </w:tc>
                    <w:tc>
                      <w:tcPr>
                        <w:tcW w:w="255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rFonts w:hint="eastAsia"/>
                            <w:color w:val="000000"/>
                            <w:sz w:val="16"/>
                            <w:szCs w:val="16"/>
                          </w:rPr>
                          <w:t>鹏华信息</w:t>
                        </w:r>
                      </w:p>
                    </w:tc>
                    <w:tc>
                      <w:tcPr>
                        <w:tcW w:w="1022"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6.81</w:t>
                        </w:r>
                      </w:p>
                    </w:tc>
                    <w:tc>
                      <w:tcPr>
                        <w:tcW w:w="69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1</w:t>
                        </w:r>
                      </w:p>
                    </w:tc>
                  </w:tr>
                  <w:tr w:rsidR="000865BF" w:rsidRPr="0091641A" w:rsidTr="00E2759C">
                    <w:trPr>
                      <w:trHeight w:val="269"/>
                    </w:trPr>
                    <w:tc>
                      <w:tcPr>
                        <w:tcW w:w="958"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20025</w:t>
                        </w:r>
                      </w:p>
                    </w:tc>
                    <w:tc>
                      <w:tcPr>
                        <w:tcW w:w="255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rFonts w:hint="eastAsia"/>
                            <w:color w:val="000000"/>
                            <w:sz w:val="16"/>
                            <w:szCs w:val="16"/>
                          </w:rPr>
                          <w:t>国泰中小板</w:t>
                        </w:r>
                        <w:r w:rsidRPr="0091641A">
                          <w:rPr>
                            <w:color w:val="000000"/>
                            <w:sz w:val="16"/>
                            <w:szCs w:val="16"/>
                          </w:rPr>
                          <w:t>300</w:t>
                        </w:r>
                        <w:r w:rsidRPr="0091641A">
                          <w:rPr>
                            <w:rFonts w:hint="eastAsia"/>
                            <w:color w:val="000000"/>
                            <w:sz w:val="16"/>
                            <w:szCs w:val="16"/>
                          </w:rPr>
                          <w:t>成长</w:t>
                        </w:r>
                        <w:r w:rsidRPr="0091641A">
                          <w:rPr>
                            <w:color w:val="000000"/>
                            <w:sz w:val="16"/>
                            <w:szCs w:val="16"/>
                          </w:rPr>
                          <w:t>ETF</w:t>
                        </w:r>
                        <w:r w:rsidRPr="0091641A">
                          <w:rPr>
                            <w:rFonts w:hint="eastAsia"/>
                            <w:color w:val="000000"/>
                            <w:sz w:val="16"/>
                            <w:szCs w:val="16"/>
                          </w:rPr>
                          <w:t>联接</w:t>
                        </w:r>
                      </w:p>
                    </w:tc>
                    <w:tc>
                      <w:tcPr>
                        <w:tcW w:w="1022"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5.86</w:t>
                        </w:r>
                      </w:p>
                    </w:tc>
                    <w:tc>
                      <w:tcPr>
                        <w:tcW w:w="69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2</w:t>
                        </w:r>
                      </w:p>
                    </w:tc>
                  </w:tr>
                  <w:tr w:rsidR="000865BF" w:rsidRPr="0091641A" w:rsidTr="00E2759C">
                    <w:trPr>
                      <w:trHeight w:val="269"/>
                    </w:trPr>
                    <w:tc>
                      <w:tcPr>
                        <w:tcW w:w="958"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159915</w:t>
                        </w:r>
                      </w:p>
                    </w:tc>
                    <w:tc>
                      <w:tcPr>
                        <w:tcW w:w="255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rFonts w:hint="eastAsia"/>
                            <w:color w:val="000000"/>
                            <w:sz w:val="16"/>
                            <w:szCs w:val="16"/>
                          </w:rPr>
                          <w:t>易方达创业板</w:t>
                        </w:r>
                        <w:r w:rsidRPr="0091641A">
                          <w:rPr>
                            <w:color w:val="000000"/>
                            <w:sz w:val="16"/>
                            <w:szCs w:val="16"/>
                          </w:rPr>
                          <w:t>ETF</w:t>
                        </w:r>
                      </w:p>
                    </w:tc>
                    <w:tc>
                      <w:tcPr>
                        <w:tcW w:w="1022"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5.75</w:t>
                        </w:r>
                      </w:p>
                    </w:tc>
                    <w:tc>
                      <w:tcPr>
                        <w:tcW w:w="69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3</w:t>
                        </w:r>
                      </w:p>
                    </w:tc>
                  </w:tr>
                  <w:tr w:rsidR="000865BF" w:rsidRPr="0091641A" w:rsidTr="00E2759C">
                    <w:trPr>
                      <w:trHeight w:val="269"/>
                    </w:trPr>
                    <w:tc>
                      <w:tcPr>
                        <w:tcW w:w="958"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159918</w:t>
                        </w:r>
                      </w:p>
                    </w:tc>
                    <w:tc>
                      <w:tcPr>
                        <w:tcW w:w="255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rFonts w:hint="eastAsia"/>
                            <w:color w:val="000000"/>
                            <w:sz w:val="16"/>
                            <w:szCs w:val="16"/>
                          </w:rPr>
                          <w:t>嘉实中创</w:t>
                        </w:r>
                        <w:r w:rsidRPr="0091641A">
                          <w:rPr>
                            <w:color w:val="000000"/>
                            <w:sz w:val="16"/>
                            <w:szCs w:val="16"/>
                          </w:rPr>
                          <w:t>400ETF</w:t>
                        </w:r>
                      </w:p>
                    </w:tc>
                    <w:tc>
                      <w:tcPr>
                        <w:tcW w:w="1022"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5.71</w:t>
                        </w:r>
                      </w:p>
                    </w:tc>
                    <w:tc>
                      <w:tcPr>
                        <w:tcW w:w="69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4</w:t>
                        </w:r>
                      </w:p>
                    </w:tc>
                  </w:tr>
                  <w:tr w:rsidR="000865BF" w:rsidRPr="0091641A" w:rsidTr="00E2759C">
                    <w:trPr>
                      <w:trHeight w:val="269"/>
                    </w:trPr>
                    <w:tc>
                      <w:tcPr>
                        <w:tcW w:w="958"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478</w:t>
                        </w:r>
                      </w:p>
                    </w:tc>
                    <w:tc>
                      <w:tcPr>
                        <w:tcW w:w="255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rFonts w:hint="eastAsia"/>
                            <w:color w:val="000000"/>
                            <w:sz w:val="16"/>
                            <w:szCs w:val="16"/>
                          </w:rPr>
                          <w:t>建信中证</w:t>
                        </w:r>
                        <w:r w:rsidRPr="0091641A">
                          <w:rPr>
                            <w:color w:val="000000"/>
                            <w:sz w:val="16"/>
                            <w:szCs w:val="16"/>
                          </w:rPr>
                          <w:t>500</w:t>
                        </w:r>
                      </w:p>
                    </w:tc>
                    <w:tc>
                      <w:tcPr>
                        <w:tcW w:w="1022"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5.63</w:t>
                        </w:r>
                      </w:p>
                    </w:tc>
                    <w:tc>
                      <w:tcPr>
                        <w:tcW w:w="69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5</w:t>
                        </w:r>
                      </w:p>
                    </w:tc>
                  </w:tr>
                  <w:tr w:rsidR="000865BF" w:rsidRPr="0091641A" w:rsidTr="00E2759C">
                    <w:trPr>
                      <w:trHeight w:val="269"/>
                    </w:trPr>
                    <w:tc>
                      <w:tcPr>
                        <w:tcW w:w="958"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596</w:t>
                        </w:r>
                      </w:p>
                    </w:tc>
                    <w:tc>
                      <w:tcPr>
                        <w:tcW w:w="255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rFonts w:hint="eastAsia"/>
                            <w:color w:val="000000"/>
                            <w:sz w:val="16"/>
                            <w:szCs w:val="16"/>
                          </w:rPr>
                          <w:t>前海中证军工</w:t>
                        </w:r>
                      </w:p>
                    </w:tc>
                    <w:tc>
                      <w:tcPr>
                        <w:tcW w:w="1022"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5.43</w:t>
                        </w:r>
                      </w:p>
                    </w:tc>
                    <w:tc>
                      <w:tcPr>
                        <w:tcW w:w="69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6</w:t>
                        </w:r>
                      </w:p>
                    </w:tc>
                  </w:tr>
                  <w:tr w:rsidR="000865BF" w:rsidRPr="0091641A" w:rsidTr="00E2759C">
                    <w:trPr>
                      <w:trHeight w:val="269"/>
                    </w:trPr>
                    <w:tc>
                      <w:tcPr>
                        <w:tcW w:w="958"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70030</w:t>
                        </w:r>
                      </w:p>
                    </w:tc>
                    <w:tc>
                      <w:tcPr>
                        <w:tcW w:w="255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rFonts w:hint="eastAsia"/>
                            <w:color w:val="000000"/>
                            <w:sz w:val="16"/>
                            <w:szCs w:val="16"/>
                          </w:rPr>
                          <w:t>嘉实中创</w:t>
                        </w:r>
                        <w:r w:rsidRPr="0091641A">
                          <w:rPr>
                            <w:color w:val="000000"/>
                            <w:sz w:val="16"/>
                            <w:szCs w:val="16"/>
                          </w:rPr>
                          <w:t>400ETF</w:t>
                        </w:r>
                        <w:r w:rsidRPr="0091641A">
                          <w:rPr>
                            <w:rFonts w:hint="eastAsia"/>
                            <w:color w:val="000000"/>
                            <w:sz w:val="16"/>
                            <w:szCs w:val="16"/>
                          </w:rPr>
                          <w:t>联接</w:t>
                        </w:r>
                      </w:p>
                    </w:tc>
                    <w:tc>
                      <w:tcPr>
                        <w:tcW w:w="1022"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5.39</w:t>
                        </w:r>
                      </w:p>
                    </w:tc>
                    <w:tc>
                      <w:tcPr>
                        <w:tcW w:w="69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7</w:t>
                        </w:r>
                      </w:p>
                    </w:tc>
                  </w:tr>
                  <w:tr w:rsidR="000865BF" w:rsidRPr="0091641A" w:rsidTr="00E2759C">
                    <w:trPr>
                      <w:trHeight w:val="269"/>
                    </w:trPr>
                    <w:tc>
                      <w:tcPr>
                        <w:tcW w:w="958"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161613</w:t>
                        </w:r>
                      </w:p>
                    </w:tc>
                    <w:tc>
                      <w:tcPr>
                        <w:tcW w:w="255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rFonts w:hint="eastAsia"/>
                            <w:color w:val="000000"/>
                            <w:sz w:val="16"/>
                            <w:szCs w:val="16"/>
                          </w:rPr>
                          <w:t>融通创业板指数</w:t>
                        </w:r>
                      </w:p>
                    </w:tc>
                    <w:tc>
                      <w:tcPr>
                        <w:tcW w:w="1022"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5.3</w:t>
                        </w:r>
                      </w:p>
                    </w:tc>
                    <w:tc>
                      <w:tcPr>
                        <w:tcW w:w="69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8</w:t>
                        </w:r>
                      </w:p>
                    </w:tc>
                  </w:tr>
                  <w:tr w:rsidR="000865BF" w:rsidRPr="0091641A" w:rsidTr="00E2759C">
                    <w:trPr>
                      <w:trHeight w:val="269"/>
                    </w:trPr>
                    <w:tc>
                      <w:tcPr>
                        <w:tcW w:w="958"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110026</w:t>
                        </w:r>
                      </w:p>
                    </w:tc>
                    <w:tc>
                      <w:tcPr>
                        <w:tcW w:w="255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rFonts w:hint="eastAsia"/>
                            <w:color w:val="000000"/>
                            <w:sz w:val="16"/>
                            <w:szCs w:val="16"/>
                          </w:rPr>
                          <w:t>易方达创业板</w:t>
                        </w:r>
                        <w:r w:rsidRPr="0091641A">
                          <w:rPr>
                            <w:color w:val="000000"/>
                            <w:sz w:val="16"/>
                            <w:szCs w:val="16"/>
                          </w:rPr>
                          <w:t>ETF</w:t>
                        </w:r>
                        <w:r w:rsidRPr="0091641A">
                          <w:rPr>
                            <w:rFonts w:hint="eastAsia"/>
                            <w:color w:val="000000"/>
                            <w:sz w:val="16"/>
                            <w:szCs w:val="16"/>
                          </w:rPr>
                          <w:t>联接</w:t>
                        </w:r>
                      </w:p>
                    </w:tc>
                    <w:tc>
                      <w:tcPr>
                        <w:tcW w:w="1022"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5.24</w:t>
                        </w:r>
                      </w:p>
                    </w:tc>
                    <w:tc>
                      <w:tcPr>
                        <w:tcW w:w="69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9</w:t>
                        </w:r>
                      </w:p>
                    </w:tc>
                  </w:tr>
                  <w:tr w:rsidR="000865BF" w:rsidRPr="0091641A" w:rsidTr="00E2759C">
                    <w:trPr>
                      <w:trHeight w:val="284"/>
                    </w:trPr>
                    <w:tc>
                      <w:tcPr>
                        <w:tcW w:w="958" w:type="dxa"/>
                        <w:tcBorders>
                          <w:top w:val="nil"/>
                          <w:left w:val="nil"/>
                          <w:bottom w:val="single" w:sz="8" w:space="0" w:color="E46D0A"/>
                          <w:right w:val="nil"/>
                        </w:tcBorders>
                        <w:noWrap/>
                      </w:tcPr>
                      <w:p w:rsidR="000865BF" w:rsidRPr="0091641A" w:rsidRDefault="000865BF" w:rsidP="0034182E">
                        <w:pPr>
                          <w:jc w:val="center"/>
                          <w:rPr>
                            <w:color w:val="000000"/>
                            <w:sz w:val="16"/>
                            <w:szCs w:val="16"/>
                          </w:rPr>
                        </w:pPr>
                        <w:r w:rsidRPr="0091641A">
                          <w:rPr>
                            <w:color w:val="000000"/>
                            <w:sz w:val="16"/>
                            <w:szCs w:val="16"/>
                          </w:rPr>
                          <w:t>159907</w:t>
                        </w:r>
                      </w:p>
                    </w:tc>
                    <w:tc>
                      <w:tcPr>
                        <w:tcW w:w="2559" w:type="dxa"/>
                        <w:tcBorders>
                          <w:top w:val="nil"/>
                          <w:left w:val="nil"/>
                          <w:bottom w:val="single" w:sz="8" w:space="0" w:color="E46D0A"/>
                          <w:right w:val="nil"/>
                        </w:tcBorders>
                        <w:noWrap/>
                      </w:tcPr>
                      <w:p w:rsidR="000865BF" w:rsidRPr="0091641A" w:rsidRDefault="000865BF" w:rsidP="0034182E">
                        <w:pPr>
                          <w:jc w:val="center"/>
                          <w:rPr>
                            <w:color w:val="000000"/>
                            <w:sz w:val="16"/>
                            <w:szCs w:val="16"/>
                          </w:rPr>
                        </w:pPr>
                        <w:r w:rsidRPr="0091641A">
                          <w:rPr>
                            <w:rFonts w:hint="eastAsia"/>
                            <w:color w:val="000000"/>
                            <w:sz w:val="16"/>
                            <w:szCs w:val="16"/>
                          </w:rPr>
                          <w:t>广发中小板</w:t>
                        </w:r>
                        <w:r w:rsidRPr="0091641A">
                          <w:rPr>
                            <w:color w:val="000000"/>
                            <w:sz w:val="16"/>
                            <w:szCs w:val="16"/>
                          </w:rPr>
                          <w:t>300ETF</w:t>
                        </w:r>
                      </w:p>
                    </w:tc>
                    <w:tc>
                      <w:tcPr>
                        <w:tcW w:w="1022" w:type="dxa"/>
                        <w:tcBorders>
                          <w:top w:val="nil"/>
                          <w:left w:val="nil"/>
                          <w:bottom w:val="single" w:sz="8" w:space="0" w:color="E46D0A"/>
                          <w:right w:val="nil"/>
                        </w:tcBorders>
                        <w:noWrap/>
                      </w:tcPr>
                      <w:p w:rsidR="000865BF" w:rsidRPr="0091641A" w:rsidRDefault="000865BF" w:rsidP="0034182E">
                        <w:pPr>
                          <w:jc w:val="center"/>
                          <w:rPr>
                            <w:color w:val="000000"/>
                            <w:sz w:val="16"/>
                            <w:szCs w:val="16"/>
                          </w:rPr>
                        </w:pPr>
                        <w:r w:rsidRPr="0091641A">
                          <w:rPr>
                            <w:color w:val="000000"/>
                            <w:sz w:val="16"/>
                            <w:szCs w:val="16"/>
                          </w:rPr>
                          <w:t>5.16</w:t>
                        </w:r>
                      </w:p>
                    </w:tc>
                    <w:tc>
                      <w:tcPr>
                        <w:tcW w:w="696" w:type="dxa"/>
                        <w:tcBorders>
                          <w:top w:val="nil"/>
                          <w:left w:val="nil"/>
                          <w:bottom w:val="single" w:sz="8" w:space="0" w:color="E46D0A"/>
                          <w:right w:val="nil"/>
                        </w:tcBorders>
                        <w:noWrap/>
                      </w:tcPr>
                      <w:p w:rsidR="000865BF" w:rsidRPr="0091641A" w:rsidRDefault="000865BF" w:rsidP="0034182E">
                        <w:pPr>
                          <w:jc w:val="center"/>
                          <w:rPr>
                            <w:color w:val="000000"/>
                            <w:sz w:val="16"/>
                            <w:szCs w:val="16"/>
                          </w:rPr>
                        </w:pPr>
                        <w:r w:rsidRPr="0091641A">
                          <w:rPr>
                            <w:color w:val="000000"/>
                            <w:sz w:val="16"/>
                            <w:szCs w:val="16"/>
                          </w:rPr>
                          <w:t>10</w:t>
                        </w:r>
                      </w:p>
                    </w:tc>
                  </w:tr>
                  <w:tr w:rsidR="000865BF" w:rsidRPr="0091641A" w:rsidTr="003072DB">
                    <w:trPr>
                      <w:trHeight w:val="284"/>
                    </w:trPr>
                    <w:tc>
                      <w:tcPr>
                        <w:tcW w:w="3517" w:type="dxa"/>
                        <w:gridSpan w:val="2"/>
                        <w:tcBorders>
                          <w:top w:val="single" w:sz="8" w:space="0" w:color="E46D0A"/>
                          <w:left w:val="nil"/>
                          <w:bottom w:val="single" w:sz="8" w:space="0" w:color="E46D0A"/>
                          <w:right w:val="nil"/>
                        </w:tcBorders>
                        <w:noWrap/>
                        <w:vAlign w:val="center"/>
                      </w:tcPr>
                      <w:p w:rsidR="000865BF" w:rsidRPr="003072DB" w:rsidRDefault="000865BF"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来源：凯石财富工场</w:t>
                        </w:r>
                      </w:p>
                    </w:tc>
                    <w:tc>
                      <w:tcPr>
                        <w:tcW w:w="1022"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8"/>
                            <w:szCs w:val="18"/>
                          </w:rPr>
                        </w:pPr>
                        <w:r w:rsidRPr="003072DB">
                          <w:rPr>
                            <w:rFonts w:ascii="宋体" w:hAnsi="宋体" w:cs="宋体" w:hint="eastAsia"/>
                            <w:color w:val="000000"/>
                            <w:kern w:val="0"/>
                            <w:sz w:val="18"/>
                            <w:szCs w:val="18"/>
                          </w:rPr>
                          <w:t xml:space="preserve">　</w:t>
                        </w:r>
                      </w:p>
                    </w:tc>
                    <w:tc>
                      <w:tcPr>
                        <w:tcW w:w="696"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8"/>
                            <w:szCs w:val="18"/>
                          </w:rPr>
                        </w:pPr>
                        <w:r w:rsidRPr="003072DB">
                          <w:rPr>
                            <w:rFonts w:ascii="宋体" w:hAnsi="宋体" w:cs="宋体" w:hint="eastAsia"/>
                            <w:color w:val="000000"/>
                            <w:kern w:val="0"/>
                            <w:sz w:val="18"/>
                            <w:szCs w:val="18"/>
                          </w:rPr>
                          <w:t xml:space="preserve">　</w:t>
                        </w:r>
                      </w:p>
                    </w:tc>
                  </w:tr>
                </w:tbl>
                <w:p w:rsidR="000865BF" w:rsidRDefault="000865BF"/>
              </w:txbxContent>
            </v:textbox>
          </v:shape>
        </w:pict>
      </w:r>
      <w:r>
        <w:rPr>
          <w:noProof/>
          <w:lang w:val="en-US"/>
        </w:rPr>
        <w:pict>
          <v:shape id="_x0000_s1037" type="#_x0000_t202" style="position:absolute;left:0;text-align:left;margin-left:-7.95pt;margin-top:1.1pt;width:287.25pt;height:249pt;z-index:251657728" stroked="f">
            <v:textbox>
              <w:txbxContent>
                <w:tbl>
                  <w:tblPr>
                    <w:tblW w:w="5430" w:type="dxa"/>
                    <w:tblInd w:w="93" w:type="dxa"/>
                    <w:tblLook w:val="00A0"/>
                  </w:tblPr>
                  <w:tblGrid>
                    <w:gridCol w:w="999"/>
                    <w:gridCol w:w="2789"/>
                    <w:gridCol w:w="1036"/>
                    <w:gridCol w:w="606"/>
                  </w:tblGrid>
                  <w:tr w:rsidR="000865BF" w:rsidRPr="0091641A" w:rsidTr="003072DB">
                    <w:trPr>
                      <w:trHeight w:val="305"/>
                    </w:trPr>
                    <w:tc>
                      <w:tcPr>
                        <w:tcW w:w="4824" w:type="dxa"/>
                        <w:gridSpan w:val="3"/>
                        <w:tcBorders>
                          <w:top w:val="single" w:sz="8" w:space="0" w:color="E46D0A"/>
                          <w:left w:val="nil"/>
                          <w:bottom w:val="single" w:sz="8" w:space="0" w:color="E46D0A"/>
                          <w:right w:val="nil"/>
                        </w:tcBorders>
                        <w:noWrap/>
                        <w:vAlign w:val="center"/>
                      </w:tcPr>
                      <w:p w:rsidR="000865BF" w:rsidRPr="0091641A" w:rsidRDefault="000865BF" w:rsidP="00F4563C">
                        <w:pPr>
                          <w:widowControl/>
                          <w:jc w:val="left"/>
                          <w:rPr>
                            <w:rFonts w:ascii="宋体" w:cs="宋体"/>
                            <w:b/>
                            <w:i/>
                            <w:iCs/>
                            <w:color w:val="E36C0A"/>
                            <w:kern w:val="0"/>
                            <w:sz w:val="20"/>
                            <w:szCs w:val="20"/>
                          </w:rPr>
                        </w:pPr>
                        <w:r w:rsidRPr="0091641A">
                          <w:rPr>
                            <w:rFonts w:ascii="宋体" w:hAnsi="宋体" w:cs="宋体" w:hint="eastAsia"/>
                            <w:b/>
                            <w:i/>
                            <w:iCs/>
                            <w:color w:val="E36C0A"/>
                            <w:sz w:val="20"/>
                          </w:rPr>
                          <w:t>图表</w:t>
                        </w:r>
                        <w:r w:rsidRPr="0091641A">
                          <w:rPr>
                            <w:rFonts w:ascii="宋体" w:hAnsi="宋体" w:cs="宋体"/>
                            <w:b/>
                            <w:i/>
                            <w:iCs/>
                            <w:color w:val="E36C0A"/>
                            <w:kern w:val="0"/>
                            <w:sz w:val="20"/>
                            <w:szCs w:val="20"/>
                          </w:rPr>
                          <w:t>2:2014</w:t>
                        </w:r>
                        <w:r w:rsidRPr="0091641A">
                          <w:rPr>
                            <w:rFonts w:ascii="宋体" w:hAnsi="宋体" w:cs="宋体" w:hint="eastAsia"/>
                            <w:b/>
                            <w:i/>
                            <w:iCs/>
                            <w:color w:val="E36C0A"/>
                            <w:kern w:val="0"/>
                            <w:sz w:val="20"/>
                            <w:szCs w:val="20"/>
                          </w:rPr>
                          <w:t>年</w:t>
                        </w:r>
                        <w:r w:rsidRPr="0091641A">
                          <w:rPr>
                            <w:rFonts w:ascii="宋体" w:hAnsi="宋体" w:cs="宋体"/>
                            <w:b/>
                            <w:i/>
                            <w:iCs/>
                            <w:color w:val="E36C0A"/>
                            <w:kern w:val="0"/>
                            <w:sz w:val="20"/>
                            <w:szCs w:val="20"/>
                          </w:rPr>
                          <w:t>8</w:t>
                        </w:r>
                        <w:r w:rsidRPr="0091641A">
                          <w:rPr>
                            <w:rFonts w:ascii="宋体" w:hAnsi="宋体" w:cs="宋体" w:hint="eastAsia"/>
                            <w:b/>
                            <w:i/>
                            <w:iCs/>
                            <w:color w:val="E36C0A"/>
                            <w:kern w:val="0"/>
                            <w:sz w:val="20"/>
                            <w:szCs w:val="20"/>
                          </w:rPr>
                          <w:t>月开放式主动偏股产品前十</w:t>
                        </w:r>
                      </w:p>
                    </w:tc>
                    <w:tc>
                      <w:tcPr>
                        <w:tcW w:w="606" w:type="dxa"/>
                        <w:tcBorders>
                          <w:top w:val="single" w:sz="8" w:space="0" w:color="E46D0A"/>
                          <w:left w:val="nil"/>
                          <w:bottom w:val="single" w:sz="8" w:space="0" w:color="E46D0A"/>
                          <w:right w:val="nil"/>
                        </w:tcBorders>
                        <w:noWrap/>
                        <w:vAlign w:val="bottom"/>
                      </w:tcPr>
                      <w:p w:rsidR="000865BF" w:rsidRPr="003072DB" w:rsidRDefault="000865BF" w:rsidP="003072DB">
                        <w:pPr>
                          <w:widowControl/>
                          <w:jc w:val="left"/>
                          <w:rPr>
                            <w:rFonts w:ascii="宋体" w:cs="宋体"/>
                            <w:color w:val="000000"/>
                            <w:kern w:val="0"/>
                            <w:sz w:val="22"/>
                          </w:rPr>
                        </w:pPr>
                        <w:r w:rsidRPr="003072DB">
                          <w:rPr>
                            <w:rFonts w:ascii="宋体" w:hAnsi="宋体" w:cs="宋体" w:hint="eastAsia"/>
                            <w:color w:val="000000"/>
                            <w:kern w:val="0"/>
                            <w:sz w:val="22"/>
                          </w:rPr>
                          <w:t xml:space="preserve">　</w:t>
                        </w:r>
                      </w:p>
                    </w:tc>
                  </w:tr>
                  <w:tr w:rsidR="000865BF" w:rsidRPr="0091641A" w:rsidTr="003072DB">
                    <w:trPr>
                      <w:trHeight w:val="501"/>
                    </w:trPr>
                    <w:tc>
                      <w:tcPr>
                        <w:tcW w:w="999"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市场代码</w:t>
                        </w:r>
                      </w:p>
                    </w:tc>
                    <w:tc>
                      <w:tcPr>
                        <w:tcW w:w="2789"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基金名称</w:t>
                        </w:r>
                      </w:p>
                    </w:tc>
                    <w:tc>
                      <w:tcPr>
                        <w:tcW w:w="1036" w:type="dxa"/>
                        <w:tcBorders>
                          <w:top w:val="nil"/>
                          <w:left w:val="nil"/>
                          <w:bottom w:val="single" w:sz="8" w:space="0" w:color="E46D0A"/>
                          <w:right w:val="nil"/>
                        </w:tcBorders>
                        <w:vAlign w:val="center"/>
                      </w:tcPr>
                      <w:p w:rsidR="000865BF" w:rsidRPr="003072DB" w:rsidRDefault="000865BF" w:rsidP="003072DB">
                        <w:pPr>
                          <w:widowControl/>
                          <w:jc w:val="center"/>
                          <w:rPr>
                            <w:rFonts w:ascii="宋体" w:cs="宋体"/>
                            <w:color w:val="000000"/>
                            <w:kern w:val="0"/>
                            <w:sz w:val="16"/>
                            <w:szCs w:val="16"/>
                          </w:rPr>
                        </w:pPr>
                        <w:r>
                          <w:rPr>
                            <w:rFonts w:ascii="宋体" w:hAnsi="宋体" w:cs="宋体"/>
                            <w:color w:val="000000"/>
                            <w:kern w:val="0"/>
                            <w:sz w:val="16"/>
                            <w:szCs w:val="16"/>
                          </w:rPr>
                          <w:t>7</w:t>
                        </w:r>
                        <w:r>
                          <w:rPr>
                            <w:rFonts w:ascii="宋体" w:hAnsi="宋体" w:cs="宋体" w:hint="eastAsia"/>
                            <w:color w:val="000000"/>
                            <w:kern w:val="0"/>
                            <w:sz w:val="16"/>
                            <w:szCs w:val="16"/>
                          </w:rPr>
                          <w:t>月</w:t>
                        </w:r>
                        <w:r w:rsidRPr="003072DB">
                          <w:rPr>
                            <w:rFonts w:ascii="宋体" w:hAnsi="宋体" w:cs="宋体" w:hint="eastAsia"/>
                            <w:color w:val="000000"/>
                            <w:kern w:val="0"/>
                            <w:sz w:val="16"/>
                            <w:szCs w:val="16"/>
                          </w:rPr>
                          <w:t>业绩（</w:t>
                        </w:r>
                        <w:r w:rsidRPr="003072DB">
                          <w:rPr>
                            <w:rFonts w:ascii="宋体" w:hAnsi="宋体" w:cs="宋体"/>
                            <w:color w:val="000000"/>
                            <w:kern w:val="0"/>
                            <w:sz w:val="16"/>
                            <w:szCs w:val="16"/>
                          </w:rPr>
                          <w:t>%</w:t>
                        </w:r>
                        <w:r w:rsidRPr="003072DB">
                          <w:rPr>
                            <w:rFonts w:ascii="宋体" w:hAnsi="宋体" w:cs="宋体" w:hint="eastAsia"/>
                            <w:color w:val="000000"/>
                            <w:kern w:val="0"/>
                            <w:sz w:val="16"/>
                            <w:szCs w:val="16"/>
                          </w:rPr>
                          <w:t>）</w:t>
                        </w:r>
                      </w:p>
                    </w:tc>
                    <w:tc>
                      <w:tcPr>
                        <w:tcW w:w="606"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排名</w:t>
                        </w:r>
                      </w:p>
                    </w:tc>
                  </w:tr>
                  <w:tr w:rsidR="000865BF" w:rsidRPr="0091641A" w:rsidTr="00E2759C">
                    <w:trPr>
                      <w:trHeight w:val="289"/>
                    </w:trPr>
                    <w:tc>
                      <w:tcPr>
                        <w:tcW w:w="99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166011</w:t>
                        </w:r>
                      </w:p>
                    </w:tc>
                    <w:tc>
                      <w:tcPr>
                        <w:tcW w:w="278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rFonts w:hint="eastAsia"/>
                            <w:color w:val="000000"/>
                            <w:sz w:val="16"/>
                            <w:szCs w:val="16"/>
                          </w:rPr>
                          <w:t>中欧盛世成长分级股票</w:t>
                        </w:r>
                      </w:p>
                    </w:tc>
                    <w:tc>
                      <w:tcPr>
                        <w:tcW w:w="103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9.22</w:t>
                        </w:r>
                      </w:p>
                    </w:tc>
                    <w:tc>
                      <w:tcPr>
                        <w:tcW w:w="60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1</w:t>
                        </w:r>
                      </w:p>
                    </w:tc>
                  </w:tr>
                  <w:tr w:rsidR="000865BF" w:rsidRPr="0091641A" w:rsidTr="00E2759C">
                    <w:trPr>
                      <w:trHeight w:val="289"/>
                    </w:trPr>
                    <w:tc>
                      <w:tcPr>
                        <w:tcW w:w="99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519110</w:t>
                        </w:r>
                      </w:p>
                    </w:tc>
                    <w:tc>
                      <w:tcPr>
                        <w:tcW w:w="278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rFonts w:hint="eastAsia"/>
                            <w:color w:val="000000"/>
                            <w:sz w:val="16"/>
                            <w:szCs w:val="16"/>
                          </w:rPr>
                          <w:t>浦银安盛价值成长股票</w:t>
                        </w:r>
                      </w:p>
                    </w:tc>
                    <w:tc>
                      <w:tcPr>
                        <w:tcW w:w="103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9.07</w:t>
                        </w:r>
                      </w:p>
                    </w:tc>
                    <w:tc>
                      <w:tcPr>
                        <w:tcW w:w="60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2</w:t>
                        </w:r>
                      </w:p>
                    </w:tc>
                  </w:tr>
                  <w:tr w:rsidR="000865BF" w:rsidRPr="0091641A" w:rsidTr="00E2759C">
                    <w:trPr>
                      <w:trHeight w:val="289"/>
                    </w:trPr>
                    <w:tc>
                      <w:tcPr>
                        <w:tcW w:w="99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17</w:t>
                        </w:r>
                      </w:p>
                    </w:tc>
                    <w:tc>
                      <w:tcPr>
                        <w:tcW w:w="278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rFonts w:hint="eastAsia"/>
                            <w:color w:val="000000"/>
                            <w:sz w:val="16"/>
                            <w:szCs w:val="16"/>
                          </w:rPr>
                          <w:t>财通发展主题</w:t>
                        </w:r>
                      </w:p>
                    </w:tc>
                    <w:tc>
                      <w:tcPr>
                        <w:tcW w:w="103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8.95</w:t>
                        </w:r>
                      </w:p>
                    </w:tc>
                    <w:tc>
                      <w:tcPr>
                        <w:tcW w:w="60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3</w:t>
                        </w:r>
                      </w:p>
                    </w:tc>
                  </w:tr>
                  <w:tr w:rsidR="000865BF" w:rsidRPr="0091641A" w:rsidTr="00E2759C">
                    <w:trPr>
                      <w:trHeight w:val="289"/>
                    </w:trPr>
                    <w:tc>
                      <w:tcPr>
                        <w:tcW w:w="99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213002</w:t>
                        </w:r>
                      </w:p>
                    </w:tc>
                    <w:tc>
                      <w:tcPr>
                        <w:tcW w:w="278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rFonts w:hint="eastAsia"/>
                            <w:color w:val="000000"/>
                            <w:sz w:val="16"/>
                            <w:szCs w:val="16"/>
                          </w:rPr>
                          <w:t>宝盈泛沿海</w:t>
                        </w:r>
                      </w:p>
                    </w:tc>
                    <w:tc>
                      <w:tcPr>
                        <w:tcW w:w="103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8.58</w:t>
                        </w:r>
                      </w:p>
                    </w:tc>
                    <w:tc>
                      <w:tcPr>
                        <w:tcW w:w="60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4</w:t>
                        </w:r>
                      </w:p>
                    </w:tc>
                  </w:tr>
                  <w:tr w:rsidR="000865BF" w:rsidRPr="0091641A" w:rsidTr="00E2759C">
                    <w:trPr>
                      <w:trHeight w:val="289"/>
                    </w:trPr>
                    <w:tc>
                      <w:tcPr>
                        <w:tcW w:w="99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535</w:t>
                        </w:r>
                      </w:p>
                    </w:tc>
                    <w:tc>
                      <w:tcPr>
                        <w:tcW w:w="278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rFonts w:hint="eastAsia"/>
                            <w:color w:val="000000"/>
                            <w:sz w:val="16"/>
                            <w:szCs w:val="16"/>
                          </w:rPr>
                          <w:t>长盛航天海工</w:t>
                        </w:r>
                      </w:p>
                    </w:tc>
                    <w:tc>
                      <w:tcPr>
                        <w:tcW w:w="103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8.26</w:t>
                        </w:r>
                      </w:p>
                    </w:tc>
                    <w:tc>
                      <w:tcPr>
                        <w:tcW w:w="60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5</w:t>
                        </w:r>
                      </w:p>
                    </w:tc>
                  </w:tr>
                  <w:tr w:rsidR="000865BF" w:rsidRPr="0091641A" w:rsidTr="00E2759C">
                    <w:trPr>
                      <w:trHeight w:val="289"/>
                    </w:trPr>
                    <w:tc>
                      <w:tcPr>
                        <w:tcW w:w="99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162102</w:t>
                        </w:r>
                      </w:p>
                    </w:tc>
                    <w:tc>
                      <w:tcPr>
                        <w:tcW w:w="278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rFonts w:hint="eastAsia"/>
                            <w:color w:val="000000"/>
                            <w:sz w:val="16"/>
                            <w:szCs w:val="16"/>
                          </w:rPr>
                          <w:t>金鹰中小盘精选混合</w:t>
                        </w:r>
                      </w:p>
                    </w:tc>
                    <w:tc>
                      <w:tcPr>
                        <w:tcW w:w="103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8.09</w:t>
                        </w:r>
                      </w:p>
                    </w:tc>
                    <w:tc>
                      <w:tcPr>
                        <w:tcW w:w="60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6</w:t>
                        </w:r>
                      </w:p>
                    </w:tc>
                  </w:tr>
                  <w:tr w:rsidR="000865BF" w:rsidRPr="0091641A" w:rsidTr="00E2759C">
                    <w:trPr>
                      <w:trHeight w:val="289"/>
                    </w:trPr>
                    <w:tc>
                      <w:tcPr>
                        <w:tcW w:w="99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163302</w:t>
                        </w:r>
                      </w:p>
                    </w:tc>
                    <w:tc>
                      <w:tcPr>
                        <w:tcW w:w="278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rFonts w:hint="eastAsia"/>
                            <w:color w:val="000000"/>
                            <w:sz w:val="16"/>
                            <w:szCs w:val="16"/>
                          </w:rPr>
                          <w:t>大摩资源优选混合</w:t>
                        </w:r>
                        <w:r w:rsidRPr="0091641A">
                          <w:rPr>
                            <w:color w:val="000000"/>
                            <w:sz w:val="16"/>
                            <w:szCs w:val="16"/>
                          </w:rPr>
                          <w:t>(LOF)</w:t>
                        </w:r>
                      </w:p>
                    </w:tc>
                    <w:tc>
                      <w:tcPr>
                        <w:tcW w:w="103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7.95</w:t>
                        </w:r>
                      </w:p>
                    </w:tc>
                    <w:tc>
                      <w:tcPr>
                        <w:tcW w:w="60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7</w:t>
                        </w:r>
                      </w:p>
                    </w:tc>
                  </w:tr>
                  <w:tr w:rsidR="000865BF" w:rsidRPr="0091641A" w:rsidTr="00E2759C">
                    <w:trPr>
                      <w:trHeight w:val="289"/>
                    </w:trPr>
                    <w:tc>
                      <w:tcPr>
                        <w:tcW w:w="99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580001</w:t>
                        </w:r>
                      </w:p>
                    </w:tc>
                    <w:tc>
                      <w:tcPr>
                        <w:tcW w:w="278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rFonts w:hint="eastAsia"/>
                            <w:color w:val="000000"/>
                            <w:sz w:val="16"/>
                            <w:szCs w:val="16"/>
                          </w:rPr>
                          <w:t>东吴嘉禾</w:t>
                        </w:r>
                      </w:p>
                    </w:tc>
                    <w:tc>
                      <w:tcPr>
                        <w:tcW w:w="103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7.61</w:t>
                        </w:r>
                      </w:p>
                    </w:tc>
                    <w:tc>
                      <w:tcPr>
                        <w:tcW w:w="60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8</w:t>
                        </w:r>
                      </w:p>
                    </w:tc>
                  </w:tr>
                  <w:tr w:rsidR="000865BF" w:rsidRPr="0091641A" w:rsidTr="00E2759C">
                    <w:trPr>
                      <w:trHeight w:val="289"/>
                    </w:trPr>
                    <w:tc>
                      <w:tcPr>
                        <w:tcW w:w="99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710001</w:t>
                        </w:r>
                      </w:p>
                    </w:tc>
                    <w:tc>
                      <w:tcPr>
                        <w:tcW w:w="2789" w:type="dxa"/>
                        <w:tcBorders>
                          <w:top w:val="nil"/>
                          <w:left w:val="nil"/>
                          <w:bottom w:val="nil"/>
                          <w:right w:val="nil"/>
                        </w:tcBorders>
                        <w:noWrap/>
                      </w:tcPr>
                      <w:p w:rsidR="000865BF" w:rsidRPr="0091641A" w:rsidRDefault="000865BF" w:rsidP="0034182E">
                        <w:pPr>
                          <w:jc w:val="center"/>
                          <w:rPr>
                            <w:color w:val="000000"/>
                            <w:sz w:val="16"/>
                            <w:szCs w:val="16"/>
                          </w:rPr>
                        </w:pPr>
                        <w:r w:rsidRPr="0091641A">
                          <w:rPr>
                            <w:rFonts w:hint="eastAsia"/>
                            <w:color w:val="000000"/>
                            <w:sz w:val="16"/>
                            <w:szCs w:val="16"/>
                          </w:rPr>
                          <w:t>富安达优势成长股票</w:t>
                        </w:r>
                      </w:p>
                    </w:tc>
                    <w:tc>
                      <w:tcPr>
                        <w:tcW w:w="103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7.54</w:t>
                        </w:r>
                      </w:p>
                    </w:tc>
                    <w:tc>
                      <w:tcPr>
                        <w:tcW w:w="606" w:type="dxa"/>
                        <w:tcBorders>
                          <w:top w:val="nil"/>
                          <w:left w:val="nil"/>
                          <w:bottom w:val="nil"/>
                          <w:right w:val="nil"/>
                        </w:tcBorders>
                        <w:noWrap/>
                      </w:tcPr>
                      <w:p w:rsidR="000865BF" w:rsidRPr="0091641A" w:rsidRDefault="000865BF" w:rsidP="0034182E">
                        <w:pPr>
                          <w:jc w:val="center"/>
                          <w:rPr>
                            <w:color w:val="000000"/>
                            <w:sz w:val="16"/>
                            <w:szCs w:val="16"/>
                          </w:rPr>
                        </w:pPr>
                        <w:r w:rsidRPr="0091641A">
                          <w:rPr>
                            <w:color w:val="000000"/>
                            <w:sz w:val="16"/>
                            <w:szCs w:val="16"/>
                          </w:rPr>
                          <w:t>9</w:t>
                        </w:r>
                      </w:p>
                    </w:tc>
                  </w:tr>
                  <w:tr w:rsidR="000865BF" w:rsidRPr="0091641A" w:rsidTr="00E2759C">
                    <w:trPr>
                      <w:trHeight w:val="305"/>
                    </w:trPr>
                    <w:tc>
                      <w:tcPr>
                        <w:tcW w:w="999" w:type="dxa"/>
                        <w:tcBorders>
                          <w:top w:val="nil"/>
                          <w:left w:val="nil"/>
                          <w:bottom w:val="single" w:sz="8" w:space="0" w:color="E46D0A"/>
                          <w:right w:val="nil"/>
                        </w:tcBorders>
                        <w:noWrap/>
                      </w:tcPr>
                      <w:p w:rsidR="000865BF" w:rsidRPr="0091641A" w:rsidRDefault="000865BF" w:rsidP="0034182E">
                        <w:pPr>
                          <w:jc w:val="center"/>
                          <w:rPr>
                            <w:color w:val="000000"/>
                            <w:sz w:val="16"/>
                            <w:szCs w:val="16"/>
                          </w:rPr>
                        </w:pPr>
                        <w:r w:rsidRPr="0091641A">
                          <w:rPr>
                            <w:color w:val="000000"/>
                            <w:sz w:val="16"/>
                            <w:szCs w:val="16"/>
                          </w:rPr>
                          <w:t>233009</w:t>
                        </w:r>
                      </w:p>
                    </w:tc>
                    <w:tc>
                      <w:tcPr>
                        <w:tcW w:w="2789" w:type="dxa"/>
                        <w:tcBorders>
                          <w:top w:val="nil"/>
                          <w:left w:val="nil"/>
                          <w:bottom w:val="single" w:sz="8" w:space="0" w:color="E46D0A"/>
                          <w:right w:val="nil"/>
                        </w:tcBorders>
                        <w:noWrap/>
                      </w:tcPr>
                      <w:p w:rsidR="000865BF" w:rsidRPr="0091641A" w:rsidRDefault="000865BF" w:rsidP="0034182E">
                        <w:pPr>
                          <w:jc w:val="center"/>
                          <w:rPr>
                            <w:color w:val="000000"/>
                            <w:sz w:val="16"/>
                            <w:szCs w:val="16"/>
                          </w:rPr>
                        </w:pPr>
                        <w:r w:rsidRPr="0091641A">
                          <w:rPr>
                            <w:rFonts w:hint="eastAsia"/>
                            <w:color w:val="000000"/>
                            <w:sz w:val="16"/>
                            <w:szCs w:val="16"/>
                          </w:rPr>
                          <w:t>大摩多因子策略股票</w:t>
                        </w:r>
                      </w:p>
                    </w:tc>
                    <w:tc>
                      <w:tcPr>
                        <w:tcW w:w="1036" w:type="dxa"/>
                        <w:tcBorders>
                          <w:top w:val="nil"/>
                          <w:left w:val="nil"/>
                          <w:bottom w:val="single" w:sz="8" w:space="0" w:color="E46D0A"/>
                          <w:right w:val="nil"/>
                        </w:tcBorders>
                        <w:noWrap/>
                      </w:tcPr>
                      <w:p w:rsidR="000865BF" w:rsidRPr="0091641A" w:rsidRDefault="000865BF" w:rsidP="0034182E">
                        <w:pPr>
                          <w:jc w:val="center"/>
                          <w:rPr>
                            <w:color w:val="000000"/>
                            <w:sz w:val="16"/>
                            <w:szCs w:val="16"/>
                          </w:rPr>
                        </w:pPr>
                        <w:r w:rsidRPr="0091641A">
                          <w:rPr>
                            <w:color w:val="000000"/>
                            <w:sz w:val="16"/>
                            <w:szCs w:val="16"/>
                          </w:rPr>
                          <w:t>7.42</w:t>
                        </w:r>
                      </w:p>
                    </w:tc>
                    <w:tc>
                      <w:tcPr>
                        <w:tcW w:w="606" w:type="dxa"/>
                        <w:tcBorders>
                          <w:top w:val="nil"/>
                          <w:left w:val="nil"/>
                          <w:bottom w:val="single" w:sz="8" w:space="0" w:color="E46D0A"/>
                          <w:right w:val="nil"/>
                        </w:tcBorders>
                        <w:noWrap/>
                      </w:tcPr>
                      <w:p w:rsidR="000865BF" w:rsidRPr="0091641A" w:rsidRDefault="000865BF" w:rsidP="0034182E">
                        <w:pPr>
                          <w:jc w:val="center"/>
                          <w:rPr>
                            <w:color w:val="000000"/>
                            <w:sz w:val="16"/>
                            <w:szCs w:val="16"/>
                          </w:rPr>
                        </w:pPr>
                        <w:r w:rsidRPr="0091641A">
                          <w:rPr>
                            <w:color w:val="000000"/>
                            <w:sz w:val="16"/>
                            <w:szCs w:val="16"/>
                          </w:rPr>
                          <w:t>10</w:t>
                        </w:r>
                      </w:p>
                    </w:tc>
                  </w:tr>
                  <w:tr w:rsidR="000865BF" w:rsidRPr="0091641A" w:rsidTr="003072DB">
                    <w:trPr>
                      <w:trHeight w:val="305"/>
                    </w:trPr>
                    <w:tc>
                      <w:tcPr>
                        <w:tcW w:w="5430" w:type="dxa"/>
                        <w:gridSpan w:val="4"/>
                        <w:tcBorders>
                          <w:top w:val="nil"/>
                          <w:left w:val="nil"/>
                          <w:bottom w:val="nil"/>
                          <w:right w:val="nil"/>
                        </w:tcBorders>
                        <w:noWrap/>
                        <w:vAlign w:val="center"/>
                      </w:tcPr>
                      <w:p w:rsidR="000865BF" w:rsidRPr="003072DB" w:rsidRDefault="000865BF"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注：开放式主动偏股产品包含开放主动股票型及混合型</w:t>
                        </w:r>
                      </w:p>
                    </w:tc>
                  </w:tr>
                  <w:tr w:rsidR="000865BF" w:rsidRPr="0091641A" w:rsidTr="003072DB">
                    <w:trPr>
                      <w:trHeight w:val="305"/>
                    </w:trPr>
                    <w:tc>
                      <w:tcPr>
                        <w:tcW w:w="3788" w:type="dxa"/>
                        <w:gridSpan w:val="2"/>
                        <w:tcBorders>
                          <w:top w:val="nil"/>
                          <w:left w:val="nil"/>
                          <w:bottom w:val="single" w:sz="8" w:space="0" w:color="E46D0A"/>
                          <w:right w:val="nil"/>
                        </w:tcBorders>
                        <w:noWrap/>
                        <w:vAlign w:val="center"/>
                      </w:tcPr>
                      <w:p w:rsidR="000865BF" w:rsidRPr="003072DB" w:rsidRDefault="000865BF"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来源：凯石财富工场</w:t>
                        </w:r>
                      </w:p>
                    </w:tc>
                    <w:tc>
                      <w:tcPr>
                        <w:tcW w:w="1036"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 xml:space="preserve">　</w:t>
                        </w:r>
                      </w:p>
                    </w:tc>
                    <w:tc>
                      <w:tcPr>
                        <w:tcW w:w="606"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 xml:space="preserve">　</w:t>
                        </w:r>
                      </w:p>
                    </w:tc>
                  </w:tr>
                </w:tbl>
                <w:p w:rsidR="000865BF" w:rsidRDefault="000865BF"/>
              </w:txbxContent>
            </v:textbox>
          </v:shape>
        </w:pict>
      </w:r>
    </w:p>
    <w:p w:rsidR="000865BF" w:rsidRDefault="000865BF" w:rsidP="00E969EA">
      <w:pPr>
        <w:pStyle w:val="BodyText"/>
        <w:spacing w:after="163"/>
        <w:ind w:left="0"/>
        <w:rPr>
          <w:color w:val="auto"/>
        </w:rPr>
      </w:pPr>
    </w:p>
    <w:p w:rsidR="000865BF" w:rsidRDefault="000865BF" w:rsidP="00E969EA">
      <w:pPr>
        <w:pStyle w:val="BodyText"/>
        <w:spacing w:after="163"/>
        <w:ind w:left="0"/>
        <w:rPr>
          <w:color w:val="auto"/>
        </w:rPr>
      </w:pPr>
    </w:p>
    <w:p w:rsidR="000865BF" w:rsidRDefault="000865BF" w:rsidP="00E969EA">
      <w:pPr>
        <w:pStyle w:val="BodyText"/>
        <w:spacing w:after="163"/>
        <w:ind w:left="0"/>
        <w:rPr>
          <w:color w:val="auto"/>
        </w:rPr>
      </w:pPr>
    </w:p>
    <w:p w:rsidR="000865BF" w:rsidRDefault="000865BF" w:rsidP="00E969EA">
      <w:pPr>
        <w:pStyle w:val="BodyText"/>
        <w:spacing w:after="163"/>
        <w:ind w:left="0"/>
        <w:rPr>
          <w:color w:val="auto"/>
        </w:rPr>
      </w:pPr>
    </w:p>
    <w:p w:rsidR="000865BF" w:rsidRDefault="000865BF" w:rsidP="00E969EA">
      <w:pPr>
        <w:pStyle w:val="BodyText"/>
        <w:spacing w:after="163"/>
        <w:ind w:left="0"/>
        <w:rPr>
          <w:color w:val="auto"/>
        </w:rPr>
      </w:pPr>
    </w:p>
    <w:p w:rsidR="000865BF" w:rsidRDefault="000865BF" w:rsidP="00E969EA">
      <w:pPr>
        <w:pStyle w:val="BodyText"/>
        <w:spacing w:after="163"/>
        <w:ind w:left="0"/>
        <w:rPr>
          <w:color w:val="auto"/>
        </w:rPr>
      </w:pPr>
    </w:p>
    <w:p w:rsidR="000865BF" w:rsidRDefault="000865BF" w:rsidP="00E969EA">
      <w:pPr>
        <w:pStyle w:val="BodyText"/>
        <w:spacing w:after="163"/>
        <w:ind w:left="0"/>
        <w:rPr>
          <w:color w:val="auto"/>
        </w:rPr>
      </w:pPr>
    </w:p>
    <w:p w:rsidR="000865BF" w:rsidRDefault="000865BF" w:rsidP="00E969EA">
      <w:pPr>
        <w:pStyle w:val="BodyText"/>
        <w:spacing w:after="163"/>
        <w:ind w:left="0"/>
        <w:rPr>
          <w:color w:val="auto"/>
        </w:rPr>
      </w:pPr>
    </w:p>
    <w:p w:rsidR="000865BF" w:rsidRDefault="000865BF" w:rsidP="00E969EA">
      <w:pPr>
        <w:pStyle w:val="BodyText"/>
        <w:spacing w:after="163"/>
        <w:ind w:left="0"/>
        <w:rPr>
          <w:color w:val="auto"/>
        </w:rPr>
      </w:pPr>
    </w:p>
    <w:p w:rsidR="000865BF" w:rsidRDefault="000865BF" w:rsidP="00E969EA">
      <w:pPr>
        <w:pStyle w:val="BodyText"/>
        <w:spacing w:after="163"/>
        <w:ind w:left="0"/>
        <w:rPr>
          <w:color w:val="auto"/>
        </w:rPr>
      </w:pPr>
    </w:p>
    <w:p w:rsidR="000865BF" w:rsidRDefault="000865BF" w:rsidP="00E969EA">
      <w:pPr>
        <w:pStyle w:val="BodyText"/>
        <w:spacing w:after="163"/>
        <w:ind w:left="0"/>
        <w:rPr>
          <w:color w:val="auto"/>
        </w:rPr>
      </w:pPr>
    </w:p>
    <w:p w:rsidR="000865BF" w:rsidRDefault="000865BF" w:rsidP="00E969EA">
      <w:pPr>
        <w:pStyle w:val="BodyText"/>
        <w:spacing w:after="163"/>
        <w:ind w:left="0"/>
        <w:rPr>
          <w:color w:val="auto"/>
        </w:rPr>
      </w:pPr>
    </w:p>
    <w:p w:rsidR="000865BF" w:rsidRPr="0035104D" w:rsidRDefault="000865BF" w:rsidP="0035104D">
      <w:pPr>
        <w:widowControl/>
        <w:spacing w:after="120" w:line="240" w:lineRule="exact"/>
        <w:ind w:left="3430"/>
        <w:rPr>
          <w:rFonts w:ascii="Arial" w:eastAsia="KaiTi_GB2312" w:hAnsi="Arial"/>
          <w:b/>
          <w:bCs/>
          <w:color w:val="0070C0"/>
          <w:kern w:val="0"/>
          <w:szCs w:val="21"/>
          <w:lang w:val="en-GB"/>
        </w:rPr>
      </w:pPr>
      <w:r w:rsidRPr="00EC0E7D">
        <w:rPr>
          <w:rFonts w:ascii="Arial" w:eastAsia="KaiTi_GB2312" w:hAnsi="Arial" w:hint="eastAsia"/>
          <w:b/>
          <w:bCs/>
          <w:color w:val="0070C0"/>
          <w:kern w:val="0"/>
          <w:szCs w:val="21"/>
          <w:lang w:val="en-GB"/>
        </w:rPr>
        <w:t>固收类基金：</w:t>
      </w:r>
      <w:r>
        <w:rPr>
          <w:rFonts w:ascii="Arial" w:eastAsia="KaiTi_GB2312" w:hAnsi="Arial" w:hint="eastAsia"/>
          <w:b/>
          <w:bCs/>
          <w:color w:val="0070C0"/>
          <w:kern w:val="0"/>
          <w:szCs w:val="21"/>
          <w:lang w:val="en-GB"/>
        </w:rPr>
        <w:t>经济走弱、债市反弹，债券型基金普涨</w:t>
      </w:r>
    </w:p>
    <w:p w:rsidR="000865BF" w:rsidRDefault="000865BF" w:rsidP="00E15C62">
      <w:pPr>
        <w:pStyle w:val="BodyText"/>
        <w:numPr>
          <w:ilvl w:val="4"/>
          <w:numId w:val="1"/>
        </w:numPr>
        <w:spacing w:after="163"/>
        <w:rPr>
          <w:color w:val="auto"/>
        </w:rPr>
      </w:pPr>
      <w:r>
        <w:rPr>
          <w:color w:val="auto"/>
        </w:rPr>
        <w:t>8</w:t>
      </w:r>
      <w:r>
        <w:rPr>
          <w:rFonts w:hint="eastAsia"/>
          <w:color w:val="auto"/>
        </w:rPr>
        <w:t>月宏观经济数据走弱</w:t>
      </w:r>
      <w:r w:rsidRPr="00F31B10">
        <w:rPr>
          <w:rFonts w:hint="eastAsia"/>
          <w:color w:val="auto"/>
        </w:rPr>
        <w:t>，</w:t>
      </w:r>
      <w:r>
        <w:rPr>
          <w:rFonts w:hint="eastAsia"/>
          <w:color w:val="auto"/>
        </w:rPr>
        <w:t>债券市场迎来反弹</w:t>
      </w:r>
      <w:r w:rsidRPr="00F31B10">
        <w:rPr>
          <w:rFonts w:hint="eastAsia"/>
          <w:color w:val="auto"/>
        </w:rPr>
        <w:t>。统计显示</w:t>
      </w:r>
      <w:r>
        <w:rPr>
          <w:color w:val="auto"/>
        </w:rPr>
        <w:t>61</w:t>
      </w:r>
      <w:r w:rsidRPr="00F31B10">
        <w:rPr>
          <w:color w:val="auto"/>
        </w:rPr>
        <w:t>2</w:t>
      </w:r>
      <w:r w:rsidRPr="00F31B10">
        <w:rPr>
          <w:rFonts w:hint="eastAsia"/>
          <w:color w:val="auto"/>
        </w:rPr>
        <w:t>只债券型基金（不含理财债基）</w:t>
      </w:r>
      <w:r>
        <w:rPr>
          <w:color w:val="auto"/>
        </w:rPr>
        <w:t>608</w:t>
      </w:r>
      <w:r>
        <w:rPr>
          <w:rFonts w:hint="eastAsia"/>
          <w:color w:val="auto"/>
        </w:rPr>
        <w:t>涨</w:t>
      </w:r>
      <w:r>
        <w:rPr>
          <w:color w:val="auto"/>
        </w:rPr>
        <w:t>3</w:t>
      </w:r>
      <w:r>
        <w:rPr>
          <w:rFonts w:hint="eastAsia"/>
          <w:color w:val="auto"/>
        </w:rPr>
        <w:t>平</w:t>
      </w:r>
      <w:r>
        <w:rPr>
          <w:color w:val="auto"/>
        </w:rPr>
        <w:t>1</w:t>
      </w:r>
      <w:r>
        <w:rPr>
          <w:rFonts w:hint="eastAsia"/>
          <w:color w:val="auto"/>
        </w:rPr>
        <w:t>跌，</w:t>
      </w:r>
      <w:r w:rsidRPr="00F31B10">
        <w:rPr>
          <w:rFonts w:hint="eastAsia"/>
          <w:color w:val="auto"/>
        </w:rPr>
        <w:t>全月平均上涨</w:t>
      </w:r>
      <w:r>
        <w:rPr>
          <w:color w:val="auto"/>
        </w:rPr>
        <w:t>1.24</w:t>
      </w:r>
      <w:r w:rsidRPr="00F31B10">
        <w:rPr>
          <w:color w:val="auto"/>
        </w:rPr>
        <w:t>%</w:t>
      </w:r>
      <w:r w:rsidRPr="00F31B10">
        <w:rPr>
          <w:rFonts w:hint="eastAsia"/>
          <w:color w:val="auto"/>
        </w:rPr>
        <w:t>，分类型来看，可转债基</w:t>
      </w:r>
      <w:r>
        <w:rPr>
          <w:rFonts w:hint="eastAsia"/>
          <w:color w:val="auto"/>
        </w:rPr>
        <w:t>平均上涨</w:t>
      </w:r>
      <w:r>
        <w:rPr>
          <w:color w:val="auto"/>
        </w:rPr>
        <w:t>1.91%</w:t>
      </w:r>
      <w:r>
        <w:rPr>
          <w:rFonts w:hint="eastAsia"/>
          <w:color w:val="auto"/>
        </w:rPr>
        <w:t>，纯债基金、二级债基分别上涨</w:t>
      </w:r>
      <w:r>
        <w:rPr>
          <w:color w:val="auto"/>
        </w:rPr>
        <w:t>1.28%</w:t>
      </w:r>
      <w:r>
        <w:rPr>
          <w:rFonts w:hint="eastAsia"/>
          <w:color w:val="auto"/>
        </w:rPr>
        <w:t>、</w:t>
      </w:r>
      <w:r>
        <w:rPr>
          <w:color w:val="auto"/>
        </w:rPr>
        <w:t>1.24%</w:t>
      </w:r>
      <w:r>
        <w:rPr>
          <w:rFonts w:hint="eastAsia"/>
          <w:color w:val="auto"/>
        </w:rPr>
        <w:t>，一级债基上涨</w:t>
      </w:r>
      <w:r>
        <w:rPr>
          <w:color w:val="auto"/>
        </w:rPr>
        <w:t>1.16%</w:t>
      </w:r>
      <w:r>
        <w:rPr>
          <w:rFonts w:hint="eastAsia"/>
          <w:color w:val="auto"/>
        </w:rPr>
        <w:t>、指数债基上涨</w:t>
      </w:r>
      <w:r>
        <w:rPr>
          <w:color w:val="auto"/>
        </w:rPr>
        <w:t>0.67%</w:t>
      </w:r>
      <w:r>
        <w:rPr>
          <w:rFonts w:hint="eastAsia"/>
          <w:color w:val="auto"/>
        </w:rPr>
        <w:t>。而从单只基金业绩表现来看，纯债型产品饱览前</w:t>
      </w:r>
      <w:r>
        <w:rPr>
          <w:color w:val="auto"/>
        </w:rPr>
        <w:t>6</w:t>
      </w:r>
      <w:r>
        <w:rPr>
          <w:rFonts w:hint="eastAsia"/>
          <w:color w:val="auto"/>
        </w:rPr>
        <w:t>席，其中长盛年年收益债</w:t>
      </w:r>
      <w:r>
        <w:rPr>
          <w:color w:val="auto"/>
        </w:rPr>
        <w:t>C</w:t>
      </w:r>
      <w:r>
        <w:rPr>
          <w:rFonts w:hint="eastAsia"/>
          <w:color w:val="auto"/>
        </w:rPr>
        <w:t>、长盛年年收益债</w:t>
      </w:r>
      <w:r>
        <w:rPr>
          <w:color w:val="auto"/>
        </w:rPr>
        <w:t>A</w:t>
      </w:r>
      <w:r>
        <w:rPr>
          <w:rFonts w:hint="eastAsia"/>
          <w:color w:val="auto"/>
        </w:rPr>
        <w:t>净值分别上涨</w:t>
      </w:r>
      <w:r>
        <w:rPr>
          <w:color w:val="auto"/>
        </w:rPr>
        <w:t>6.34%</w:t>
      </w:r>
      <w:r>
        <w:rPr>
          <w:rFonts w:hint="eastAsia"/>
          <w:color w:val="auto"/>
        </w:rPr>
        <w:t>、</w:t>
      </w:r>
      <w:r>
        <w:rPr>
          <w:color w:val="auto"/>
        </w:rPr>
        <w:t>6.23%</w:t>
      </w:r>
      <w:r>
        <w:rPr>
          <w:rFonts w:hint="eastAsia"/>
          <w:color w:val="auto"/>
        </w:rPr>
        <w:t>，表现突出；另有银河回报债券</w:t>
      </w:r>
      <w:r>
        <w:rPr>
          <w:color w:val="auto"/>
        </w:rPr>
        <w:t>A</w:t>
      </w:r>
      <w:r>
        <w:rPr>
          <w:rFonts w:hint="eastAsia"/>
          <w:color w:val="auto"/>
        </w:rPr>
        <w:t>、银河回报债券</w:t>
      </w:r>
      <w:r>
        <w:rPr>
          <w:color w:val="auto"/>
        </w:rPr>
        <w:t>C</w:t>
      </w:r>
      <w:r>
        <w:rPr>
          <w:rFonts w:hint="eastAsia"/>
          <w:color w:val="auto"/>
        </w:rPr>
        <w:t>、民生岁岁增利债</w:t>
      </w:r>
      <w:r>
        <w:rPr>
          <w:color w:val="auto"/>
        </w:rPr>
        <w:t>C</w:t>
      </w:r>
      <w:r>
        <w:rPr>
          <w:rFonts w:hint="eastAsia"/>
          <w:color w:val="auto"/>
        </w:rPr>
        <w:t>、民生岁岁增利债</w:t>
      </w:r>
      <w:r>
        <w:rPr>
          <w:color w:val="auto"/>
        </w:rPr>
        <w:t>A</w:t>
      </w:r>
      <w:r>
        <w:rPr>
          <w:rFonts w:hint="eastAsia"/>
          <w:color w:val="auto"/>
        </w:rPr>
        <w:t>分列涨幅榜</w:t>
      </w:r>
      <w:r>
        <w:rPr>
          <w:color w:val="auto"/>
        </w:rPr>
        <w:t>3-6</w:t>
      </w:r>
      <w:r>
        <w:rPr>
          <w:rFonts w:hint="eastAsia"/>
          <w:color w:val="auto"/>
        </w:rPr>
        <w:t>位</w:t>
      </w:r>
      <w:r>
        <w:rPr>
          <w:color w:val="auto"/>
        </w:rPr>
        <w:t>;</w:t>
      </w:r>
      <w:r>
        <w:rPr>
          <w:rFonts w:hint="eastAsia"/>
          <w:color w:val="auto"/>
        </w:rPr>
        <w:t>此外转债基金民生转债优选</w:t>
      </w:r>
      <w:r>
        <w:rPr>
          <w:color w:val="auto"/>
        </w:rPr>
        <w:t>C</w:t>
      </w:r>
      <w:r>
        <w:rPr>
          <w:rFonts w:hint="eastAsia"/>
          <w:color w:val="auto"/>
        </w:rPr>
        <w:t>、</w:t>
      </w:r>
      <w:r>
        <w:rPr>
          <w:color w:val="auto"/>
        </w:rPr>
        <w:t>A</w:t>
      </w:r>
      <w:r>
        <w:rPr>
          <w:rFonts w:hint="eastAsia"/>
          <w:color w:val="auto"/>
        </w:rPr>
        <w:t>份额；以及二级债基易方达安心回报</w:t>
      </w:r>
      <w:r>
        <w:rPr>
          <w:color w:val="auto"/>
        </w:rPr>
        <w:t>A</w:t>
      </w:r>
      <w:r>
        <w:rPr>
          <w:rFonts w:hint="eastAsia"/>
          <w:color w:val="auto"/>
        </w:rPr>
        <w:t>、</w:t>
      </w:r>
      <w:r>
        <w:rPr>
          <w:color w:val="auto"/>
        </w:rPr>
        <w:t>B</w:t>
      </w:r>
      <w:r>
        <w:rPr>
          <w:rFonts w:hint="eastAsia"/>
          <w:color w:val="auto"/>
        </w:rPr>
        <w:t>份额均有较佳表现。</w:t>
      </w:r>
    </w:p>
    <w:p w:rsidR="000865BF" w:rsidRDefault="000865BF" w:rsidP="00E15C62">
      <w:pPr>
        <w:pStyle w:val="BodyText"/>
        <w:numPr>
          <w:ilvl w:val="4"/>
          <w:numId w:val="1"/>
        </w:numPr>
        <w:spacing w:after="163"/>
        <w:rPr>
          <w:color w:val="auto"/>
        </w:rPr>
      </w:pPr>
      <w:r w:rsidRPr="00F31B10">
        <w:rPr>
          <w:rFonts w:hint="eastAsia"/>
          <w:color w:val="auto"/>
        </w:rPr>
        <w:t>保本基金方面，</w:t>
      </w:r>
      <w:r>
        <w:rPr>
          <w:color w:val="auto"/>
        </w:rPr>
        <w:t>53</w:t>
      </w:r>
      <w:r w:rsidRPr="00F31B10">
        <w:rPr>
          <w:rFonts w:hint="eastAsia"/>
          <w:color w:val="auto"/>
        </w:rPr>
        <w:t>只产品净值平均上涨</w:t>
      </w:r>
      <w:r>
        <w:rPr>
          <w:color w:val="auto"/>
        </w:rPr>
        <w:t>0.95</w:t>
      </w:r>
      <w:r w:rsidRPr="00F31B10">
        <w:rPr>
          <w:color w:val="auto"/>
        </w:rPr>
        <w:t>%</w:t>
      </w:r>
      <w:r w:rsidRPr="00F31B10">
        <w:rPr>
          <w:rFonts w:hint="eastAsia"/>
          <w:color w:val="auto"/>
        </w:rPr>
        <w:t>，其中</w:t>
      </w:r>
      <w:r>
        <w:rPr>
          <w:rFonts w:hint="eastAsia"/>
          <w:color w:val="auto"/>
        </w:rPr>
        <w:t>华富</w:t>
      </w:r>
      <w:r w:rsidRPr="00F31B10">
        <w:rPr>
          <w:rFonts w:hint="eastAsia"/>
          <w:color w:val="auto"/>
        </w:rPr>
        <w:t>保本混合净值增长</w:t>
      </w:r>
      <w:r>
        <w:rPr>
          <w:color w:val="auto"/>
        </w:rPr>
        <w:t>2.85</w:t>
      </w:r>
      <w:r w:rsidRPr="00F31B10">
        <w:rPr>
          <w:color w:val="auto"/>
        </w:rPr>
        <w:t>%</w:t>
      </w:r>
      <w:r>
        <w:rPr>
          <w:rFonts w:hint="eastAsia"/>
          <w:color w:val="auto"/>
        </w:rPr>
        <w:t>、安盈保本净值增长</w:t>
      </w:r>
      <w:r>
        <w:rPr>
          <w:color w:val="auto"/>
        </w:rPr>
        <w:t>2.68%</w:t>
      </w:r>
      <w:r>
        <w:rPr>
          <w:rFonts w:hint="eastAsia"/>
          <w:color w:val="auto"/>
        </w:rPr>
        <w:t>，</w:t>
      </w:r>
      <w:r w:rsidRPr="00F31B10">
        <w:rPr>
          <w:rFonts w:hint="eastAsia"/>
          <w:color w:val="auto"/>
        </w:rPr>
        <w:t>排名涨幅榜前两位。</w:t>
      </w:r>
    </w:p>
    <w:p w:rsidR="000865BF" w:rsidRDefault="000865BF" w:rsidP="00E15C62">
      <w:pPr>
        <w:pStyle w:val="BodyText"/>
        <w:numPr>
          <w:ilvl w:val="4"/>
          <w:numId w:val="1"/>
        </w:numPr>
        <w:spacing w:after="163"/>
        <w:rPr>
          <w:color w:val="auto"/>
        </w:rPr>
      </w:pPr>
      <w:r w:rsidRPr="00F31B10">
        <w:rPr>
          <w:rFonts w:hint="eastAsia"/>
          <w:color w:val="auto"/>
        </w:rPr>
        <w:t>理财债基及货币基金方面，</w:t>
      </w:r>
      <w:r>
        <w:rPr>
          <w:color w:val="auto"/>
        </w:rPr>
        <w:t>8</w:t>
      </w:r>
      <w:r w:rsidRPr="00F31B10">
        <w:rPr>
          <w:rFonts w:hint="eastAsia"/>
          <w:color w:val="auto"/>
        </w:rPr>
        <w:t>月</w:t>
      </w:r>
      <w:r>
        <w:rPr>
          <w:color w:val="auto"/>
        </w:rPr>
        <w:t>234</w:t>
      </w:r>
      <w:r w:rsidRPr="00F31B10">
        <w:rPr>
          <w:rFonts w:hint="eastAsia"/>
          <w:color w:val="auto"/>
        </w:rPr>
        <w:t>只货币基金简单平均收益为</w:t>
      </w:r>
      <w:r w:rsidRPr="00F31B10">
        <w:rPr>
          <w:color w:val="auto"/>
        </w:rPr>
        <w:t>0.35%</w:t>
      </w:r>
      <w:r w:rsidRPr="00F31B10">
        <w:rPr>
          <w:rFonts w:hint="eastAsia"/>
          <w:color w:val="auto"/>
        </w:rPr>
        <w:t>、同期</w:t>
      </w:r>
      <w:r w:rsidRPr="00F31B10">
        <w:rPr>
          <w:color w:val="auto"/>
        </w:rPr>
        <w:t>107</w:t>
      </w:r>
      <w:r w:rsidRPr="00F31B10">
        <w:rPr>
          <w:rFonts w:hint="eastAsia"/>
          <w:color w:val="auto"/>
        </w:rPr>
        <w:t>只理财债基简单平均收益</w:t>
      </w:r>
      <w:r>
        <w:rPr>
          <w:color w:val="auto"/>
        </w:rPr>
        <w:t>0.37</w:t>
      </w:r>
      <w:r w:rsidRPr="00F31B10">
        <w:rPr>
          <w:color w:val="auto"/>
        </w:rPr>
        <w:t>%</w:t>
      </w:r>
      <w:r w:rsidRPr="00F31B10">
        <w:rPr>
          <w:rFonts w:hint="eastAsia"/>
          <w:color w:val="auto"/>
        </w:rPr>
        <w:t>。</w:t>
      </w:r>
    </w:p>
    <w:tbl>
      <w:tblPr>
        <w:tblW w:w="5850" w:type="dxa"/>
        <w:tblInd w:w="3906" w:type="dxa"/>
        <w:tblLook w:val="00A0"/>
      </w:tblPr>
      <w:tblGrid>
        <w:gridCol w:w="816"/>
        <w:gridCol w:w="2131"/>
        <w:gridCol w:w="1302"/>
        <w:gridCol w:w="985"/>
        <w:gridCol w:w="616"/>
      </w:tblGrid>
      <w:tr w:rsidR="000865BF" w:rsidRPr="0091641A" w:rsidTr="003072DB">
        <w:trPr>
          <w:trHeight w:val="285"/>
        </w:trPr>
        <w:tc>
          <w:tcPr>
            <w:tcW w:w="4249" w:type="dxa"/>
            <w:gridSpan w:val="3"/>
            <w:tcBorders>
              <w:top w:val="single" w:sz="8" w:space="0" w:color="E46D0A"/>
              <w:left w:val="nil"/>
              <w:bottom w:val="single" w:sz="8" w:space="0" w:color="E46D0A"/>
              <w:right w:val="nil"/>
            </w:tcBorders>
            <w:noWrap/>
            <w:vAlign w:val="center"/>
          </w:tcPr>
          <w:p w:rsidR="000865BF" w:rsidRPr="003072DB" w:rsidRDefault="000865BF" w:rsidP="00F4563C">
            <w:pPr>
              <w:widowControl/>
              <w:jc w:val="left"/>
              <w:rPr>
                <w:rFonts w:ascii="宋体" w:cs="宋体"/>
                <w:b/>
                <w:i/>
                <w:iCs/>
                <w:color w:val="E36C0A"/>
                <w:kern w:val="0"/>
                <w:sz w:val="20"/>
                <w:szCs w:val="20"/>
              </w:rPr>
            </w:pPr>
            <w:bookmarkStart w:id="0" w:name="OLE_LINK1"/>
            <w:r w:rsidRPr="003072DB">
              <w:rPr>
                <w:rFonts w:ascii="宋体" w:hAnsi="宋体" w:cs="宋体" w:hint="eastAsia"/>
                <w:b/>
                <w:i/>
                <w:iCs/>
                <w:color w:val="E36C0A"/>
                <w:kern w:val="0"/>
                <w:sz w:val="20"/>
                <w:szCs w:val="20"/>
              </w:rPr>
              <w:t>图表</w:t>
            </w:r>
            <w:r w:rsidRPr="003072DB">
              <w:rPr>
                <w:rFonts w:ascii="宋体" w:hAnsi="宋体" w:cs="宋体"/>
                <w:b/>
                <w:i/>
                <w:iCs/>
                <w:color w:val="E36C0A"/>
                <w:kern w:val="0"/>
                <w:sz w:val="20"/>
                <w:szCs w:val="20"/>
              </w:rPr>
              <w:t>4:2014</w:t>
            </w:r>
            <w:r>
              <w:rPr>
                <w:rFonts w:ascii="宋体" w:hAnsi="宋体" w:cs="宋体" w:hint="eastAsia"/>
                <w:b/>
                <w:i/>
                <w:iCs/>
                <w:color w:val="E36C0A"/>
                <w:kern w:val="0"/>
                <w:sz w:val="20"/>
                <w:szCs w:val="20"/>
              </w:rPr>
              <w:t>年</w:t>
            </w:r>
            <w:r>
              <w:rPr>
                <w:rFonts w:ascii="宋体" w:hAnsi="宋体" w:cs="宋体"/>
                <w:b/>
                <w:i/>
                <w:iCs/>
                <w:color w:val="E36C0A"/>
                <w:kern w:val="0"/>
                <w:sz w:val="20"/>
                <w:szCs w:val="20"/>
              </w:rPr>
              <w:t>8</w:t>
            </w:r>
            <w:r>
              <w:rPr>
                <w:rFonts w:ascii="宋体" w:hAnsi="宋体" w:cs="宋体" w:hint="eastAsia"/>
                <w:b/>
                <w:i/>
                <w:iCs/>
                <w:color w:val="E36C0A"/>
                <w:kern w:val="0"/>
                <w:sz w:val="20"/>
                <w:szCs w:val="20"/>
              </w:rPr>
              <w:t>月</w:t>
            </w:r>
            <w:r w:rsidRPr="003072DB">
              <w:rPr>
                <w:rFonts w:ascii="宋体" w:hAnsi="宋体" w:cs="宋体" w:hint="eastAsia"/>
                <w:b/>
                <w:i/>
                <w:iCs/>
                <w:color w:val="E36C0A"/>
                <w:kern w:val="0"/>
                <w:sz w:val="20"/>
                <w:szCs w:val="20"/>
              </w:rPr>
              <w:t>债券型产品前十</w:t>
            </w:r>
          </w:p>
        </w:tc>
        <w:tc>
          <w:tcPr>
            <w:tcW w:w="985" w:type="dxa"/>
            <w:tcBorders>
              <w:top w:val="single" w:sz="8" w:space="0" w:color="E46D0A"/>
              <w:left w:val="nil"/>
              <w:bottom w:val="single" w:sz="8" w:space="0" w:color="E46D0A"/>
              <w:right w:val="nil"/>
            </w:tcBorders>
            <w:noWrap/>
            <w:vAlign w:val="bottom"/>
          </w:tcPr>
          <w:p w:rsidR="000865BF" w:rsidRPr="003072DB" w:rsidRDefault="000865BF" w:rsidP="003072DB">
            <w:pPr>
              <w:widowControl/>
              <w:jc w:val="left"/>
              <w:rPr>
                <w:rFonts w:ascii="宋体" w:cs="宋体"/>
                <w:color w:val="000000"/>
                <w:kern w:val="0"/>
                <w:sz w:val="22"/>
              </w:rPr>
            </w:pPr>
            <w:r w:rsidRPr="003072DB">
              <w:rPr>
                <w:rFonts w:ascii="宋体" w:hAnsi="宋体" w:cs="宋体" w:hint="eastAsia"/>
                <w:color w:val="000000"/>
                <w:kern w:val="0"/>
                <w:sz w:val="22"/>
              </w:rPr>
              <w:t xml:space="preserve">　</w:t>
            </w:r>
          </w:p>
        </w:tc>
        <w:tc>
          <w:tcPr>
            <w:tcW w:w="616" w:type="dxa"/>
            <w:tcBorders>
              <w:top w:val="single" w:sz="8" w:space="0" w:color="E46D0A"/>
              <w:left w:val="nil"/>
              <w:bottom w:val="single" w:sz="8" w:space="0" w:color="E46D0A"/>
              <w:right w:val="nil"/>
            </w:tcBorders>
            <w:noWrap/>
            <w:vAlign w:val="bottom"/>
          </w:tcPr>
          <w:p w:rsidR="000865BF" w:rsidRPr="003072DB" w:rsidRDefault="000865BF" w:rsidP="003072DB">
            <w:pPr>
              <w:widowControl/>
              <w:jc w:val="left"/>
              <w:rPr>
                <w:rFonts w:ascii="宋体" w:cs="宋体"/>
                <w:color w:val="000000"/>
                <w:kern w:val="0"/>
                <w:sz w:val="22"/>
              </w:rPr>
            </w:pPr>
            <w:r w:rsidRPr="003072DB">
              <w:rPr>
                <w:rFonts w:ascii="宋体" w:hAnsi="宋体" w:cs="宋体" w:hint="eastAsia"/>
                <w:color w:val="000000"/>
                <w:kern w:val="0"/>
                <w:sz w:val="22"/>
              </w:rPr>
              <w:t xml:space="preserve">　</w:t>
            </w:r>
          </w:p>
        </w:tc>
      </w:tr>
      <w:tr w:rsidR="000865BF" w:rsidRPr="0091641A" w:rsidTr="003072DB">
        <w:trPr>
          <w:trHeight w:val="435"/>
        </w:trPr>
        <w:tc>
          <w:tcPr>
            <w:tcW w:w="816"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市场代码</w:t>
            </w:r>
          </w:p>
        </w:tc>
        <w:tc>
          <w:tcPr>
            <w:tcW w:w="2131"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基金名称</w:t>
            </w:r>
          </w:p>
        </w:tc>
        <w:tc>
          <w:tcPr>
            <w:tcW w:w="1302"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产品类型</w:t>
            </w:r>
          </w:p>
        </w:tc>
        <w:tc>
          <w:tcPr>
            <w:tcW w:w="985" w:type="dxa"/>
            <w:tcBorders>
              <w:top w:val="nil"/>
              <w:left w:val="nil"/>
              <w:bottom w:val="single" w:sz="8" w:space="0" w:color="E46D0A"/>
              <w:right w:val="nil"/>
            </w:tcBorders>
            <w:vAlign w:val="center"/>
          </w:tcPr>
          <w:p w:rsidR="000865BF" w:rsidRPr="003072DB" w:rsidRDefault="000865BF" w:rsidP="003072DB">
            <w:pPr>
              <w:widowControl/>
              <w:jc w:val="center"/>
              <w:rPr>
                <w:rFonts w:ascii="宋体" w:cs="宋体"/>
                <w:color w:val="000000"/>
                <w:kern w:val="0"/>
                <w:sz w:val="16"/>
                <w:szCs w:val="16"/>
              </w:rPr>
            </w:pPr>
            <w:r>
              <w:rPr>
                <w:rFonts w:ascii="宋体" w:hAnsi="宋体" w:cs="宋体"/>
                <w:color w:val="000000"/>
                <w:kern w:val="0"/>
                <w:sz w:val="16"/>
                <w:szCs w:val="16"/>
              </w:rPr>
              <w:t>8</w:t>
            </w:r>
            <w:r>
              <w:rPr>
                <w:rFonts w:ascii="宋体" w:hAnsi="宋体" w:cs="宋体" w:hint="eastAsia"/>
                <w:color w:val="000000"/>
                <w:kern w:val="0"/>
                <w:sz w:val="16"/>
                <w:szCs w:val="16"/>
              </w:rPr>
              <w:t>月</w:t>
            </w:r>
            <w:r w:rsidRPr="003072DB">
              <w:rPr>
                <w:rFonts w:ascii="宋体" w:hAnsi="宋体" w:cs="宋体" w:hint="eastAsia"/>
                <w:color w:val="000000"/>
                <w:kern w:val="0"/>
                <w:sz w:val="16"/>
                <w:szCs w:val="16"/>
              </w:rPr>
              <w:t>业绩（</w:t>
            </w:r>
            <w:r w:rsidRPr="003072DB">
              <w:rPr>
                <w:rFonts w:ascii="宋体" w:hAnsi="宋体" w:cs="宋体"/>
                <w:color w:val="000000"/>
                <w:kern w:val="0"/>
                <w:sz w:val="16"/>
                <w:szCs w:val="16"/>
              </w:rPr>
              <w:t>%</w:t>
            </w:r>
            <w:r w:rsidRPr="003072DB">
              <w:rPr>
                <w:rFonts w:ascii="宋体" w:hAnsi="宋体" w:cs="宋体" w:hint="eastAsia"/>
                <w:color w:val="000000"/>
                <w:kern w:val="0"/>
                <w:sz w:val="16"/>
                <w:szCs w:val="16"/>
              </w:rPr>
              <w:t>）</w:t>
            </w:r>
          </w:p>
        </w:tc>
        <w:tc>
          <w:tcPr>
            <w:tcW w:w="616"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排名</w:t>
            </w:r>
          </w:p>
        </w:tc>
      </w:tr>
      <w:tr w:rsidR="000865BF" w:rsidRPr="0091641A" w:rsidTr="00E2759C">
        <w:trPr>
          <w:trHeight w:val="270"/>
        </w:trPr>
        <w:tc>
          <w:tcPr>
            <w:tcW w:w="816"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226</w:t>
            </w:r>
          </w:p>
        </w:tc>
        <w:tc>
          <w:tcPr>
            <w:tcW w:w="2131"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hint="eastAsia"/>
                <w:color w:val="000000"/>
                <w:kern w:val="0"/>
                <w:sz w:val="16"/>
                <w:szCs w:val="16"/>
              </w:rPr>
              <w:t>长盛年年收益债</w:t>
            </w:r>
            <w:r w:rsidRPr="007D7973">
              <w:rPr>
                <w:rFonts w:ascii="宋体" w:hAnsi="宋体" w:cs="宋体"/>
                <w:color w:val="000000"/>
                <w:kern w:val="0"/>
                <w:sz w:val="16"/>
                <w:szCs w:val="16"/>
              </w:rPr>
              <w:t>C</w:t>
            </w:r>
          </w:p>
        </w:tc>
        <w:tc>
          <w:tcPr>
            <w:tcW w:w="1302"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hint="eastAsia"/>
                <w:color w:val="000000"/>
                <w:kern w:val="0"/>
                <w:sz w:val="16"/>
                <w:szCs w:val="16"/>
              </w:rPr>
              <w:t>债券</w:t>
            </w:r>
            <w:r w:rsidRPr="007D7973">
              <w:rPr>
                <w:rFonts w:ascii="宋体" w:cs="宋体"/>
                <w:color w:val="000000"/>
                <w:kern w:val="0"/>
                <w:sz w:val="16"/>
                <w:szCs w:val="16"/>
              </w:rPr>
              <w:t>-</w:t>
            </w:r>
            <w:r w:rsidRPr="007D7973">
              <w:rPr>
                <w:rFonts w:ascii="宋体" w:hAnsi="宋体" w:cs="宋体" w:hint="eastAsia"/>
                <w:color w:val="000000"/>
                <w:kern w:val="0"/>
                <w:sz w:val="16"/>
                <w:szCs w:val="16"/>
              </w:rPr>
              <w:t>纯债型</w:t>
            </w:r>
          </w:p>
        </w:tc>
        <w:tc>
          <w:tcPr>
            <w:tcW w:w="985"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6.34</w:t>
            </w:r>
          </w:p>
        </w:tc>
        <w:tc>
          <w:tcPr>
            <w:tcW w:w="616"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1</w:t>
            </w:r>
          </w:p>
        </w:tc>
      </w:tr>
      <w:tr w:rsidR="000865BF" w:rsidRPr="0091641A" w:rsidTr="00E2759C">
        <w:trPr>
          <w:trHeight w:val="270"/>
        </w:trPr>
        <w:tc>
          <w:tcPr>
            <w:tcW w:w="816"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225</w:t>
            </w:r>
          </w:p>
        </w:tc>
        <w:tc>
          <w:tcPr>
            <w:tcW w:w="2131"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hint="eastAsia"/>
                <w:color w:val="000000"/>
                <w:kern w:val="0"/>
                <w:sz w:val="16"/>
                <w:szCs w:val="16"/>
              </w:rPr>
              <w:t>长盛年年收益债</w:t>
            </w:r>
            <w:r w:rsidRPr="007D7973">
              <w:rPr>
                <w:rFonts w:ascii="宋体" w:hAnsi="宋体" w:cs="宋体"/>
                <w:color w:val="000000"/>
                <w:kern w:val="0"/>
                <w:sz w:val="16"/>
                <w:szCs w:val="16"/>
              </w:rPr>
              <w:t>A</w:t>
            </w:r>
          </w:p>
        </w:tc>
        <w:tc>
          <w:tcPr>
            <w:tcW w:w="1302"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hint="eastAsia"/>
                <w:color w:val="000000"/>
                <w:kern w:val="0"/>
                <w:sz w:val="16"/>
                <w:szCs w:val="16"/>
              </w:rPr>
              <w:t>债券</w:t>
            </w:r>
            <w:r w:rsidRPr="007D7973">
              <w:rPr>
                <w:rFonts w:ascii="宋体" w:cs="宋体"/>
                <w:color w:val="000000"/>
                <w:kern w:val="0"/>
                <w:sz w:val="16"/>
                <w:szCs w:val="16"/>
              </w:rPr>
              <w:t>-</w:t>
            </w:r>
            <w:r w:rsidRPr="007D7973">
              <w:rPr>
                <w:rFonts w:ascii="宋体" w:hAnsi="宋体" w:cs="宋体" w:hint="eastAsia"/>
                <w:color w:val="000000"/>
                <w:kern w:val="0"/>
                <w:sz w:val="16"/>
                <w:szCs w:val="16"/>
              </w:rPr>
              <w:t>纯债型</w:t>
            </w:r>
          </w:p>
        </w:tc>
        <w:tc>
          <w:tcPr>
            <w:tcW w:w="985"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6.23</w:t>
            </w:r>
          </w:p>
        </w:tc>
        <w:tc>
          <w:tcPr>
            <w:tcW w:w="616"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2</w:t>
            </w:r>
          </w:p>
        </w:tc>
      </w:tr>
      <w:tr w:rsidR="000865BF" w:rsidRPr="0091641A" w:rsidTr="00E2759C">
        <w:trPr>
          <w:trHeight w:val="270"/>
        </w:trPr>
        <w:tc>
          <w:tcPr>
            <w:tcW w:w="816"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519662</w:t>
            </w:r>
          </w:p>
        </w:tc>
        <w:tc>
          <w:tcPr>
            <w:tcW w:w="2131"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hint="eastAsia"/>
                <w:color w:val="000000"/>
                <w:kern w:val="0"/>
                <w:sz w:val="16"/>
                <w:szCs w:val="16"/>
              </w:rPr>
              <w:t>银河回报债券</w:t>
            </w:r>
            <w:r w:rsidRPr="007D7973">
              <w:rPr>
                <w:rFonts w:ascii="宋体" w:hAnsi="宋体" w:cs="宋体"/>
                <w:color w:val="000000"/>
                <w:kern w:val="0"/>
                <w:sz w:val="16"/>
                <w:szCs w:val="16"/>
              </w:rPr>
              <w:t>A</w:t>
            </w:r>
          </w:p>
        </w:tc>
        <w:tc>
          <w:tcPr>
            <w:tcW w:w="1302"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hint="eastAsia"/>
                <w:color w:val="000000"/>
                <w:kern w:val="0"/>
                <w:sz w:val="16"/>
                <w:szCs w:val="16"/>
              </w:rPr>
              <w:t>债券</w:t>
            </w:r>
            <w:r w:rsidRPr="007D7973">
              <w:rPr>
                <w:rFonts w:ascii="宋体" w:cs="宋体"/>
                <w:color w:val="000000"/>
                <w:kern w:val="0"/>
                <w:sz w:val="16"/>
                <w:szCs w:val="16"/>
              </w:rPr>
              <w:t>-</w:t>
            </w:r>
            <w:r w:rsidRPr="007D7973">
              <w:rPr>
                <w:rFonts w:ascii="宋体" w:hAnsi="宋体" w:cs="宋体" w:hint="eastAsia"/>
                <w:color w:val="000000"/>
                <w:kern w:val="0"/>
                <w:sz w:val="16"/>
                <w:szCs w:val="16"/>
              </w:rPr>
              <w:t>纯债型</w:t>
            </w:r>
          </w:p>
        </w:tc>
        <w:tc>
          <w:tcPr>
            <w:tcW w:w="985"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5.8</w:t>
            </w:r>
          </w:p>
        </w:tc>
        <w:tc>
          <w:tcPr>
            <w:tcW w:w="616"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3</w:t>
            </w:r>
          </w:p>
        </w:tc>
      </w:tr>
      <w:tr w:rsidR="000865BF" w:rsidRPr="0091641A" w:rsidTr="00E2759C">
        <w:trPr>
          <w:trHeight w:val="270"/>
        </w:trPr>
        <w:tc>
          <w:tcPr>
            <w:tcW w:w="816"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519663</w:t>
            </w:r>
          </w:p>
        </w:tc>
        <w:tc>
          <w:tcPr>
            <w:tcW w:w="2131"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hint="eastAsia"/>
                <w:color w:val="000000"/>
                <w:kern w:val="0"/>
                <w:sz w:val="16"/>
                <w:szCs w:val="16"/>
              </w:rPr>
              <w:t>银河回报债券</w:t>
            </w:r>
            <w:r w:rsidRPr="007D7973">
              <w:rPr>
                <w:rFonts w:ascii="宋体" w:hAnsi="宋体" w:cs="宋体"/>
                <w:color w:val="000000"/>
                <w:kern w:val="0"/>
                <w:sz w:val="16"/>
                <w:szCs w:val="16"/>
              </w:rPr>
              <w:t>C</w:t>
            </w:r>
          </w:p>
        </w:tc>
        <w:tc>
          <w:tcPr>
            <w:tcW w:w="1302"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hint="eastAsia"/>
                <w:color w:val="000000"/>
                <w:kern w:val="0"/>
                <w:sz w:val="16"/>
                <w:szCs w:val="16"/>
              </w:rPr>
              <w:t>债券</w:t>
            </w:r>
            <w:r w:rsidRPr="007D7973">
              <w:rPr>
                <w:rFonts w:ascii="宋体" w:cs="宋体"/>
                <w:color w:val="000000"/>
                <w:kern w:val="0"/>
                <w:sz w:val="16"/>
                <w:szCs w:val="16"/>
              </w:rPr>
              <w:t>-</w:t>
            </w:r>
            <w:r w:rsidRPr="007D7973">
              <w:rPr>
                <w:rFonts w:ascii="宋体" w:hAnsi="宋体" w:cs="宋体" w:hint="eastAsia"/>
                <w:color w:val="000000"/>
                <w:kern w:val="0"/>
                <w:sz w:val="16"/>
                <w:szCs w:val="16"/>
              </w:rPr>
              <w:t>纯债型</w:t>
            </w:r>
          </w:p>
        </w:tc>
        <w:tc>
          <w:tcPr>
            <w:tcW w:w="985"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5.73</w:t>
            </w:r>
          </w:p>
        </w:tc>
        <w:tc>
          <w:tcPr>
            <w:tcW w:w="616"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4</w:t>
            </w:r>
          </w:p>
        </w:tc>
      </w:tr>
      <w:tr w:rsidR="000865BF" w:rsidRPr="0091641A" w:rsidTr="00E2759C">
        <w:trPr>
          <w:trHeight w:val="270"/>
        </w:trPr>
        <w:tc>
          <w:tcPr>
            <w:tcW w:w="816"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138</w:t>
            </w:r>
          </w:p>
        </w:tc>
        <w:tc>
          <w:tcPr>
            <w:tcW w:w="2131"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hint="eastAsia"/>
                <w:color w:val="000000"/>
                <w:kern w:val="0"/>
                <w:sz w:val="16"/>
                <w:szCs w:val="16"/>
              </w:rPr>
              <w:t>民生岁岁增利债</w:t>
            </w:r>
            <w:r w:rsidRPr="007D7973">
              <w:rPr>
                <w:rFonts w:ascii="宋体" w:hAnsi="宋体" w:cs="宋体"/>
                <w:color w:val="000000"/>
                <w:kern w:val="0"/>
                <w:sz w:val="16"/>
                <w:szCs w:val="16"/>
              </w:rPr>
              <w:t>C</w:t>
            </w:r>
          </w:p>
        </w:tc>
        <w:tc>
          <w:tcPr>
            <w:tcW w:w="1302"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hint="eastAsia"/>
                <w:color w:val="000000"/>
                <w:kern w:val="0"/>
                <w:sz w:val="16"/>
                <w:szCs w:val="16"/>
              </w:rPr>
              <w:t>债券</w:t>
            </w:r>
            <w:r w:rsidRPr="007D7973">
              <w:rPr>
                <w:rFonts w:ascii="宋体" w:cs="宋体"/>
                <w:color w:val="000000"/>
                <w:kern w:val="0"/>
                <w:sz w:val="16"/>
                <w:szCs w:val="16"/>
              </w:rPr>
              <w:t>-</w:t>
            </w:r>
            <w:r w:rsidRPr="007D7973">
              <w:rPr>
                <w:rFonts w:ascii="宋体" w:hAnsi="宋体" w:cs="宋体" w:hint="eastAsia"/>
                <w:color w:val="000000"/>
                <w:kern w:val="0"/>
                <w:sz w:val="16"/>
                <w:szCs w:val="16"/>
              </w:rPr>
              <w:t>纯债型</w:t>
            </w:r>
          </w:p>
        </w:tc>
        <w:tc>
          <w:tcPr>
            <w:tcW w:w="985"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4.55</w:t>
            </w:r>
          </w:p>
        </w:tc>
        <w:tc>
          <w:tcPr>
            <w:tcW w:w="616"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5</w:t>
            </w:r>
          </w:p>
        </w:tc>
      </w:tr>
      <w:tr w:rsidR="000865BF" w:rsidRPr="0091641A" w:rsidTr="00E2759C">
        <w:trPr>
          <w:trHeight w:val="270"/>
        </w:trPr>
        <w:tc>
          <w:tcPr>
            <w:tcW w:w="816"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137</w:t>
            </w:r>
          </w:p>
        </w:tc>
        <w:tc>
          <w:tcPr>
            <w:tcW w:w="2131"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hint="eastAsia"/>
                <w:color w:val="000000"/>
                <w:kern w:val="0"/>
                <w:sz w:val="16"/>
                <w:szCs w:val="16"/>
              </w:rPr>
              <w:t>民生岁岁增利债</w:t>
            </w:r>
            <w:r w:rsidRPr="007D7973">
              <w:rPr>
                <w:rFonts w:ascii="宋体" w:hAnsi="宋体" w:cs="宋体"/>
                <w:color w:val="000000"/>
                <w:kern w:val="0"/>
                <w:sz w:val="16"/>
                <w:szCs w:val="16"/>
              </w:rPr>
              <w:t>A</w:t>
            </w:r>
          </w:p>
        </w:tc>
        <w:tc>
          <w:tcPr>
            <w:tcW w:w="1302"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hint="eastAsia"/>
                <w:color w:val="000000"/>
                <w:kern w:val="0"/>
                <w:sz w:val="16"/>
                <w:szCs w:val="16"/>
              </w:rPr>
              <w:t>债券</w:t>
            </w:r>
            <w:r w:rsidRPr="007D7973">
              <w:rPr>
                <w:rFonts w:ascii="宋体" w:cs="宋体"/>
                <w:color w:val="000000"/>
                <w:kern w:val="0"/>
                <w:sz w:val="16"/>
                <w:szCs w:val="16"/>
              </w:rPr>
              <w:t>-</w:t>
            </w:r>
            <w:r w:rsidRPr="007D7973">
              <w:rPr>
                <w:rFonts w:ascii="宋体" w:hAnsi="宋体" w:cs="宋体" w:hint="eastAsia"/>
                <w:color w:val="000000"/>
                <w:kern w:val="0"/>
                <w:sz w:val="16"/>
                <w:szCs w:val="16"/>
              </w:rPr>
              <w:t>纯债型</w:t>
            </w:r>
          </w:p>
        </w:tc>
        <w:tc>
          <w:tcPr>
            <w:tcW w:w="985"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4.53</w:t>
            </w:r>
          </w:p>
        </w:tc>
        <w:tc>
          <w:tcPr>
            <w:tcW w:w="616"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6</w:t>
            </w:r>
          </w:p>
        </w:tc>
      </w:tr>
      <w:tr w:rsidR="000865BF" w:rsidRPr="0091641A" w:rsidTr="00E2759C">
        <w:trPr>
          <w:trHeight w:val="270"/>
        </w:trPr>
        <w:tc>
          <w:tcPr>
            <w:tcW w:w="816"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68</w:t>
            </w:r>
          </w:p>
        </w:tc>
        <w:tc>
          <w:tcPr>
            <w:tcW w:w="2131"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hint="eastAsia"/>
                <w:color w:val="000000"/>
                <w:kern w:val="0"/>
                <w:sz w:val="16"/>
                <w:szCs w:val="16"/>
              </w:rPr>
              <w:t>民生转债优选</w:t>
            </w:r>
            <w:r w:rsidRPr="007D7973">
              <w:rPr>
                <w:rFonts w:ascii="宋体" w:hAnsi="宋体" w:cs="宋体"/>
                <w:color w:val="000000"/>
                <w:kern w:val="0"/>
                <w:sz w:val="16"/>
                <w:szCs w:val="16"/>
              </w:rPr>
              <w:t>C</w:t>
            </w:r>
          </w:p>
        </w:tc>
        <w:tc>
          <w:tcPr>
            <w:tcW w:w="1302"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hint="eastAsia"/>
                <w:color w:val="000000"/>
                <w:kern w:val="0"/>
                <w:sz w:val="16"/>
                <w:szCs w:val="16"/>
              </w:rPr>
              <w:t>债券</w:t>
            </w:r>
            <w:r w:rsidRPr="007D7973">
              <w:rPr>
                <w:rFonts w:ascii="宋体" w:cs="宋体"/>
                <w:color w:val="000000"/>
                <w:kern w:val="0"/>
                <w:sz w:val="16"/>
                <w:szCs w:val="16"/>
              </w:rPr>
              <w:t>-</w:t>
            </w:r>
            <w:r w:rsidRPr="007D7973">
              <w:rPr>
                <w:rFonts w:ascii="宋体" w:hAnsi="宋体" w:cs="宋体" w:hint="eastAsia"/>
                <w:color w:val="000000"/>
                <w:kern w:val="0"/>
                <w:sz w:val="16"/>
                <w:szCs w:val="16"/>
              </w:rPr>
              <w:t>可转债基</w:t>
            </w:r>
          </w:p>
        </w:tc>
        <w:tc>
          <w:tcPr>
            <w:tcW w:w="985"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4.23</w:t>
            </w:r>
          </w:p>
        </w:tc>
        <w:tc>
          <w:tcPr>
            <w:tcW w:w="616"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7</w:t>
            </w:r>
          </w:p>
        </w:tc>
      </w:tr>
      <w:tr w:rsidR="000865BF" w:rsidRPr="0091641A" w:rsidTr="00E2759C">
        <w:trPr>
          <w:trHeight w:val="270"/>
        </w:trPr>
        <w:tc>
          <w:tcPr>
            <w:tcW w:w="816"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67</w:t>
            </w:r>
          </w:p>
        </w:tc>
        <w:tc>
          <w:tcPr>
            <w:tcW w:w="2131"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hint="eastAsia"/>
                <w:color w:val="000000"/>
                <w:kern w:val="0"/>
                <w:sz w:val="16"/>
                <w:szCs w:val="16"/>
              </w:rPr>
              <w:t>民生转债优选</w:t>
            </w:r>
            <w:r w:rsidRPr="007D7973">
              <w:rPr>
                <w:rFonts w:ascii="宋体" w:hAnsi="宋体" w:cs="宋体"/>
                <w:color w:val="000000"/>
                <w:kern w:val="0"/>
                <w:sz w:val="16"/>
                <w:szCs w:val="16"/>
              </w:rPr>
              <w:t>A</w:t>
            </w:r>
          </w:p>
        </w:tc>
        <w:tc>
          <w:tcPr>
            <w:tcW w:w="1302"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hint="eastAsia"/>
                <w:color w:val="000000"/>
                <w:kern w:val="0"/>
                <w:sz w:val="16"/>
                <w:szCs w:val="16"/>
              </w:rPr>
              <w:t>债券</w:t>
            </w:r>
            <w:r w:rsidRPr="007D7973">
              <w:rPr>
                <w:rFonts w:ascii="宋体" w:cs="宋体"/>
                <w:color w:val="000000"/>
                <w:kern w:val="0"/>
                <w:sz w:val="16"/>
                <w:szCs w:val="16"/>
              </w:rPr>
              <w:t>-</w:t>
            </w:r>
            <w:r w:rsidRPr="007D7973">
              <w:rPr>
                <w:rFonts w:ascii="宋体" w:hAnsi="宋体" w:cs="宋体" w:hint="eastAsia"/>
                <w:color w:val="000000"/>
                <w:kern w:val="0"/>
                <w:sz w:val="16"/>
                <w:szCs w:val="16"/>
              </w:rPr>
              <w:t>可转债基</w:t>
            </w:r>
          </w:p>
        </w:tc>
        <w:tc>
          <w:tcPr>
            <w:tcW w:w="985"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4.21</w:t>
            </w:r>
          </w:p>
        </w:tc>
        <w:tc>
          <w:tcPr>
            <w:tcW w:w="616"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8</w:t>
            </w:r>
          </w:p>
        </w:tc>
      </w:tr>
      <w:tr w:rsidR="000865BF" w:rsidRPr="0091641A" w:rsidTr="00E2759C">
        <w:trPr>
          <w:trHeight w:val="270"/>
        </w:trPr>
        <w:tc>
          <w:tcPr>
            <w:tcW w:w="816"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110027</w:t>
            </w:r>
          </w:p>
        </w:tc>
        <w:tc>
          <w:tcPr>
            <w:tcW w:w="2131"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hint="eastAsia"/>
                <w:color w:val="000000"/>
                <w:kern w:val="0"/>
                <w:sz w:val="16"/>
                <w:szCs w:val="16"/>
              </w:rPr>
              <w:t>易方达安心回报债券</w:t>
            </w:r>
            <w:r w:rsidRPr="007D7973">
              <w:rPr>
                <w:rFonts w:ascii="宋体" w:hAnsi="宋体" w:cs="宋体"/>
                <w:color w:val="000000"/>
                <w:kern w:val="0"/>
                <w:sz w:val="16"/>
                <w:szCs w:val="16"/>
              </w:rPr>
              <w:t>A</w:t>
            </w:r>
          </w:p>
        </w:tc>
        <w:tc>
          <w:tcPr>
            <w:tcW w:w="1302"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hint="eastAsia"/>
                <w:color w:val="000000"/>
                <w:kern w:val="0"/>
                <w:sz w:val="16"/>
                <w:szCs w:val="16"/>
              </w:rPr>
              <w:t>债券</w:t>
            </w:r>
            <w:r w:rsidRPr="007D7973">
              <w:rPr>
                <w:rFonts w:ascii="宋体" w:cs="宋体"/>
                <w:color w:val="000000"/>
                <w:kern w:val="0"/>
                <w:sz w:val="16"/>
                <w:szCs w:val="16"/>
              </w:rPr>
              <w:t>-</w:t>
            </w:r>
            <w:r w:rsidRPr="007D7973">
              <w:rPr>
                <w:rFonts w:ascii="宋体" w:hAnsi="宋体" w:cs="宋体" w:hint="eastAsia"/>
                <w:color w:val="000000"/>
                <w:kern w:val="0"/>
                <w:sz w:val="16"/>
                <w:szCs w:val="16"/>
              </w:rPr>
              <w:t>二级债基</w:t>
            </w:r>
          </w:p>
        </w:tc>
        <w:tc>
          <w:tcPr>
            <w:tcW w:w="985"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4.09</w:t>
            </w:r>
          </w:p>
        </w:tc>
        <w:tc>
          <w:tcPr>
            <w:tcW w:w="616" w:type="dxa"/>
            <w:tcBorders>
              <w:top w:val="nil"/>
              <w:left w:val="nil"/>
              <w:bottom w:val="nil"/>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9</w:t>
            </w:r>
          </w:p>
        </w:tc>
      </w:tr>
      <w:tr w:rsidR="000865BF" w:rsidRPr="0091641A" w:rsidTr="00E2759C">
        <w:trPr>
          <w:trHeight w:val="285"/>
        </w:trPr>
        <w:tc>
          <w:tcPr>
            <w:tcW w:w="816" w:type="dxa"/>
            <w:tcBorders>
              <w:top w:val="nil"/>
              <w:left w:val="nil"/>
              <w:bottom w:val="single" w:sz="8" w:space="0" w:color="E46D0A"/>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110028</w:t>
            </w:r>
          </w:p>
        </w:tc>
        <w:tc>
          <w:tcPr>
            <w:tcW w:w="2131" w:type="dxa"/>
            <w:tcBorders>
              <w:top w:val="nil"/>
              <w:left w:val="nil"/>
              <w:bottom w:val="single" w:sz="8" w:space="0" w:color="E46D0A"/>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hint="eastAsia"/>
                <w:color w:val="000000"/>
                <w:kern w:val="0"/>
                <w:sz w:val="16"/>
                <w:szCs w:val="16"/>
              </w:rPr>
              <w:t>易方达安心回报债券</w:t>
            </w:r>
            <w:r w:rsidRPr="007D7973">
              <w:rPr>
                <w:rFonts w:ascii="宋体" w:hAnsi="宋体" w:cs="宋体"/>
                <w:color w:val="000000"/>
                <w:kern w:val="0"/>
                <w:sz w:val="16"/>
                <w:szCs w:val="16"/>
              </w:rPr>
              <w:t>B</w:t>
            </w:r>
          </w:p>
        </w:tc>
        <w:tc>
          <w:tcPr>
            <w:tcW w:w="1302" w:type="dxa"/>
            <w:tcBorders>
              <w:top w:val="nil"/>
              <w:left w:val="nil"/>
              <w:bottom w:val="single" w:sz="8" w:space="0" w:color="E46D0A"/>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hint="eastAsia"/>
                <w:color w:val="000000"/>
                <w:kern w:val="0"/>
                <w:sz w:val="16"/>
                <w:szCs w:val="16"/>
              </w:rPr>
              <w:t>债券</w:t>
            </w:r>
            <w:r w:rsidRPr="007D7973">
              <w:rPr>
                <w:rFonts w:ascii="宋体" w:cs="宋体"/>
                <w:color w:val="000000"/>
                <w:kern w:val="0"/>
                <w:sz w:val="16"/>
                <w:szCs w:val="16"/>
              </w:rPr>
              <w:t>-</w:t>
            </w:r>
            <w:r w:rsidRPr="007D7973">
              <w:rPr>
                <w:rFonts w:ascii="宋体" w:hAnsi="宋体" w:cs="宋体" w:hint="eastAsia"/>
                <w:color w:val="000000"/>
                <w:kern w:val="0"/>
                <w:sz w:val="16"/>
                <w:szCs w:val="16"/>
              </w:rPr>
              <w:t>二级债基</w:t>
            </w:r>
          </w:p>
        </w:tc>
        <w:tc>
          <w:tcPr>
            <w:tcW w:w="985" w:type="dxa"/>
            <w:tcBorders>
              <w:top w:val="nil"/>
              <w:left w:val="nil"/>
              <w:bottom w:val="single" w:sz="8" w:space="0" w:color="E46D0A"/>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4.05</w:t>
            </w:r>
          </w:p>
        </w:tc>
        <w:tc>
          <w:tcPr>
            <w:tcW w:w="616" w:type="dxa"/>
            <w:tcBorders>
              <w:top w:val="nil"/>
              <w:left w:val="nil"/>
              <w:bottom w:val="single" w:sz="8" w:space="0" w:color="E46D0A"/>
              <w:right w:val="nil"/>
            </w:tcBorders>
            <w:noWrap/>
          </w:tcPr>
          <w:p w:rsidR="000865BF" w:rsidRPr="007D7973" w:rsidRDefault="000865BF" w:rsidP="007D7973">
            <w:pPr>
              <w:widowControl/>
              <w:jc w:val="center"/>
              <w:rPr>
                <w:rFonts w:ascii="宋体" w:cs="宋体"/>
                <w:color w:val="000000"/>
                <w:kern w:val="0"/>
                <w:sz w:val="16"/>
                <w:szCs w:val="16"/>
              </w:rPr>
            </w:pPr>
            <w:r w:rsidRPr="007D7973">
              <w:rPr>
                <w:rFonts w:ascii="宋体" w:hAnsi="宋体" w:cs="宋体"/>
                <w:color w:val="000000"/>
                <w:kern w:val="0"/>
                <w:sz w:val="16"/>
                <w:szCs w:val="16"/>
              </w:rPr>
              <w:t>10</w:t>
            </w:r>
          </w:p>
        </w:tc>
      </w:tr>
      <w:tr w:rsidR="000865BF" w:rsidRPr="0091641A" w:rsidTr="003072DB">
        <w:trPr>
          <w:trHeight w:val="285"/>
        </w:trPr>
        <w:tc>
          <w:tcPr>
            <w:tcW w:w="2947" w:type="dxa"/>
            <w:gridSpan w:val="2"/>
            <w:tcBorders>
              <w:top w:val="single" w:sz="8" w:space="0" w:color="E46D0A"/>
              <w:left w:val="nil"/>
              <w:bottom w:val="single" w:sz="8" w:space="0" w:color="E46D0A"/>
              <w:right w:val="nil"/>
            </w:tcBorders>
            <w:noWrap/>
            <w:vAlign w:val="center"/>
          </w:tcPr>
          <w:p w:rsidR="000865BF" w:rsidRPr="003072DB" w:rsidRDefault="000865BF"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来源：凯石财富工场</w:t>
            </w:r>
          </w:p>
        </w:tc>
        <w:tc>
          <w:tcPr>
            <w:tcW w:w="1302"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 xml:space="preserve">　</w:t>
            </w:r>
          </w:p>
        </w:tc>
        <w:tc>
          <w:tcPr>
            <w:tcW w:w="985"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 xml:space="preserve">　</w:t>
            </w:r>
          </w:p>
        </w:tc>
        <w:tc>
          <w:tcPr>
            <w:tcW w:w="616"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 xml:space="preserve">　</w:t>
            </w:r>
          </w:p>
        </w:tc>
      </w:tr>
      <w:bookmarkEnd w:id="0"/>
    </w:tbl>
    <w:p w:rsidR="000865BF" w:rsidRDefault="000865BF" w:rsidP="003072DB">
      <w:pPr>
        <w:pStyle w:val="BodyText"/>
        <w:spacing w:after="163"/>
        <w:ind w:left="3799"/>
        <w:rPr>
          <w:color w:val="auto"/>
        </w:rPr>
      </w:pPr>
    </w:p>
    <w:tbl>
      <w:tblPr>
        <w:tblW w:w="6014" w:type="dxa"/>
        <w:tblInd w:w="3816" w:type="dxa"/>
        <w:tblLook w:val="00A0"/>
      </w:tblPr>
      <w:tblGrid>
        <w:gridCol w:w="1289"/>
        <w:gridCol w:w="2765"/>
        <w:gridCol w:w="1289"/>
        <w:gridCol w:w="671"/>
      </w:tblGrid>
      <w:tr w:rsidR="000865BF" w:rsidRPr="0091641A" w:rsidTr="00D06FC1">
        <w:trPr>
          <w:trHeight w:val="276"/>
        </w:trPr>
        <w:tc>
          <w:tcPr>
            <w:tcW w:w="6014" w:type="dxa"/>
            <w:gridSpan w:val="4"/>
            <w:tcBorders>
              <w:top w:val="single" w:sz="8" w:space="0" w:color="E46D0A"/>
              <w:left w:val="nil"/>
              <w:bottom w:val="single" w:sz="8" w:space="0" w:color="E46D0A"/>
              <w:right w:val="nil"/>
            </w:tcBorders>
            <w:noWrap/>
            <w:vAlign w:val="center"/>
          </w:tcPr>
          <w:p w:rsidR="000865BF" w:rsidRPr="003072DB" w:rsidRDefault="000865BF" w:rsidP="00726FF6">
            <w:pPr>
              <w:widowControl/>
              <w:jc w:val="left"/>
              <w:rPr>
                <w:rFonts w:ascii="宋体" w:cs="宋体"/>
                <w:b/>
                <w:i/>
                <w:iCs/>
                <w:color w:val="E36C0A"/>
                <w:kern w:val="0"/>
                <w:sz w:val="20"/>
                <w:szCs w:val="20"/>
              </w:rPr>
            </w:pPr>
            <w:r w:rsidRPr="003072DB">
              <w:rPr>
                <w:rFonts w:ascii="宋体" w:hAnsi="宋体" w:cs="宋体" w:hint="eastAsia"/>
                <w:b/>
                <w:i/>
                <w:iCs/>
                <w:color w:val="E36C0A"/>
                <w:kern w:val="0"/>
                <w:sz w:val="20"/>
                <w:szCs w:val="20"/>
              </w:rPr>
              <w:t>图表</w:t>
            </w:r>
            <w:r w:rsidRPr="003072DB">
              <w:rPr>
                <w:rFonts w:ascii="宋体" w:hAnsi="宋体" w:cs="宋体"/>
                <w:b/>
                <w:i/>
                <w:iCs/>
                <w:color w:val="E36C0A"/>
                <w:kern w:val="0"/>
                <w:sz w:val="20"/>
                <w:szCs w:val="20"/>
              </w:rPr>
              <w:t>5:2014</w:t>
            </w:r>
            <w:r>
              <w:rPr>
                <w:rFonts w:ascii="宋体" w:hAnsi="宋体" w:cs="宋体" w:hint="eastAsia"/>
                <w:b/>
                <w:i/>
                <w:iCs/>
                <w:color w:val="E36C0A"/>
                <w:kern w:val="0"/>
                <w:sz w:val="20"/>
                <w:szCs w:val="20"/>
              </w:rPr>
              <w:t>年</w:t>
            </w:r>
            <w:r>
              <w:rPr>
                <w:rFonts w:ascii="宋体" w:hAnsi="宋体" w:cs="宋体"/>
                <w:b/>
                <w:i/>
                <w:iCs/>
                <w:color w:val="E36C0A"/>
                <w:kern w:val="0"/>
                <w:sz w:val="20"/>
                <w:szCs w:val="20"/>
              </w:rPr>
              <w:t>8</w:t>
            </w:r>
            <w:r>
              <w:rPr>
                <w:rFonts w:ascii="宋体" w:hAnsi="宋体" w:cs="宋体" w:hint="eastAsia"/>
                <w:b/>
                <w:i/>
                <w:iCs/>
                <w:color w:val="E36C0A"/>
                <w:kern w:val="0"/>
                <w:sz w:val="20"/>
                <w:szCs w:val="20"/>
              </w:rPr>
              <w:t>月</w:t>
            </w:r>
            <w:r w:rsidRPr="003072DB">
              <w:rPr>
                <w:rFonts w:ascii="宋体" w:hAnsi="宋体" w:cs="宋体" w:hint="eastAsia"/>
                <w:b/>
                <w:i/>
                <w:iCs/>
                <w:color w:val="E36C0A"/>
                <w:kern w:val="0"/>
                <w:sz w:val="20"/>
                <w:szCs w:val="20"/>
              </w:rPr>
              <w:t>保本型产品前</w:t>
            </w:r>
            <w:r>
              <w:rPr>
                <w:rFonts w:ascii="宋体" w:hAnsi="宋体" w:cs="宋体" w:hint="eastAsia"/>
                <w:b/>
                <w:i/>
                <w:iCs/>
                <w:color w:val="E36C0A"/>
                <w:kern w:val="0"/>
                <w:sz w:val="20"/>
                <w:szCs w:val="20"/>
              </w:rPr>
              <w:t>五</w:t>
            </w:r>
          </w:p>
        </w:tc>
      </w:tr>
      <w:tr w:rsidR="000865BF" w:rsidRPr="0091641A" w:rsidTr="003072DB">
        <w:trPr>
          <w:trHeight w:val="422"/>
        </w:trPr>
        <w:tc>
          <w:tcPr>
            <w:tcW w:w="1289"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市场代码</w:t>
            </w:r>
          </w:p>
        </w:tc>
        <w:tc>
          <w:tcPr>
            <w:tcW w:w="2765"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基金名称</w:t>
            </w:r>
          </w:p>
        </w:tc>
        <w:tc>
          <w:tcPr>
            <w:tcW w:w="1289" w:type="dxa"/>
            <w:tcBorders>
              <w:top w:val="nil"/>
              <w:left w:val="nil"/>
              <w:bottom w:val="single" w:sz="8" w:space="0" w:color="E46D0A"/>
              <w:right w:val="nil"/>
            </w:tcBorders>
            <w:vAlign w:val="center"/>
          </w:tcPr>
          <w:p w:rsidR="000865BF" w:rsidRPr="003072DB" w:rsidRDefault="000865BF" w:rsidP="003072DB">
            <w:pPr>
              <w:widowControl/>
              <w:jc w:val="center"/>
              <w:rPr>
                <w:rFonts w:ascii="宋体" w:cs="宋体"/>
                <w:color w:val="000000"/>
                <w:kern w:val="0"/>
                <w:sz w:val="16"/>
                <w:szCs w:val="16"/>
              </w:rPr>
            </w:pPr>
            <w:r>
              <w:rPr>
                <w:rFonts w:ascii="宋体" w:hAnsi="宋体" w:cs="宋体"/>
                <w:color w:val="000000"/>
                <w:kern w:val="0"/>
                <w:sz w:val="16"/>
                <w:szCs w:val="16"/>
              </w:rPr>
              <w:t>8</w:t>
            </w:r>
            <w:r>
              <w:rPr>
                <w:rFonts w:ascii="宋体" w:hAnsi="宋体" w:cs="宋体" w:hint="eastAsia"/>
                <w:color w:val="000000"/>
                <w:kern w:val="0"/>
                <w:sz w:val="16"/>
                <w:szCs w:val="16"/>
              </w:rPr>
              <w:t>月</w:t>
            </w:r>
            <w:r w:rsidRPr="003072DB">
              <w:rPr>
                <w:rFonts w:ascii="宋体" w:hAnsi="宋体" w:cs="宋体" w:hint="eastAsia"/>
                <w:color w:val="000000"/>
                <w:kern w:val="0"/>
                <w:sz w:val="16"/>
                <w:szCs w:val="16"/>
              </w:rPr>
              <w:t>业绩（</w:t>
            </w:r>
            <w:r w:rsidRPr="003072DB">
              <w:rPr>
                <w:rFonts w:ascii="宋体" w:hAnsi="宋体" w:cs="宋体"/>
                <w:color w:val="000000"/>
                <w:kern w:val="0"/>
                <w:sz w:val="16"/>
                <w:szCs w:val="16"/>
              </w:rPr>
              <w:t>%</w:t>
            </w:r>
            <w:r w:rsidRPr="003072DB">
              <w:rPr>
                <w:rFonts w:ascii="宋体" w:hAnsi="宋体" w:cs="宋体" w:hint="eastAsia"/>
                <w:color w:val="000000"/>
                <w:kern w:val="0"/>
                <w:sz w:val="16"/>
                <w:szCs w:val="16"/>
              </w:rPr>
              <w:t>）</w:t>
            </w:r>
          </w:p>
        </w:tc>
        <w:tc>
          <w:tcPr>
            <w:tcW w:w="671"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排名</w:t>
            </w:r>
          </w:p>
        </w:tc>
      </w:tr>
      <w:tr w:rsidR="000865BF" w:rsidRPr="0091641A" w:rsidTr="003072DB">
        <w:trPr>
          <w:trHeight w:val="262"/>
        </w:trPr>
        <w:tc>
          <w:tcPr>
            <w:tcW w:w="1289"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28</w:t>
            </w:r>
          </w:p>
        </w:tc>
        <w:tc>
          <w:tcPr>
            <w:tcW w:w="2765" w:type="dxa"/>
            <w:tcBorders>
              <w:top w:val="nil"/>
              <w:left w:val="nil"/>
              <w:bottom w:val="nil"/>
              <w:right w:val="nil"/>
            </w:tcBorders>
            <w:noWrap/>
            <w:vAlign w:val="center"/>
          </w:tcPr>
          <w:p w:rsidR="000865BF" w:rsidRDefault="000865BF">
            <w:pPr>
              <w:jc w:val="center"/>
              <w:rPr>
                <w:rFonts w:ascii="宋体" w:cs="宋体"/>
                <w:color w:val="000000"/>
                <w:sz w:val="16"/>
                <w:szCs w:val="16"/>
              </w:rPr>
            </w:pPr>
            <w:r w:rsidRPr="0091641A">
              <w:rPr>
                <w:rFonts w:hint="eastAsia"/>
                <w:color w:val="000000"/>
                <w:sz w:val="16"/>
                <w:szCs w:val="16"/>
              </w:rPr>
              <w:t>华富保本混合</w:t>
            </w:r>
          </w:p>
        </w:tc>
        <w:tc>
          <w:tcPr>
            <w:tcW w:w="1289"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2.85</w:t>
            </w:r>
          </w:p>
        </w:tc>
        <w:tc>
          <w:tcPr>
            <w:tcW w:w="671"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1</w:t>
            </w:r>
          </w:p>
        </w:tc>
      </w:tr>
      <w:tr w:rsidR="000865BF" w:rsidRPr="0091641A" w:rsidTr="003072DB">
        <w:trPr>
          <w:trHeight w:val="262"/>
        </w:trPr>
        <w:tc>
          <w:tcPr>
            <w:tcW w:w="1289"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217024</w:t>
            </w:r>
          </w:p>
        </w:tc>
        <w:tc>
          <w:tcPr>
            <w:tcW w:w="2765" w:type="dxa"/>
            <w:tcBorders>
              <w:top w:val="nil"/>
              <w:left w:val="nil"/>
              <w:bottom w:val="nil"/>
              <w:right w:val="nil"/>
            </w:tcBorders>
            <w:noWrap/>
            <w:vAlign w:val="center"/>
          </w:tcPr>
          <w:p w:rsidR="000865BF" w:rsidRDefault="000865BF">
            <w:pPr>
              <w:jc w:val="center"/>
              <w:rPr>
                <w:rFonts w:ascii="宋体" w:cs="宋体"/>
                <w:color w:val="000000"/>
                <w:sz w:val="16"/>
                <w:szCs w:val="16"/>
              </w:rPr>
            </w:pPr>
            <w:r w:rsidRPr="0091641A">
              <w:rPr>
                <w:rFonts w:hint="eastAsia"/>
                <w:color w:val="000000"/>
                <w:sz w:val="16"/>
                <w:szCs w:val="16"/>
              </w:rPr>
              <w:t>安盈保本</w:t>
            </w:r>
          </w:p>
        </w:tc>
        <w:tc>
          <w:tcPr>
            <w:tcW w:w="1289"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2.68</w:t>
            </w:r>
          </w:p>
        </w:tc>
        <w:tc>
          <w:tcPr>
            <w:tcW w:w="671"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2</w:t>
            </w:r>
          </w:p>
        </w:tc>
      </w:tr>
      <w:tr w:rsidR="000865BF" w:rsidRPr="0091641A" w:rsidTr="003072DB">
        <w:trPr>
          <w:trHeight w:val="262"/>
        </w:trPr>
        <w:tc>
          <w:tcPr>
            <w:tcW w:w="1289"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58</w:t>
            </w:r>
          </w:p>
        </w:tc>
        <w:tc>
          <w:tcPr>
            <w:tcW w:w="2765" w:type="dxa"/>
            <w:tcBorders>
              <w:top w:val="nil"/>
              <w:left w:val="nil"/>
              <w:bottom w:val="nil"/>
              <w:right w:val="nil"/>
            </w:tcBorders>
            <w:noWrap/>
            <w:vAlign w:val="center"/>
          </w:tcPr>
          <w:p w:rsidR="000865BF" w:rsidRDefault="000865BF">
            <w:pPr>
              <w:jc w:val="center"/>
              <w:rPr>
                <w:rFonts w:ascii="宋体" w:cs="宋体"/>
                <w:color w:val="000000"/>
                <w:sz w:val="16"/>
                <w:szCs w:val="16"/>
              </w:rPr>
            </w:pPr>
            <w:r w:rsidRPr="0091641A">
              <w:rPr>
                <w:rFonts w:hint="eastAsia"/>
                <w:color w:val="000000"/>
                <w:sz w:val="16"/>
                <w:szCs w:val="16"/>
              </w:rPr>
              <w:t>国联安保本</w:t>
            </w:r>
          </w:p>
        </w:tc>
        <w:tc>
          <w:tcPr>
            <w:tcW w:w="1289"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2.28</w:t>
            </w:r>
          </w:p>
        </w:tc>
        <w:tc>
          <w:tcPr>
            <w:tcW w:w="671"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3</w:t>
            </w:r>
          </w:p>
        </w:tc>
      </w:tr>
      <w:tr w:rsidR="000865BF" w:rsidRPr="0091641A" w:rsidTr="003072DB">
        <w:trPr>
          <w:trHeight w:val="262"/>
        </w:trPr>
        <w:tc>
          <w:tcPr>
            <w:tcW w:w="1289"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720003</w:t>
            </w:r>
          </w:p>
        </w:tc>
        <w:tc>
          <w:tcPr>
            <w:tcW w:w="2765" w:type="dxa"/>
            <w:tcBorders>
              <w:top w:val="nil"/>
              <w:left w:val="nil"/>
              <w:bottom w:val="nil"/>
              <w:right w:val="nil"/>
            </w:tcBorders>
            <w:noWrap/>
            <w:vAlign w:val="center"/>
          </w:tcPr>
          <w:p w:rsidR="000865BF" w:rsidRDefault="000865BF">
            <w:pPr>
              <w:jc w:val="center"/>
              <w:rPr>
                <w:rFonts w:ascii="宋体" w:cs="宋体"/>
                <w:color w:val="000000"/>
                <w:sz w:val="16"/>
                <w:szCs w:val="16"/>
              </w:rPr>
            </w:pPr>
            <w:r w:rsidRPr="0091641A">
              <w:rPr>
                <w:rFonts w:hint="eastAsia"/>
                <w:color w:val="000000"/>
                <w:sz w:val="16"/>
                <w:szCs w:val="16"/>
              </w:rPr>
              <w:t>财通保本</w:t>
            </w:r>
          </w:p>
        </w:tc>
        <w:tc>
          <w:tcPr>
            <w:tcW w:w="1289"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2.19</w:t>
            </w:r>
          </w:p>
        </w:tc>
        <w:tc>
          <w:tcPr>
            <w:tcW w:w="671"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4</w:t>
            </w:r>
          </w:p>
        </w:tc>
      </w:tr>
      <w:tr w:rsidR="000865BF" w:rsidRPr="0091641A" w:rsidTr="003072DB">
        <w:trPr>
          <w:trHeight w:val="276"/>
        </w:trPr>
        <w:tc>
          <w:tcPr>
            <w:tcW w:w="1289" w:type="dxa"/>
            <w:tcBorders>
              <w:top w:val="nil"/>
              <w:left w:val="nil"/>
              <w:bottom w:val="single" w:sz="8" w:space="0" w:color="E46D0A"/>
              <w:right w:val="nil"/>
            </w:tcBorders>
            <w:noWrap/>
            <w:vAlign w:val="center"/>
          </w:tcPr>
          <w:p w:rsidR="000865BF" w:rsidRDefault="000865BF">
            <w:pPr>
              <w:jc w:val="center"/>
              <w:rPr>
                <w:rFonts w:cs="宋体"/>
                <w:color w:val="000000"/>
                <w:sz w:val="16"/>
                <w:szCs w:val="16"/>
              </w:rPr>
            </w:pPr>
            <w:r w:rsidRPr="0091641A">
              <w:rPr>
                <w:color w:val="000000"/>
                <w:sz w:val="16"/>
                <w:szCs w:val="16"/>
              </w:rPr>
              <w:t>610</w:t>
            </w:r>
          </w:p>
        </w:tc>
        <w:tc>
          <w:tcPr>
            <w:tcW w:w="2765" w:type="dxa"/>
            <w:tcBorders>
              <w:top w:val="nil"/>
              <w:left w:val="nil"/>
              <w:bottom w:val="single" w:sz="8" w:space="0" w:color="E46D0A"/>
              <w:right w:val="nil"/>
            </w:tcBorders>
            <w:noWrap/>
            <w:vAlign w:val="center"/>
          </w:tcPr>
          <w:p w:rsidR="000865BF" w:rsidRDefault="000865BF">
            <w:pPr>
              <w:jc w:val="center"/>
              <w:rPr>
                <w:rFonts w:ascii="宋体" w:cs="宋体"/>
                <w:color w:val="000000"/>
                <w:sz w:val="16"/>
                <w:szCs w:val="16"/>
              </w:rPr>
            </w:pPr>
            <w:r w:rsidRPr="0091641A">
              <w:rPr>
                <w:rFonts w:hint="eastAsia"/>
                <w:color w:val="000000"/>
                <w:sz w:val="16"/>
                <w:szCs w:val="16"/>
              </w:rPr>
              <w:t>新华阿里一号</w:t>
            </w:r>
          </w:p>
        </w:tc>
        <w:tc>
          <w:tcPr>
            <w:tcW w:w="1289" w:type="dxa"/>
            <w:tcBorders>
              <w:top w:val="nil"/>
              <w:left w:val="nil"/>
              <w:bottom w:val="single" w:sz="8" w:space="0" w:color="E46D0A"/>
              <w:right w:val="nil"/>
            </w:tcBorders>
            <w:noWrap/>
            <w:vAlign w:val="center"/>
          </w:tcPr>
          <w:p w:rsidR="000865BF" w:rsidRDefault="000865BF">
            <w:pPr>
              <w:jc w:val="center"/>
              <w:rPr>
                <w:rFonts w:cs="宋体"/>
                <w:color w:val="000000"/>
                <w:sz w:val="16"/>
                <w:szCs w:val="16"/>
              </w:rPr>
            </w:pPr>
            <w:r w:rsidRPr="0091641A">
              <w:rPr>
                <w:color w:val="000000"/>
                <w:sz w:val="16"/>
                <w:szCs w:val="16"/>
              </w:rPr>
              <w:t>2.05</w:t>
            </w:r>
          </w:p>
        </w:tc>
        <w:tc>
          <w:tcPr>
            <w:tcW w:w="671" w:type="dxa"/>
            <w:tcBorders>
              <w:top w:val="nil"/>
              <w:left w:val="nil"/>
              <w:bottom w:val="single" w:sz="8" w:space="0" w:color="E46D0A"/>
              <w:right w:val="nil"/>
            </w:tcBorders>
            <w:noWrap/>
            <w:vAlign w:val="center"/>
          </w:tcPr>
          <w:p w:rsidR="000865BF" w:rsidRDefault="000865BF">
            <w:pPr>
              <w:jc w:val="center"/>
              <w:rPr>
                <w:rFonts w:cs="宋体"/>
                <w:color w:val="000000"/>
                <w:sz w:val="16"/>
                <w:szCs w:val="16"/>
              </w:rPr>
            </w:pPr>
            <w:r w:rsidRPr="0091641A">
              <w:rPr>
                <w:color w:val="000000"/>
                <w:sz w:val="16"/>
                <w:szCs w:val="16"/>
              </w:rPr>
              <w:t>5</w:t>
            </w:r>
          </w:p>
        </w:tc>
      </w:tr>
      <w:tr w:rsidR="000865BF" w:rsidRPr="0091641A" w:rsidTr="003072DB">
        <w:trPr>
          <w:trHeight w:val="276"/>
        </w:trPr>
        <w:tc>
          <w:tcPr>
            <w:tcW w:w="4054" w:type="dxa"/>
            <w:gridSpan w:val="2"/>
            <w:tcBorders>
              <w:top w:val="single" w:sz="8" w:space="0" w:color="E46D0A"/>
              <w:left w:val="nil"/>
              <w:bottom w:val="single" w:sz="8" w:space="0" w:color="E46D0A"/>
              <w:right w:val="nil"/>
            </w:tcBorders>
            <w:noWrap/>
            <w:vAlign w:val="center"/>
          </w:tcPr>
          <w:p w:rsidR="000865BF" w:rsidRPr="003072DB" w:rsidRDefault="000865BF"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来源：凯石财富工场</w:t>
            </w:r>
          </w:p>
        </w:tc>
        <w:tc>
          <w:tcPr>
            <w:tcW w:w="1289" w:type="dxa"/>
            <w:tcBorders>
              <w:top w:val="nil"/>
              <w:left w:val="nil"/>
              <w:bottom w:val="single" w:sz="8" w:space="0" w:color="E46D0A"/>
              <w:right w:val="nil"/>
            </w:tcBorders>
            <w:noWrap/>
            <w:vAlign w:val="bottom"/>
          </w:tcPr>
          <w:p w:rsidR="000865BF" w:rsidRPr="003072DB" w:rsidRDefault="000865BF"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 xml:space="preserve">　</w:t>
            </w:r>
          </w:p>
        </w:tc>
        <w:tc>
          <w:tcPr>
            <w:tcW w:w="671" w:type="dxa"/>
            <w:tcBorders>
              <w:top w:val="nil"/>
              <w:left w:val="nil"/>
              <w:bottom w:val="single" w:sz="8" w:space="0" w:color="E46D0A"/>
              <w:right w:val="nil"/>
            </w:tcBorders>
            <w:noWrap/>
            <w:vAlign w:val="bottom"/>
          </w:tcPr>
          <w:p w:rsidR="000865BF" w:rsidRPr="003072DB" w:rsidRDefault="000865BF"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 xml:space="preserve">　</w:t>
            </w:r>
          </w:p>
        </w:tc>
      </w:tr>
    </w:tbl>
    <w:p w:rsidR="000865BF" w:rsidRDefault="000865BF" w:rsidP="003072DB">
      <w:pPr>
        <w:pStyle w:val="BodyText"/>
        <w:spacing w:after="163"/>
        <w:ind w:left="3799"/>
        <w:rPr>
          <w:color w:val="auto"/>
        </w:rPr>
      </w:pPr>
    </w:p>
    <w:p w:rsidR="000865BF" w:rsidRDefault="000865BF" w:rsidP="00DD7991">
      <w:pPr>
        <w:widowControl/>
        <w:spacing w:after="120" w:line="240" w:lineRule="exact"/>
        <w:ind w:left="3430"/>
        <w:rPr>
          <w:rFonts w:ascii="Arial" w:eastAsia="KaiTi_GB2312" w:hAnsi="Arial"/>
          <w:b/>
          <w:bCs/>
          <w:color w:val="0070C0"/>
          <w:kern w:val="0"/>
          <w:szCs w:val="21"/>
          <w:lang w:val="en-GB"/>
        </w:rPr>
      </w:pPr>
      <w:r w:rsidRPr="00EC0E7D">
        <w:rPr>
          <w:rFonts w:ascii="Arial" w:eastAsia="KaiTi_GB2312" w:hAnsi="Arial"/>
          <w:b/>
          <w:bCs/>
          <w:color w:val="0070C0"/>
          <w:kern w:val="0"/>
          <w:szCs w:val="21"/>
          <w:lang w:val="en-GB"/>
        </w:rPr>
        <w:t xml:space="preserve"> QDII</w:t>
      </w:r>
      <w:r w:rsidRPr="00EC0E7D">
        <w:rPr>
          <w:rFonts w:ascii="Arial" w:eastAsia="KaiTi_GB2312" w:hAnsi="Arial" w:hint="eastAsia"/>
          <w:b/>
          <w:bCs/>
          <w:color w:val="0070C0"/>
          <w:kern w:val="0"/>
          <w:szCs w:val="21"/>
          <w:lang w:val="en-GB"/>
        </w:rPr>
        <w:t>基金：</w:t>
      </w:r>
      <w:r>
        <w:rPr>
          <w:rFonts w:ascii="Arial" w:eastAsia="KaiTi_GB2312" w:hAnsi="Arial" w:hint="eastAsia"/>
          <w:b/>
          <w:bCs/>
          <w:color w:val="0070C0"/>
          <w:kern w:val="0"/>
          <w:szCs w:val="21"/>
          <w:lang w:val="en-GB"/>
        </w:rPr>
        <w:t>美股</w:t>
      </w:r>
      <w:r>
        <w:rPr>
          <w:rFonts w:ascii="Arial" w:eastAsia="KaiTi_GB2312" w:hAnsi="Arial"/>
          <w:b/>
          <w:bCs/>
          <w:color w:val="0070C0"/>
          <w:kern w:val="0"/>
          <w:szCs w:val="21"/>
          <w:lang w:val="en-GB"/>
        </w:rPr>
        <w:t>QDII</w:t>
      </w:r>
      <w:r>
        <w:rPr>
          <w:rFonts w:ascii="Arial" w:eastAsia="KaiTi_GB2312" w:hAnsi="Arial" w:hint="eastAsia"/>
          <w:b/>
          <w:bCs/>
          <w:color w:val="0070C0"/>
          <w:kern w:val="0"/>
          <w:szCs w:val="21"/>
          <w:lang w:val="en-GB"/>
        </w:rPr>
        <w:t>涨势喜人，地产、油气主题表现活跃</w:t>
      </w:r>
    </w:p>
    <w:p w:rsidR="000865BF" w:rsidRDefault="000865BF" w:rsidP="00D514AF">
      <w:pPr>
        <w:pStyle w:val="BodyText"/>
        <w:numPr>
          <w:ilvl w:val="4"/>
          <w:numId w:val="1"/>
        </w:numPr>
        <w:spacing w:after="163"/>
        <w:rPr>
          <w:color w:val="auto"/>
        </w:rPr>
      </w:pPr>
      <w:r>
        <w:rPr>
          <w:color w:val="auto"/>
        </w:rPr>
        <w:t>8</w:t>
      </w:r>
      <w:r w:rsidRPr="008C3184">
        <w:rPr>
          <w:rFonts w:hint="eastAsia"/>
          <w:color w:val="auto"/>
        </w:rPr>
        <w:t>月</w:t>
      </w:r>
      <w:r>
        <w:rPr>
          <w:rFonts w:hint="eastAsia"/>
          <w:color w:val="auto"/>
        </w:rPr>
        <w:t>美国股指强势走高</w:t>
      </w:r>
      <w:r w:rsidRPr="008C3184">
        <w:rPr>
          <w:rFonts w:hint="eastAsia"/>
          <w:color w:val="auto"/>
        </w:rPr>
        <w:t>，美国三大股指道指、纳指与标普</w:t>
      </w:r>
      <w:r w:rsidRPr="008C3184">
        <w:rPr>
          <w:color w:val="auto"/>
        </w:rPr>
        <w:t>500</w:t>
      </w:r>
      <w:r w:rsidRPr="008C3184">
        <w:rPr>
          <w:rFonts w:hint="eastAsia"/>
          <w:color w:val="auto"/>
        </w:rPr>
        <w:t>分别</w:t>
      </w:r>
      <w:r>
        <w:rPr>
          <w:rFonts w:hint="eastAsia"/>
          <w:color w:val="auto"/>
        </w:rPr>
        <w:t>上涨</w:t>
      </w:r>
      <w:r>
        <w:rPr>
          <w:color w:val="auto"/>
        </w:rPr>
        <w:t>3.23</w:t>
      </w:r>
      <w:r w:rsidRPr="008C3184">
        <w:rPr>
          <w:color w:val="auto"/>
        </w:rPr>
        <w:t>%</w:t>
      </w:r>
      <w:r w:rsidRPr="008C3184">
        <w:rPr>
          <w:rFonts w:hint="eastAsia"/>
          <w:color w:val="auto"/>
        </w:rPr>
        <w:t>、</w:t>
      </w:r>
      <w:r>
        <w:rPr>
          <w:color w:val="auto"/>
        </w:rPr>
        <w:t>4.82</w:t>
      </w:r>
      <w:r w:rsidRPr="008C3184">
        <w:rPr>
          <w:color w:val="auto"/>
        </w:rPr>
        <w:t>%</w:t>
      </w:r>
      <w:r w:rsidRPr="008C3184">
        <w:rPr>
          <w:rFonts w:hint="eastAsia"/>
          <w:color w:val="auto"/>
        </w:rPr>
        <w:t>和</w:t>
      </w:r>
      <w:r>
        <w:rPr>
          <w:color w:val="auto"/>
        </w:rPr>
        <w:t>3.77</w:t>
      </w:r>
      <w:r w:rsidRPr="008C3184">
        <w:rPr>
          <w:color w:val="auto"/>
        </w:rPr>
        <w:t>%</w:t>
      </w:r>
      <w:r w:rsidRPr="008C3184">
        <w:rPr>
          <w:rFonts w:hint="eastAsia"/>
          <w:color w:val="auto"/>
        </w:rPr>
        <w:t>，欧洲</w:t>
      </w:r>
      <w:r>
        <w:rPr>
          <w:rFonts w:hint="eastAsia"/>
          <w:color w:val="auto"/>
        </w:rPr>
        <w:t>市场回暖</w:t>
      </w:r>
      <w:r w:rsidRPr="008C3184">
        <w:rPr>
          <w:rFonts w:hint="eastAsia"/>
          <w:color w:val="auto"/>
        </w:rPr>
        <w:t>，其中德国</w:t>
      </w:r>
      <w:r w:rsidRPr="008C3184">
        <w:rPr>
          <w:color w:val="auto"/>
        </w:rPr>
        <w:t>DAX</w:t>
      </w:r>
      <w:r w:rsidRPr="008C3184">
        <w:rPr>
          <w:rFonts w:hint="eastAsia"/>
          <w:color w:val="auto"/>
        </w:rPr>
        <w:t>、法国</w:t>
      </w:r>
      <w:r w:rsidRPr="008C3184">
        <w:rPr>
          <w:color w:val="auto"/>
        </w:rPr>
        <w:t>CAC40</w:t>
      </w:r>
      <w:r>
        <w:rPr>
          <w:rFonts w:hint="eastAsia"/>
          <w:color w:val="auto"/>
        </w:rPr>
        <w:t>与</w:t>
      </w:r>
      <w:r w:rsidRPr="008C3184">
        <w:rPr>
          <w:rFonts w:hint="eastAsia"/>
          <w:color w:val="auto"/>
        </w:rPr>
        <w:t>英国伦敦金融时报指数</w:t>
      </w:r>
      <w:r>
        <w:rPr>
          <w:rFonts w:hint="eastAsia"/>
          <w:color w:val="auto"/>
        </w:rPr>
        <w:t>分别上涨</w:t>
      </w:r>
      <w:r>
        <w:rPr>
          <w:color w:val="auto"/>
        </w:rPr>
        <w:t>0.67%</w:t>
      </w:r>
      <w:r>
        <w:rPr>
          <w:rFonts w:hint="eastAsia"/>
          <w:color w:val="auto"/>
        </w:rPr>
        <w:t>、</w:t>
      </w:r>
      <w:r>
        <w:rPr>
          <w:color w:val="auto"/>
        </w:rPr>
        <w:t>3.18%</w:t>
      </w:r>
      <w:r>
        <w:rPr>
          <w:rFonts w:hint="eastAsia"/>
          <w:color w:val="auto"/>
        </w:rPr>
        <w:t>与</w:t>
      </w:r>
      <w:r>
        <w:rPr>
          <w:color w:val="auto"/>
        </w:rPr>
        <w:t>1.33%</w:t>
      </w:r>
      <w:r>
        <w:rPr>
          <w:rFonts w:hint="eastAsia"/>
          <w:color w:val="auto"/>
        </w:rPr>
        <w:t>。与此同时，亚太市场表现疲软</w:t>
      </w:r>
      <w:r w:rsidRPr="008C3184">
        <w:rPr>
          <w:rFonts w:hint="eastAsia"/>
          <w:color w:val="auto"/>
        </w:rPr>
        <w:t>香港、日本、韩国等</w:t>
      </w:r>
      <w:r>
        <w:rPr>
          <w:rFonts w:hint="eastAsia"/>
          <w:color w:val="auto"/>
        </w:rPr>
        <w:t>主要股指震荡收跌</w:t>
      </w:r>
      <w:r w:rsidRPr="008C3184">
        <w:rPr>
          <w:rFonts w:hint="eastAsia"/>
          <w:color w:val="auto"/>
        </w:rPr>
        <w:t>。</w:t>
      </w:r>
    </w:p>
    <w:p w:rsidR="000865BF" w:rsidRDefault="000865BF" w:rsidP="00D514AF">
      <w:pPr>
        <w:pStyle w:val="BodyText"/>
        <w:numPr>
          <w:ilvl w:val="4"/>
          <w:numId w:val="1"/>
        </w:numPr>
        <w:spacing w:after="163"/>
        <w:rPr>
          <w:color w:val="auto"/>
        </w:rPr>
      </w:pPr>
      <w:r w:rsidRPr="008C3184">
        <w:rPr>
          <w:color w:val="auto"/>
        </w:rPr>
        <w:t>7</w:t>
      </w:r>
      <w:r w:rsidRPr="008C3184">
        <w:rPr>
          <w:rFonts w:hint="eastAsia"/>
          <w:color w:val="auto"/>
        </w:rPr>
        <w:t>月</w:t>
      </w:r>
      <w:r w:rsidRPr="008C3184">
        <w:rPr>
          <w:color w:val="auto"/>
        </w:rPr>
        <w:t>85</w:t>
      </w:r>
      <w:r w:rsidRPr="008C3184">
        <w:rPr>
          <w:rFonts w:hint="eastAsia"/>
          <w:color w:val="auto"/>
        </w:rPr>
        <w:t>只</w:t>
      </w:r>
      <w:r w:rsidRPr="008C3184">
        <w:rPr>
          <w:color w:val="auto"/>
        </w:rPr>
        <w:t>QDII</w:t>
      </w:r>
      <w:r w:rsidRPr="008C3184">
        <w:rPr>
          <w:rFonts w:hint="eastAsia"/>
          <w:color w:val="auto"/>
        </w:rPr>
        <w:t>基金</w:t>
      </w:r>
      <w:r>
        <w:rPr>
          <w:rFonts w:hint="eastAsia"/>
          <w:color w:val="auto"/>
        </w:rPr>
        <w:t>涨多跌少</w:t>
      </w:r>
      <w:r w:rsidRPr="008C3184">
        <w:rPr>
          <w:rFonts w:hint="eastAsia"/>
          <w:color w:val="auto"/>
        </w:rPr>
        <w:t>，净值简单平均上涨</w:t>
      </w:r>
      <w:r>
        <w:rPr>
          <w:color w:val="auto"/>
        </w:rPr>
        <w:t>1.39</w:t>
      </w:r>
      <w:r w:rsidRPr="008C3184">
        <w:rPr>
          <w:color w:val="auto"/>
        </w:rPr>
        <w:t>%</w:t>
      </w:r>
      <w:r w:rsidRPr="008C3184">
        <w:rPr>
          <w:rFonts w:hint="eastAsia"/>
          <w:color w:val="auto"/>
        </w:rPr>
        <w:t>。其中</w:t>
      </w:r>
      <w:r>
        <w:rPr>
          <w:rFonts w:hint="eastAsia"/>
          <w:color w:val="auto"/>
        </w:rPr>
        <w:t>以美股为主要投向的</w:t>
      </w:r>
      <w:r>
        <w:rPr>
          <w:color w:val="auto"/>
        </w:rPr>
        <w:t>QDII</w:t>
      </w:r>
      <w:r>
        <w:rPr>
          <w:rFonts w:hint="eastAsia"/>
          <w:color w:val="auto"/>
        </w:rPr>
        <w:t>产品表现较佳</w:t>
      </w:r>
      <w:r>
        <w:rPr>
          <w:color w:val="auto"/>
        </w:rPr>
        <w:t>,</w:t>
      </w:r>
      <w:r>
        <w:rPr>
          <w:rFonts w:hint="eastAsia"/>
          <w:color w:val="auto"/>
        </w:rPr>
        <w:t>其中尤以跟踪纳斯达克</w:t>
      </w:r>
      <w:r>
        <w:rPr>
          <w:color w:val="auto"/>
        </w:rPr>
        <w:t>100</w:t>
      </w:r>
      <w:r>
        <w:rPr>
          <w:rFonts w:hint="eastAsia"/>
          <w:color w:val="auto"/>
        </w:rPr>
        <w:t>、标普</w:t>
      </w:r>
      <w:r>
        <w:rPr>
          <w:color w:val="auto"/>
        </w:rPr>
        <w:t>500</w:t>
      </w:r>
      <w:r>
        <w:rPr>
          <w:rFonts w:hint="eastAsia"/>
          <w:color w:val="auto"/>
        </w:rPr>
        <w:t>的被动型产品表现突出。此外房地产及油气主题表现活跃，国泰美国房地产、华宝油气月收益双双跻身涨幅榜前</w:t>
      </w:r>
      <w:r>
        <w:rPr>
          <w:color w:val="auto"/>
        </w:rPr>
        <w:t>5</w:t>
      </w:r>
      <w:r>
        <w:rPr>
          <w:rFonts w:hint="eastAsia"/>
          <w:color w:val="auto"/>
        </w:rPr>
        <w:t>。而以香港为</w:t>
      </w:r>
      <w:r w:rsidRPr="008C3184">
        <w:rPr>
          <w:rFonts w:hint="eastAsia"/>
          <w:color w:val="auto"/>
        </w:rPr>
        <w:t>主投地区</w:t>
      </w:r>
      <w:r>
        <w:rPr>
          <w:rFonts w:hint="eastAsia"/>
          <w:color w:val="auto"/>
        </w:rPr>
        <w:t>的</w:t>
      </w:r>
      <w:r>
        <w:rPr>
          <w:color w:val="auto"/>
        </w:rPr>
        <w:t>QDII</w:t>
      </w:r>
      <w:r>
        <w:rPr>
          <w:rFonts w:hint="eastAsia"/>
          <w:color w:val="auto"/>
        </w:rPr>
        <w:t>产品整体表现不佳。</w:t>
      </w:r>
    </w:p>
    <w:tbl>
      <w:tblPr>
        <w:tblpPr w:leftFromText="180" w:rightFromText="180" w:vertAnchor="text" w:horzAnchor="page" w:tblpX="4213" w:tblpY="64"/>
        <w:tblW w:w="6215" w:type="dxa"/>
        <w:tblLook w:val="00A0"/>
      </w:tblPr>
      <w:tblGrid>
        <w:gridCol w:w="882"/>
        <w:gridCol w:w="3484"/>
        <w:gridCol w:w="1216"/>
        <w:gridCol w:w="633"/>
      </w:tblGrid>
      <w:tr w:rsidR="000865BF" w:rsidRPr="0091641A" w:rsidTr="003072DB">
        <w:trPr>
          <w:trHeight w:val="283"/>
        </w:trPr>
        <w:tc>
          <w:tcPr>
            <w:tcW w:w="4366" w:type="dxa"/>
            <w:gridSpan w:val="2"/>
            <w:tcBorders>
              <w:top w:val="single" w:sz="8" w:space="0" w:color="E46D0A"/>
              <w:left w:val="nil"/>
              <w:bottom w:val="single" w:sz="8" w:space="0" w:color="E46D0A"/>
              <w:right w:val="nil"/>
            </w:tcBorders>
            <w:noWrap/>
            <w:vAlign w:val="center"/>
          </w:tcPr>
          <w:p w:rsidR="000865BF" w:rsidRPr="003072DB" w:rsidRDefault="000865BF" w:rsidP="003072DB">
            <w:pPr>
              <w:widowControl/>
              <w:jc w:val="left"/>
              <w:rPr>
                <w:rFonts w:ascii="宋体" w:cs="宋体"/>
                <w:b/>
                <w:i/>
                <w:iCs/>
                <w:color w:val="E36C0A"/>
                <w:kern w:val="0"/>
                <w:sz w:val="20"/>
                <w:szCs w:val="20"/>
              </w:rPr>
            </w:pPr>
            <w:r w:rsidRPr="003072DB">
              <w:rPr>
                <w:rFonts w:ascii="宋体" w:hAnsi="宋体" w:cs="宋体" w:hint="eastAsia"/>
                <w:b/>
                <w:i/>
                <w:iCs/>
                <w:color w:val="E36C0A"/>
                <w:kern w:val="0"/>
                <w:sz w:val="20"/>
                <w:szCs w:val="20"/>
              </w:rPr>
              <w:t>图表</w:t>
            </w:r>
            <w:r w:rsidRPr="003072DB">
              <w:rPr>
                <w:rFonts w:ascii="宋体" w:hAnsi="宋体" w:cs="宋体"/>
                <w:b/>
                <w:i/>
                <w:iCs/>
                <w:color w:val="E36C0A"/>
                <w:kern w:val="0"/>
                <w:sz w:val="20"/>
                <w:szCs w:val="20"/>
              </w:rPr>
              <w:t>6:2014</w:t>
            </w:r>
            <w:r>
              <w:rPr>
                <w:rFonts w:ascii="宋体" w:hAnsi="宋体" w:cs="宋体" w:hint="eastAsia"/>
                <w:b/>
                <w:i/>
                <w:iCs/>
                <w:color w:val="E36C0A"/>
                <w:kern w:val="0"/>
                <w:sz w:val="20"/>
                <w:szCs w:val="20"/>
              </w:rPr>
              <w:t>年</w:t>
            </w:r>
            <w:r>
              <w:rPr>
                <w:rFonts w:ascii="宋体" w:hAnsi="宋体" w:cs="宋体"/>
                <w:b/>
                <w:i/>
                <w:iCs/>
                <w:color w:val="E36C0A"/>
                <w:kern w:val="0"/>
                <w:sz w:val="20"/>
                <w:szCs w:val="20"/>
              </w:rPr>
              <w:t>8</w:t>
            </w:r>
            <w:r>
              <w:rPr>
                <w:rFonts w:ascii="宋体" w:hAnsi="宋体" w:cs="宋体" w:hint="eastAsia"/>
                <w:b/>
                <w:i/>
                <w:iCs/>
                <w:color w:val="E36C0A"/>
                <w:kern w:val="0"/>
                <w:sz w:val="20"/>
                <w:szCs w:val="20"/>
              </w:rPr>
              <w:t>月</w:t>
            </w:r>
            <w:r w:rsidRPr="003072DB">
              <w:rPr>
                <w:rFonts w:ascii="宋体" w:hAnsi="宋体" w:cs="宋体"/>
                <w:b/>
                <w:i/>
                <w:iCs/>
                <w:color w:val="E36C0A"/>
                <w:kern w:val="0"/>
                <w:sz w:val="20"/>
                <w:szCs w:val="20"/>
              </w:rPr>
              <w:t>QDII</w:t>
            </w:r>
            <w:r w:rsidRPr="003072DB">
              <w:rPr>
                <w:rFonts w:ascii="宋体" w:hAnsi="宋体" w:cs="宋体" w:hint="eastAsia"/>
                <w:b/>
                <w:i/>
                <w:iCs/>
                <w:color w:val="E36C0A"/>
                <w:kern w:val="0"/>
                <w:sz w:val="20"/>
                <w:szCs w:val="20"/>
              </w:rPr>
              <w:t>产品前</w:t>
            </w:r>
            <w:r>
              <w:rPr>
                <w:rFonts w:ascii="宋体" w:hAnsi="宋体" w:cs="宋体" w:hint="eastAsia"/>
                <w:b/>
                <w:i/>
                <w:iCs/>
                <w:color w:val="E36C0A"/>
                <w:kern w:val="0"/>
                <w:sz w:val="20"/>
                <w:szCs w:val="20"/>
              </w:rPr>
              <w:t>五</w:t>
            </w:r>
          </w:p>
        </w:tc>
        <w:tc>
          <w:tcPr>
            <w:tcW w:w="1216" w:type="dxa"/>
            <w:tcBorders>
              <w:top w:val="single" w:sz="8" w:space="0" w:color="E46D0A"/>
              <w:left w:val="nil"/>
              <w:bottom w:val="single" w:sz="8" w:space="0" w:color="E46D0A"/>
              <w:right w:val="nil"/>
            </w:tcBorders>
            <w:noWrap/>
            <w:vAlign w:val="bottom"/>
          </w:tcPr>
          <w:p w:rsidR="000865BF" w:rsidRPr="003072DB" w:rsidRDefault="000865BF" w:rsidP="003072DB">
            <w:pPr>
              <w:widowControl/>
              <w:jc w:val="left"/>
              <w:rPr>
                <w:rFonts w:ascii="宋体" w:cs="宋体"/>
                <w:color w:val="000000"/>
                <w:kern w:val="0"/>
                <w:sz w:val="22"/>
              </w:rPr>
            </w:pPr>
            <w:r w:rsidRPr="003072DB">
              <w:rPr>
                <w:rFonts w:ascii="宋体" w:hAnsi="宋体" w:cs="宋体" w:hint="eastAsia"/>
                <w:color w:val="000000"/>
                <w:kern w:val="0"/>
                <w:sz w:val="22"/>
              </w:rPr>
              <w:t xml:space="preserve">　</w:t>
            </w:r>
          </w:p>
        </w:tc>
        <w:tc>
          <w:tcPr>
            <w:tcW w:w="633" w:type="dxa"/>
            <w:tcBorders>
              <w:top w:val="single" w:sz="8" w:space="0" w:color="E46D0A"/>
              <w:left w:val="nil"/>
              <w:bottom w:val="single" w:sz="8" w:space="0" w:color="E46D0A"/>
              <w:right w:val="nil"/>
            </w:tcBorders>
            <w:noWrap/>
            <w:vAlign w:val="bottom"/>
          </w:tcPr>
          <w:p w:rsidR="000865BF" w:rsidRPr="003072DB" w:rsidRDefault="000865BF" w:rsidP="003072DB">
            <w:pPr>
              <w:widowControl/>
              <w:jc w:val="left"/>
              <w:rPr>
                <w:rFonts w:ascii="宋体" w:cs="宋体"/>
                <w:color w:val="000000"/>
                <w:kern w:val="0"/>
                <w:sz w:val="22"/>
              </w:rPr>
            </w:pPr>
            <w:r w:rsidRPr="003072DB">
              <w:rPr>
                <w:rFonts w:ascii="宋体" w:hAnsi="宋体" w:cs="宋体" w:hint="eastAsia"/>
                <w:color w:val="000000"/>
                <w:kern w:val="0"/>
                <w:sz w:val="22"/>
              </w:rPr>
              <w:t xml:space="preserve">　</w:t>
            </w:r>
          </w:p>
        </w:tc>
      </w:tr>
      <w:tr w:rsidR="000865BF" w:rsidRPr="0091641A" w:rsidTr="003072DB">
        <w:trPr>
          <w:trHeight w:val="432"/>
        </w:trPr>
        <w:tc>
          <w:tcPr>
            <w:tcW w:w="882"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市场代码</w:t>
            </w:r>
          </w:p>
        </w:tc>
        <w:tc>
          <w:tcPr>
            <w:tcW w:w="3484"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基金名称</w:t>
            </w:r>
          </w:p>
        </w:tc>
        <w:tc>
          <w:tcPr>
            <w:tcW w:w="1216" w:type="dxa"/>
            <w:tcBorders>
              <w:top w:val="nil"/>
              <w:left w:val="nil"/>
              <w:bottom w:val="single" w:sz="8" w:space="0" w:color="E46D0A"/>
              <w:right w:val="nil"/>
            </w:tcBorders>
            <w:vAlign w:val="center"/>
          </w:tcPr>
          <w:p w:rsidR="000865BF" w:rsidRPr="003072DB" w:rsidRDefault="000865BF" w:rsidP="003072DB">
            <w:pPr>
              <w:widowControl/>
              <w:jc w:val="center"/>
              <w:rPr>
                <w:rFonts w:ascii="宋体" w:cs="宋体"/>
                <w:color w:val="000000"/>
                <w:kern w:val="0"/>
                <w:sz w:val="16"/>
                <w:szCs w:val="16"/>
              </w:rPr>
            </w:pPr>
            <w:r>
              <w:rPr>
                <w:rFonts w:ascii="宋体" w:hAnsi="宋体" w:cs="宋体"/>
                <w:color w:val="000000"/>
                <w:kern w:val="0"/>
                <w:sz w:val="16"/>
                <w:szCs w:val="16"/>
              </w:rPr>
              <w:t>8</w:t>
            </w:r>
            <w:r>
              <w:rPr>
                <w:rFonts w:ascii="宋体" w:hAnsi="宋体" w:cs="宋体" w:hint="eastAsia"/>
                <w:color w:val="000000"/>
                <w:kern w:val="0"/>
                <w:sz w:val="16"/>
                <w:szCs w:val="16"/>
              </w:rPr>
              <w:t>月</w:t>
            </w:r>
            <w:r w:rsidRPr="003072DB">
              <w:rPr>
                <w:rFonts w:ascii="宋体" w:hAnsi="宋体" w:cs="宋体" w:hint="eastAsia"/>
                <w:color w:val="000000"/>
                <w:kern w:val="0"/>
                <w:sz w:val="16"/>
                <w:szCs w:val="16"/>
              </w:rPr>
              <w:t>业绩（</w:t>
            </w:r>
            <w:r w:rsidRPr="003072DB">
              <w:rPr>
                <w:rFonts w:ascii="宋体" w:hAnsi="宋体" w:cs="宋体"/>
                <w:color w:val="000000"/>
                <w:kern w:val="0"/>
                <w:sz w:val="16"/>
                <w:szCs w:val="16"/>
              </w:rPr>
              <w:t>%</w:t>
            </w:r>
            <w:r w:rsidRPr="003072DB">
              <w:rPr>
                <w:rFonts w:ascii="宋体" w:hAnsi="宋体" w:cs="宋体" w:hint="eastAsia"/>
                <w:color w:val="000000"/>
                <w:kern w:val="0"/>
                <w:sz w:val="16"/>
                <w:szCs w:val="16"/>
              </w:rPr>
              <w:t>）</w:t>
            </w:r>
          </w:p>
        </w:tc>
        <w:tc>
          <w:tcPr>
            <w:tcW w:w="633" w:type="dxa"/>
            <w:tcBorders>
              <w:top w:val="nil"/>
              <w:left w:val="nil"/>
              <w:bottom w:val="single" w:sz="8" w:space="0" w:color="E46D0A"/>
              <w:right w:val="nil"/>
            </w:tcBorders>
            <w:noWrap/>
            <w:vAlign w:val="center"/>
          </w:tcPr>
          <w:p w:rsidR="000865BF" w:rsidRPr="003072DB" w:rsidRDefault="000865BF"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排名</w:t>
            </w:r>
          </w:p>
        </w:tc>
      </w:tr>
      <w:tr w:rsidR="000865BF" w:rsidRPr="0091641A" w:rsidTr="003072DB">
        <w:trPr>
          <w:trHeight w:val="268"/>
        </w:trPr>
        <w:tc>
          <w:tcPr>
            <w:tcW w:w="882"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193</w:t>
            </w:r>
          </w:p>
        </w:tc>
        <w:tc>
          <w:tcPr>
            <w:tcW w:w="3484" w:type="dxa"/>
            <w:tcBorders>
              <w:top w:val="nil"/>
              <w:left w:val="nil"/>
              <w:bottom w:val="nil"/>
              <w:right w:val="nil"/>
            </w:tcBorders>
            <w:noWrap/>
            <w:vAlign w:val="center"/>
          </w:tcPr>
          <w:p w:rsidR="000865BF" w:rsidRDefault="000865BF">
            <w:pPr>
              <w:jc w:val="center"/>
              <w:rPr>
                <w:rFonts w:ascii="宋体" w:cs="宋体"/>
                <w:color w:val="000000"/>
                <w:sz w:val="16"/>
                <w:szCs w:val="16"/>
              </w:rPr>
            </w:pPr>
            <w:r w:rsidRPr="0091641A">
              <w:rPr>
                <w:rFonts w:hint="eastAsia"/>
                <w:color w:val="000000"/>
                <w:sz w:val="16"/>
                <w:szCs w:val="16"/>
              </w:rPr>
              <w:t>国泰美国房地产</w:t>
            </w:r>
          </w:p>
        </w:tc>
        <w:tc>
          <w:tcPr>
            <w:tcW w:w="1216"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7.91</w:t>
            </w:r>
          </w:p>
        </w:tc>
        <w:tc>
          <w:tcPr>
            <w:tcW w:w="633"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1</w:t>
            </w:r>
          </w:p>
        </w:tc>
      </w:tr>
      <w:tr w:rsidR="000865BF" w:rsidRPr="0091641A" w:rsidTr="003072DB">
        <w:trPr>
          <w:trHeight w:val="268"/>
        </w:trPr>
        <w:tc>
          <w:tcPr>
            <w:tcW w:w="882"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513100</w:t>
            </w:r>
          </w:p>
        </w:tc>
        <w:tc>
          <w:tcPr>
            <w:tcW w:w="3484" w:type="dxa"/>
            <w:tcBorders>
              <w:top w:val="nil"/>
              <w:left w:val="nil"/>
              <w:bottom w:val="nil"/>
              <w:right w:val="nil"/>
            </w:tcBorders>
            <w:noWrap/>
            <w:vAlign w:val="center"/>
          </w:tcPr>
          <w:p w:rsidR="000865BF" w:rsidRDefault="000865BF">
            <w:pPr>
              <w:jc w:val="center"/>
              <w:rPr>
                <w:rFonts w:ascii="宋体" w:cs="宋体"/>
                <w:color w:val="000000"/>
                <w:sz w:val="16"/>
                <w:szCs w:val="16"/>
              </w:rPr>
            </w:pPr>
            <w:r w:rsidRPr="0091641A">
              <w:rPr>
                <w:rFonts w:hint="eastAsia"/>
                <w:color w:val="000000"/>
                <w:sz w:val="16"/>
                <w:szCs w:val="16"/>
              </w:rPr>
              <w:t>国泰纳斯达克</w:t>
            </w:r>
            <w:r w:rsidRPr="0091641A">
              <w:rPr>
                <w:color w:val="000000"/>
                <w:sz w:val="16"/>
                <w:szCs w:val="16"/>
              </w:rPr>
              <w:t>100</w:t>
            </w:r>
          </w:p>
        </w:tc>
        <w:tc>
          <w:tcPr>
            <w:tcW w:w="1216"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4.9</w:t>
            </w:r>
          </w:p>
        </w:tc>
        <w:tc>
          <w:tcPr>
            <w:tcW w:w="633"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2</w:t>
            </w:r>
          </w:p>
        </w:tc>
      </w:tr>
      <w:tr w:rsidR="000865BF" w:rsidRPr="0091641A" w:rsidTr="003072DB">
        <w:trPr>
          <w:trHeight w:val="268"/>
        </w:trPr>
        <w:tc>
          <w:tcPr>
            <w:tcW w:w="882"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162411</w:t>
            </w:r>
          </w:p>
        </w:tc>
        <w:tc>
          <w:tcPr>
            <w:tcW w:w="3484" w:type="dxa"/>
            <w:tcBorders>
              <w:top w:val="nil"/>
              <w:left w:val="nil"/>
              <w:bottom w:val="nil"/>
              <w:right w:val="nil"/>
            </w:tcBorders>
            <w:noWrap/>
            <w:vAlign w:val="center"/>
          </w:tcPr>
          <w:p w:rsidR="000865BF" w:rsidRDefault="000865BF">
            <w:pPr>
              <w:jc w:val="center"/>
              <w:rPr>
                <w:rFonts w:ascii="宋体" w:cs="宋体"/>
                <w:color w:val="000000"/>
                <w:sz w:val="16"/>
                <w:szCs w:val="16"/>
              </w:rPr>
            </w:pPr>
            <w:r w:rsidRPr="0091641A">
              <w:rPr>
                <w:rFonts w:hint="eastAsia"/>
                <w:color w:val="000000"/>
                <w:sz w:val="16"/>
                <w:szCs w:val="16"/>
              </w:rPr>
              <w:t>华宝油气</w:t>
            </w:r>
          </w:p>
        </w:tc>
        <w:tc>
          <w:tcPr>
            <w:tcW w:w="1216"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4.79</w:t>
            </w:r>
          </w:p>
        </w:tc>
        <w:tc>
          <w:tcPr>
            <w:tcW w:w="633"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3</w:t>
            </w:r>
          </w:p>
        </w:tc>
      </w:tr>
      <w:tr w:rsidR="000865BF" w:rsidRPr="0091641A" w:rsidTr="003072DB">
        <w:trPr>
          <w:trHeight w:val="268"/>
        </w:trPr>
        <w:tc>
          <w:tcPr>
            <w:tcW w:w="882"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270042</w:t>
            </w:r>
          </w:p>
        </w:tc>
        <w:tc>
          <w:tcPr>
            <w:tcW w:w="3484" w:type="dxa"/>
            <w:tcBorders>
              <w:top w:val="nil"/>
              <w:left w:val="nil"/>
              <w:bottom w:val="nil"/>
              <w:right w:val="nil"/>
            </w:tcBorders>
            <w:noWrap/>
            <w:vAlign w:val="center"/>
          </w:tcPr>
          <w:p w:rsidR="000865BF" w:rsidRDefault="000865BF">
            <w:pPr>
              <w:jc w:val="center"/>
              <w:rPr>
                <w:rFonts w:ascii="宋体" w:cs="宋体"/>
                <w:color w:val="000000"/>
                <w:sz w:val="16"/>
                <w:szCs w:val="16"/>
              </w:rPr>
            </w:pPr>
            <w:r w:rsidRPr="0091641A">
              <w:rPr>
                <w:rFonts w:hint="eastAsia"/>
                <w:color w:val="000000"/>
                <w:sz w:val="16"/>
                <w:szCs w:val="16"/>
              </w:rPr>
              <w:t>广发纳斯达克</w:t>
            </w:r>
            <w:r w:rsidRPr="0091641A">
              <w:rPr>
                <w:color w:val="000000"/>
                <w:sz w:val="16"/>
                <w:szCs w:val="16"/>
              </w:rPr>
              <w:t>100</w:t>
            </w:r>
            <w:r w:rsidRPr="0091641A">
              <w:rPr>
                <w:rFonts w:hint="eastAsia"/>
                <w:color w:val="000000"/>
                <w:sz w:val="16"/>
                <w:szCs w:val="16"/>
              </w:rPr>
              <w:t>指数</w:t>
            </w:r>
          </w:p>
        </w:tc>
        <w:tc>
          <w:tcPr>
            <w:tcW w:w="1216"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4.76</w:t>
            </w:r>
          </w:p>
        </w:tc>
        <w:tc>
          <w:tcPr>
            <w:tcW w:w="633" w:type="dxa"/>
            <w:tcBorders>
              <w:top w:val="nil"/>
              <w:left w:val="nil"/>
              <w:bottom w:val="nil"/>
              <w:right w:val="nil"/>
            </w:tcBorders>
            <w:noWrap/>
            <w:vAlign w:val="center"/>
          </w:tcPr>
          <w:p w:rsidR="000865BF" w:rsidRDefault="000865BF">
            <w:pPr>
              <w:jc w:val="center"/>
              <w:rPr>
                <w:rFonts w:cs="宋体"/>
                <w:color w:val="000000"/>
                <w:sz w:val="16"/>
                <w:szCs w:val="16"/>
              </w:rPr>
            </w:pPr>
            <w:r w:rsidRPr="0091641A">
              <w:rPr>
                <w:color w:val="000000"/>
                <w:sz w:val="16"/>
                <w:szCs w:val="16"/>
              </w:rPr>
              <w:t>4</w:t>
            </w:r>
          </w:p>
        </w:tc>
      </w:tr>
      <w:tr w:rsidR="000865BF" w:rsidRPr="0091641A" w:rsidTr="003072DB">
        <w:trPr>
          <w:trHeight w:val="283"/>
        </w:trPr>
        <w:tc>
          <w:tcPr>
            <w:tcW w:w="882" w:type="dxa"/>
            <w:tcBorders>
              <w:top w:val="nil"/>
              <w:left w:val="nil"/>
              <w:bottom w:val="single" w:sz="8" w:space="0" w:color="E46D0A"/>
              <w:right w:val="nil"/>
            </w:tcBorders>
            <w:noWrap/>
            <w:vAlign w:val="center"/>
          </w:tcPr>
          <w:p w:rsidR="000865BF" w:rsidRDefault="000865BF">
            <w:pPr>
              <w:jc w:val="center"/>
              <w:rPr>
                <w:rFonts w:cs="宋体"/>
                <w:color w:val="000000"/>
                <w:sz w:val="16"/>
                <w:szCs w:val="16"/>
              </w:rPr>
            </w:pPr>
            <w:r w:rsidRPr="0091641A">
              <w:rPr>
                <w:color w:val="000000"/>
                <w:sz w:val="16"/>
                <w:szCs w:val="16"/>
              </w:rPr>
              <w:t>160213</w:t>
            </w:r>
          </w:p>
        </w:tc>
        <w:tc>
          <w:tcPr>
            <w:tcW w:w="3484" w:type="dxa"/>
            <w:tcBorders>
              <w:top w:val="nil"/>
              <w:left w:val="nil"/>
              <w:bottom w:val="single" w:sz="8" w:space="0" w:color="E46D0A"/>
              <w:right w:val="nil"/>
            </w:tcBorders>
            <w:noWrap/>
            <w:vAlign w:val="center"/>
          </w:tcPr>
          <w:p w:rsidR="000865BF" w:rsidRDefault="000865BF">
            <w:pPr>
              <w:jc w:val="center"/>
              <w:rPr>
                <w:rFonts w:ascii="宋体" w:cs="宋体"/>
                <w:color w:val="000000"/>
                <w:sz w:val="16"/>
                <w:szCs w:val="16"/>
              </w:rPr>
            </w:pPr>
            <w:r w:rsidRPr="0091641A">
              <w:rPr>
                <w:rFonts w:hint="eastAsia"/>
                <w:color w:val="000000"/>
                <w:sz w:val="16"/>
                <w:szCs w:val="16"/>
              </w:rPr>
              <w:t>国泰</w:t>
            </w:r>
            <w:r w:rsidRPr="0091641A">
              <w:rPr>
                <w:color w:val="000000"/>
                <w:sz w:val="16"/>
                <w:szCs w:val="16"/>
              </w:rPr>
              <w:t>100</w:t>
            </w:r>
            <w:r w:rsidRPr="0091641A">
              <w:rPr>
                <w:rFonts w:hint="eastAsia"/>
                <w:color w:val="000000"/>
                <w:sz w:val="16"/>
                <w:szCs w:val="16"/>
              </w:rPr>
              <w:t>指数</w:t>
            </w:r>
          </w:p>
        </w:tc>
        <w:tc>
          <w:tcPr>
            <w:tcW w:w="1216" w:type="dxa"/>
            <w:tcBorders>
              <w:top w:val="nil"/>
              <w:left w:val="nil"/>
              <w:bottom w:val="single" w:sz="8" w:space="0" w:color="E46D0A"/>
              <w:right w:val="nil"/>
            </w:tcBorders>
            <w:noWrap/>
            <w:vAlign w:val="center"/>
          </w:tcPr>
          <w:p w:rsidR="000865BF" w:rsidRDefault="000865BF">
            <w:pPr>
              <w:jc w:val="center"/>
              <w:rPr>
                <w:rFonts w:cs="宋体"/>
                <w:color w:val="000000"/>
                <w:sz w:val="16"/>
                <w:szCs w:val="16"/>
              </w:rPr>
            </w:pPr>
            <w:r w:rsidRPr="0091641A">
              <w:rPr>
                <w:color w:val="000000"/>
                <w:sz w:val="16"/>
                <w:szCs w:val="16"/>
              </w:rPr>
              <w:t>4.56</w:t>
            </w:r>
          </w:p>
        </w:tc>
        <w:tc>
          <w:tcPr>
            <w:tcW w:w="633" w:type="dxa"/>
            <w:tcBorders>
              <w:top w:val="nil"/>
              <w:left w:val="nil"/>
              <w:bottom w:val="single" w:sz="8" w:space="0" w:color="E46D0A"/>
              <w:right w:val="nil"/>
            </w:tcBorders>
            <w:noWrap/>
            <w:vAlign w:val="center"/>
          </w:tcPr>
          <w:p w:rsidR="000865BF" w:rsidRDefault="000865BF">
            <w:pPr>
              <w:jc w:val="center"/>
              <w:rPr>
                <w:rFonts w:cs="宋体"/>
                <w:color w:val="000000"/>
                <w:sz w:val="16"/>
                <w:szCs w:val="16"/>
              </w:rPr>
            </w:pPr>
            <w:r w:rsidRPr="0091641A">
              <w:rPr>
                <w:color w:val="000000"/>
                <w:sz w:val="16"/>
                <w:szCs w:val="16"/>
              </w:rPr>
              <w:t>5</w:t>
            </w:r>
          </w:p>
        </w:tc>
      </w:tr>
      <w:tr w:rsidR="000865BF" w:rsidRPr="0091641A" w:rsidTr="003953B6">
        <w:trPr>
          <w:trHeight w:val="283"/>
        </w:trPr>
        <w:tc>
          <w:tcPr>
            <w:tcW w:w="4366" w:type="dxa"/>
            <w:gridSpan w:val="2"/>
            <w:tcBorders>
              <w:top w:val="single" w:sz="8" w:space="0" w:color="E46D0A"/>
              <w:left w:val="nil"/>
              <w:bottom w:val="single" w:sz="8" w:space="0" w:color="E46D0A"/>
              <w:right w:val="nil"/>
            </w:tcBorders>
            <w:noWrap/>
            <w:vAlign w:val="center"/>
          </w:tcPr>
          <w:p w:rsidR="000865BF" w:rsidRPr="003072DB" w:rsidRDefault="000865BF"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来源：凯石财富工场</w:t>
            </w:r>
          </w:p>
        </w:tc>
        <w:tc>
          <w:tcPr>
            <w:tcW w:w="1216" w:type="dxa"/>
            <w:tcBorders>
              <w:top w:val="nil"/>
              <w:left w:val="nil"/>
              <w:bottom w:val="nil"/>
              <w:right w:val="nil"/>
            </w:tcBorders>
            <w:noWrap/>
            <w:vAlign w:val="bottom"/>
          </w:tcPr>
          <w:p w:rsidR="000865BF" w:rsidRPr="003072DB" w:rsidRDefault="000865BF"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 xml:space="preserve">　</w:t>
            </w:r>
          </w:p>
        </w:tc>
        <w:tc>
          <w:tcPr>
            <w:tcW w:w="633" w:type="dxa"/>
            <w:tcBorders>
              <w:top w:val="nil"/>
              <w:left w:val="nil"/>
              <w:bottom w:val="nil"/>
              <w:right w:val="nil"/>
            </w:tcBorders>
            <w:noWrap/>
            <w:vAlign w:val="bottom"/>
          </w:tcPr>
          <w:p w:rsidR="000865BF" w:rsidRPr="003072DB" w:rsidRDefault="000865BF"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 xml:space="preserve">　</w:t>
            </w:r>
          </w:p>
        </w:tc>
      </w:tr>
    </w:tbl>
    <w:p w:rsidR="000865BF" w:rsidRDefault="000865BF" w:rsidP="003072DB">
      <w:pPr>
        <w:pStyle w:val="BodyText"/>
        <w:spacing w:after="163"/>
        <w:ind w:left="3799"/>
        <w:rPr>
          <w:color w:val="auto"/>
        </w:rPr>
      </w:pPr>
    </w:p>
    <w:p w:rsidR="000865BF" w:rsidRPr="00CD28D7" w:rsidRDefault="000865BF" w:rsidP="001E7E57">
      <w:pPr>
        <w:widowControl/>
        <w:spacing w:beforeLines="100" w:after="120" w:line="240" w:lineRule="exact"/>
        <w:ind w:firstLineChars="1372" w:firstLine="3306"/>
        <w:rPr>
          <w:rFonts w:ascii="Arial" w:eastAsia="KaiTi_GB2312" w:hAnsi="Arial"/>
          <w:b/>
          <w:bCs/>
          <w:color w:val="0070C0"/>
          <w:kern w:val="0"/>
          <w:sz w:val="24"/>
          <w:szCs w:val="20"/>
          <w:lang w:val="en-GB"/>
        </w:rPr>
      </w:pPr>
      <w:r>
        <w:rPr>
          <w:rFonts w:ascii="Arial" w:eastAsia="KaiTi_GB2312" w:hAnsi="Arial" w:hint="eastAsia"/>
          <w:b/>
          <w:bCs/>
          <w:color w:val="0070C0"/>
          <w:kern w:val="0"/>
          <w:sz w:val="24"/>
          <w:szCs w:val="20"/>
          <w:lang w:val="en-GB"/>
        </w:rPr>
        <w:t>月度基金发行情况概览</w:t>
      </w:r>
    </w:p>
    <w:p w:rsidR="000865BF" w:rsidRPr="00CE5DB5" w:rsidRDefault="000865BF" w:rsidP="00CE5DB5">
      <w:pPr>
        <w:pStyle w:val="BodyText"/>
        <w:numPr>
          <w:ilvl w:val="4"/>
          <w:numId w:val="1"/>
        </w:numPr>
        <w:spacing w:after="163"/>
        <w:rPr>
          <w:color w:val="auto"/>
        </w:rPr>
      </w:pPr>
      <w:r>
        <w:rPr>
          <w:color w:val="auto"/>
        </w:rPr>
        <w:t>8</w:t>
      </w:r>
      <w:r>
        <w:rPr>
          <w:rFonts w:hint="eastAsia"/>
          <w:color w:val="auto"/>
        </w:rPr>
        <w:t>月，新基金设立节奏加快，全月共有</w:t>
      </w:r>
      <w:r>
        <w:rPr>
          <w:color w:val="auto"/>
        </w:rPr>
        <w:t>30</w:t>
      </w:r>
      <w:r>
        <w:rPr>
          <w:rFonts w:hint="eastAsia"/>
          <w:color w:val="auto"/>
        </w:rPr>
        <w:t>只基金成立，总募集规模</w:t>
      </w:r>
      <w:r>
        <w:rPr>
          <w:color w:val="auto"/>
        </w:rPr>
        <w:t>284.02</w:t>
      </w:r>
      <w:r>
        <w:rPr>
          <w:rFonts w:hint="eastAsia"/>
          <w:color w:val="auto"/>
        </w:rPr>
        <w:t>亿元，数量及规模均较上月实现倍增，与此同时平均募集规模较上月提升</w:t>
      </w:r>
      <w:r>
        <w:rPr>
          <w:color w:val="auto"/>
        </w:rPr>
        <w:t>1.22</w:t>
      </w:r>
      <w:r>
        <w:rPr>
          <w:rFonts w:hint="eastAsia"/>
          <w:color w:val="auto"/>
        </w:rPr>
        <w:t>亿元至</w:t>
      </w:r>
      <w:r>
        <w:rPr>
          <w:color w:val="auto"/>
        </w:rPr>
        <w:t>9.47</w:t>
      </w:r>
      <w:r>
        <w:rPr>
          <w:rFonts w:hint="eastAsia"/>
          <w:color w:val="auto"/>
        </w:rPr>
        <w:t>亿元。从产品结构上来看，新增权益类产品（股票、混合、商品）</w:t>
      </w:r>
      <w:r>
        <w:rPr>
          <w:color w:val="auto"/>
        </w:rPr>
        <w:t>11</w:t>
      </w:r>
      <w:r>
        <w:rPr>
          <w:rFonts w:hint="eastAsia"/>
          <w:color w:val="auto"/>
        </w:rPr>
        <w:t>只，共募得</w:t>
      </w:r>
      <w:r>
        <w:rPr>
          <w:color w:val="auto"/>
        </w:rPr>
        <w:t>100.33</w:t>
      </w:r>
      <w:r>
        <w:rPr>
          <w:rFonts w:hint="eastAsia"/>
          <w:color w:val="auto"/>
        </w:rPr>
        <w:t>亿元，其中股票型、混合型各</w:t>
      </w:r>
      <w:r>
        <w:rPr>
          <w:color w:val="auto"/>
        </w:rPr>
        <w:t>5</w:t>
      </w:r>
      <w:r>
        <w:rPr>
          <w:rFonts w:hint="eastAsia"/>
          <w:color w:val="auto"/>
        </w:rPr>
        <w:t>只，募集规模分别为</w:t>
      </w:r>
      <w:r>
        <w:rPr>
          <w:color w:val="auto"/>
        </w:rPr>
        <w:t>50.08</w:t>
      </w:r>
      <w:r>
        <w:rPr>
          <w:rFonts w:hint="eastAsia"/>
          <w:color w:val="auto"/>
        </w:rPr>
        <w:t>亿元、</w:t>
      </w:r>
      <w:r>
        <w:rPr>
          <w:color w:val="auto"/>
        </w:rPr>
        <w:t>47.33</w:t>
      </w:r>
      <w:r>
        <w:rPr>
          <w:rFonts w:hint="eastAsia"/>
          <w:color w:val="auto"/>
        </w:rPr>
        <w:t>亿元，另有商品型基金</w:t>
      </w:r>
      <w:r>
        <w:rPr>
          <w:color w:val="auto"/>
        </w:rPr>
        <w:t>1</w:t>
      </w:r>
      <w:r>
        <w:rPr>
          <w:rFonts w:hint="eastAsia"/>
          <w:color w:val="auto"/>
        </w:rPr>
        <w:t>只，首募规模</w:t>
      </w:r>
      <w:r>
        <w:rPr>
          <w:color w:val="auto"/>
        </w:rPr>
        <w:t>2.92</w:t>
      </w:r>
      <w:r>
        <w:rPr>
          <w:rFonts w:hint="eastAsia"/>
          <w:color w:val="auto"/>
        </w:rPr>
        <w:t>亿元。新增固定收益类产品（保本、债券、货币）</w:t>
      </w:r>
      <w:r>
        <w:rPr>
          <w:color w:val="auto"/>
        </w:rPr>
        <w:t>17</w:t>
      </w:r>
      <w:r>
        <w:rPr>
          <w:rFonts w:hint="eastAsia"/>
          <w:color w:val="auto"/>
        </w:rPr>
        <w:t>只，</w:t>
      </w:r>
      <w:r w:rsidRPr="003D0A9F">
        <w:rPr>
          <w:rFonts w:hint="eastAsia"/>
          <w:color w:val="auto"/>
        </w:rPr>
        <w:t>共募得</w:t>
      </w:r>
      <w:r>
        <w:rPr>
          <w:color w:val="auto"/>
        </w:rPr>
        <w:t>169.32</w:t>
      </w:r>
      <w:r w:rsidRPr="003D0A9F">
        <w:rPr>
          <w:rFonts w:hint="eastAsia"/>
          <w:color w:val="auto"/>
        </w:rPr>
        <w:t>亿元，其中</w:t>
      </w:r>
      <w:r>
        <w:rPr>
          <w:rFonts w:hint="eastAsia"/>
          <w:color w:val="auto"/>
        </w:rPr>
        <w:t>债券</w:t>
      </w:r>
      <w:r w:rsidRPr="003D0A9F">
        <w:rPr>
          <w:rFonts w:hint="eastAsia"/>
          <w:color w:val="auto"/>
        </w:rPr>
        <w:t>型、</w:t>
      </w:r>
      <w:r>
        <w:rPr>
          <w:rFonts w:hint="eastAsia"/>
          <w:color w:val="auto"/>
        </w:rPr>
        <w:t>货币</w:t>
      </w:r>
      <w:r w:rsidRPr="003D0A9F">
        <w:rPr>
          <w:rFonts w:hint="eastAsia"/>
          <w:color w:val="auto"/>
        </w:rPr>
        <w:t>型各</w:t>
      </w:r>
      <w:r>
        <w:rPr>
          <w:rFonts w:hint="eastAsia"/>
          <w:color w:val="auto"/>
        </w:rPr>
        <w:t>有</w:t>
      </w:r>
      <w:r>
        <w:rPr>
          <w:color w:val="auto"/>
        </w:rPr>
        <w:t>8</w:t>
      </w:r>
      <w:r w:rsidRPr="003D0A9F">
        <w:rPr>
          <w:rFonts w:hint="eastAsia"/>
          <w:color w:val="auto"/>
        </w:rPr>
        <w:t>只</w:t>
      </w:r>
      <w:r>
        <w:rPr>
          <w:rFonts w:hint="eastAsia"/>
          <w:color w:val="auto"/>
        </w:rPr>
        <w:t>设立</w:t>
      </w:r>
      <w:r w:rsidRPr="003D0A9F">
        <w:rPr>
          <w:rFonts w:hint="eastAsia"/>
          <w:color w:val="auto"/>
        </w:rPr>
        <w:t>，募集规模分别为</w:t>
      </w:r>
      <w:r>
        <w:rPr>
          <w:color w:val="auto"/>
        </w:rPr>
        <w:t>63.54</w:t>
      </w:r>
      <w:r w:rsidRPr="003D0A9F">
        <w:rPr>
          <w:rFonts w:hint="eastAsia"/>
          <w:color w:val="auto"/>
        </w:rPr>
        <w:t>亿元、</w:t>
      </w:r>
      <w:r>
        <w:rPr>
          <w:color w:val="auto"/>
        </w:rPr>
        <w:t>97.65</w:t>
      </w:r>
      <w:r w:rsidRPr="003D0A9F">
        <w:rPr>
          <w:rFonts w:hint="eastAsia"/>
          <w:color w:val="auto"/>
        </w:rPr>
        <w:t>亿元，另有</w:t>
      </w:r>
      <w:r>
        <w:rPr>
          <w:rFonts w:hint="eastAsia"/>
          <w:color w:val="auto"/>
        </w:rPr>
        <w:t>保本产品</w:t>
      </w:r>
      <w:r w:rsidRPr="003D0A9F">
        <w:rPr>
          <w:color w:val="auto"/>
        </w:rPr>
        <w:t>1</w:t>
      </w:r>
      <w:r w:rsidRPr="003D0A9F">
        <w:rPr>
          <w:rFonts w:hint="eastAsia"/>
          <w:color w:val="auto"/>
        </w:rPr>
        <w:t>只，首募规模</w:t>
      </w:r>
      <w:r>
        <w:rPr>
          <w:color w:val="auto"/>
        </w:rPr>
        <w:t>8.12</w:t>
      </w:r>
      <w:r w:rsidRPr="003D0A9F">
        <w:rPr>
          <w:rFonts w:hint="eastAsia"/>
          <w:color w:val="auto"/>
        </w:rPr>
        <w:t>亿元。</w:t>
      </w:r>
      <w:r>
        <w:rPr>
          <w:rFonts w:hint="eastAsia"/>
          <w:color w:val="auto"/>
        </w:rPr>
        <w:t>除此之外，</w:t>
      </w:r>
      <w:r>
        <w:rPr>
          <w:color w:val="auto"/>
        </w:rPr>
        <w:t>8</w:t>
      </w:r>
      <w:r>
        <w:rPr>
          <w:rFonts w:hint="eastAsia"/>
          <w:color w:val="auto"/>
        </w:rPr>
        <w:t>月共有</w:t>
      </w:r>
      <w:r>
        <w:rPr>
          <w:color w:val="auto"/>
        </w:rPr>
        <w:t>2</w:t>
      </w:r>
      <w:r>
        <w:rPr>
          <w:rFonts w:hint="eastAsia"/>
          <w:color w:val="auto"/>
        </w:rPr>
        <w:t>只</w:t>
      </w:r>
      <w:r>
        <w:rPr>
          <w:color w:val="auto"/>
        </w:rPr>
        <w:t>QDII</w:t>
      </w:r>
      <w:r>
        <w:rPr>
          <w:rFonts w:hint="eastAsia"/>
          <w:color w:val="auto"/>
        </w:rPr>
        <w:t>新设，募集规模</w:t>
      </w:r>
      <w:r>
        <w:rPr>
          <w:color w:val="auto"/>
        </w:rPr>
        <w:t>14.37</w:t>
      </w:r>
      <w:r>
        <w:rPr>
          <w:rFonts w:hint="eastAsia"/>
          <w:color w:val="auto"/>
        </w:rPr>
        <w:t>亿元。从平均募集规模来看，货币型、股票型两类产品最受欢迎，平均募集规模分别为</w:t>
      </w:r>
      <w:r>
        <w:rPr>
          <w:color w:val="auto"/>
        </w:rPr>
        <w:t>12.21</w:t>
      </w:r>
      <w:r>
        <w:rPr>
          <w:rFonts w:hint="eastAsia"/>
          <w:color w:val="auto"/>
        </w:rPr>
        <w:t>亿元、</w:t>
      </w:r>
      <w:r>
        <w:rPr>
          <w:color w:val="auto"/>
        </w:rPr>
        <w:t>10.02</w:t>
      </w:r>
      <w:r>
        <w:rPr>
          <w:rFonts w:hint="eastAsia"/>
          <w:color w:val="auto"/>
        </w:rPr>
        <w:t>亿元。</w:t>
      </w:r>
    </w:p>
    <w:tbl>
      <w:tblPr>
        <w:tblW w:w="6912" w:type="dxa"/>
        <w:tblInd w:w="3801" w:type="dxa"/>
        <w:tblLook w:val="00A0"/>
      </w:tblPr>
      <w:tblGrid>
        <w:gridCol w:w="1720"/>
        <w:gridCol w:w="1722"/>
        <w:gridCol w:w="1729"/>
        <w:gridCol w:w="1741"/>
      </w:tblGrid>
      <w:tr w:rsidR="000865BF" w:rsidRPr="0091641A" w:rsidTr="00184B0B">
        <w:trPr>
          <w:trHeight w:val="285"/>
        </w:trPr>
        <w:tc>
          <w:tcPr>
            <w:tcW w:w="5171" w:type="dxa"/>
            <w:gridSpan w:val="3"/>
            <w:tcBorders>
              <w:top w:val="single" w:sz="8" w:space="0" w:color="E46D0A"/>
              <w:left w:val="nil"/>
              <w:bottom w:val="single" w:sz="8" w:space="0" w:color="E46D0A"/>
              <w:right w:val="nil"/>
            </w:tcBorders>
            <w:noWrap/>
            <w:vAlign w:val="center"/>
          </w:tcPr>
          <w:p w:rsidR="000865BF" w:rsidRPr="00184B0B" w:rsidRDefault="000865BF" w:rsidP="00184B0B">
            <w:pPr>
              <w:widowControl/>
              <w:jc w:val="left"/>
              <w:rPr>
                <w:rFonts w:ascii="宋体" w:cs="宋体"/>
                <w:b/>
                <w:bCs/>
                <w:i/>
                <w:iCs/>
                <w:color w:val="E46D0A"/>
                <w:kern w:val="0"/>
                <w:sz w:val="20"/>
                <w:szCs w:val="20"/>
              </w:rPr>
            </w:pPr>
            <w:r w:rsidRPr="00184B0B">
              <w:rPr>
                <w:rFonts w:ascii="宋体" w:hAnsi="宋体" w:cs="宋体" w:hint="eastAsia"/>
                <w:b/>
                <w:bCs/>
                <w:i/>
                <w:iCs/>
                <w:color w:val="E46D0A"/>
                <w:kern w:val="0"/>
                <w:sz w:val="20"/>
                <w:szCs w:val="20"/>
              </w:rPr>
              <w:t>图表</w:t>
            </w:r>
            <w:r w:rsidRPr="00184B0B">
              <w:rPr>
                <w:rFonts w:ascii="Arial" w:hAnsi="Arial" w:cs="Arial"/>
                <w:b/>
                <w:bCs/>
                <w:i/>
                <w:iCs/>
                <w:color w:val="E46D0A"/>
                <w:kern w:val="0"/>
                <w:sz w:val="20"/>
                <w:szCs w:val="20"/>
              </w:rPr>
              <w:t>7:2014</w:t>
            </w:r>
            <w:r w:rsidRPr="00184B0B">
              <w:rPr>
                <w:rFonts w:ascii="宋体" w:hAnsi="宋体" w:cs="宋体" w:hint="eastAsia"/>
                <w:b/>
                <w:bCs/>
                <w:i/>
                <w:iCs/>
                <w:color w:val="E46D0A"/>
                <w:kern w:val="0"/>
                <w:sz w:val="20"/>
                <w:szCs w:val="20"/>
              </w:rPr>
              <w:t>年</w:t>
            </w:r>
            <w:r w:rsidRPr="00184B0B">
              <w:rPr>
                <w:rFonts w:ascii="Arial" w:hAnsi="Arial" w:cs="Arial"/>
                <w:b/>
                <w:bCs/>
                <w:i/>
                <w:iCs/>
                <w:color w:val="E46D0A"/>
                <w:kern w:val="0"/>
                <w:sz w:val="20"/>
                <w:szCs w:val="20"/>
              </w:rPr>
              <w:t>8</w:t>
            </w:r>
            <w:r w:rsidRPr="00184B0B">
              <w:rPr>
                <w:rFonts w:ascii="宋体" w:hAnsi="宋体" w:cs="宋体" w:hint="eastAsia"/>
                <w:b/>
                <w:bCs/>
                <w:i/>
                <w:iCs/>
                <w:color w:val="E46D0A"/>
                <w:kern w:val="0"/>
                <w:sz w:val="20"/>
                <w:szCs w:val="20"/>
              </w:rPr>
              <w:t>月新发基金情况</w:t>
            </w:r>
          </w:p>
        </w:tc>
        <w:tc>
          <w:tcPr>
            <w:tcW w:w="1741" w:type="dxa"/>
            <w:tcBorders>
              <w:top w:val="single" w:sz="8" w:space="0" w:color="E46D0A"/>
              <w:left w:val="nil"/>
              <w:bottom w:val="single" w:sz="8" w:space="0" w:color="E46D0A"/>
              <w:right w:val="nil"/>
            </w:tcBorders>
            <w:noWrap/>
            <w:vAlign w:val="center"/>
          </w:tcPr>
          <w:p w:rsidR="000865BF" w:rsidRPr="00184B0B" w:rsidRDefault="000865BF" w:rsidP="00184B0B">
            <w:pPr>
              <w:widowControl/>
              <w:jc w:val="left"/>
              <w:rPr>
                <w:rFonts w:ascii="宋体" w:cs="宋体"/>
                <w:b/>
                <w:bCs/>
                <w:i/>
                <w:iCs/>
                <w:color w:val="E46D0A"/>
                <w:kern w:val="0"/>
                <w:sz w:val="20"/>
                <w:szCs w:val="20"/>
              </w:rPr>
            </w:pPr>
            <w:r w:rsidRPr="00184B0B">
              <w:rPr>
                <w:rFonts w:ascii="宋体" w:hAnsi="宋体" w:cs="宋体" w:hint="eastAsia"/>
                <w:b/>
                <w:bCs/>
                <w:i/>
                <w:iCs/>
                <w:color w:val="E46D0A"/>
                <w:kern w:val="0"/>
                <w:sz w:val="20"/>
                <w:szCs w:val="20"/>
              </w:rPr>
              <w:t xml:space="preserve">　</w:t>
            </w:r>
          </w:p>
        </w:tc>
      </w:tr>
      <w:tr w:rsidR="000865BF" w:rsidRPr="0091641A" w:rsidTr="00184B0B">
        <w:trPr>
          <w:trHeight w:val="435"/>
        </w:trPr>
        <w:tc>
          <w:tcPr>
            <w:tcW w:w="1720" w:type="dxa"/>
            <w:tcBorders>
              <w:top w:val="nil"/>
              <w:left w:val="nil"/>
              <w:bottom w:val="single" w:sz="8" w:space="0" w:color="E46D0A"/>
              <w:right w:val="nil"/>
            </w:tcBorders>
            <w:vAlign w:val="center"/>
          </w:tcPr>
          <w:p w:rsidR="000865BF" w:rsidRPr="00184B0B" w:rsidRDefault="000865BF" w:rsidP="00184B0B">
            <w:pPr>
              <w:widowControl/>
              <w:jc w:val="center"/>
              <w:rPr>
                <w:rFonts w:ascii="宋体" w:cs="宋体"/>
                <w:b/>
                <w:bCs/>
                <w:color w:val="000000"/>
                <w:kern w:val="0"/>
                <w:sz w:val="16"/>
                <w:szCs w:val="16"/>
              </w:rPr>
            </w:pPr>
            <w:r w:rsidRPr="00184B0B">
              <w:rPr>
                <w:rFonts w:ascii="宋体" w:hAnsi="宋体" w:cs="宋体" w:hint="eastAsia"/>
                <w:b/>
                <w:bCs/>
                <w:color w:val="000000"/>
                <w:kern w:val="0"/>
                <w:sz w:val="16"/>
                <w:szCs w:val="16"/>
              </w:rPr>
              <w:t>基金类型</w:t>
            </w:r>
          </w:p>
        </w:tc>
        <w:tc>
          <w:tcPr>
            <w:tcW w:w="1722" w:type="dxa"/>
            <w:tcBorders>
              <w:top w:val="nil"/>
              <w:left w:val="nil"/>
              <w:bottom w:val="single" w:sz="8" w:space="0" w:color="E46D0A"/>
              <w:right w:val="nil"/>
            </w:tcBorders>
            <w:vAlign w:val="center"/>
          </w:tcPr>
          <w:p w:rsidR="000865BF" w:rsidRPr="00184B0B" w:rsidRDefault="000865BF" w:rsidP="00184B0B">
            <w:pPr>
              <w:widowControl/>
              <w:jc w:val="center"/>
              <w:rPr>
                <w:rFonts w:ascii="宋体" w:cs="宋体"/>
                <w:b/>
                <w:bCs/>
                <w:color w:val="000000"/>
                <w:kern w:val="0"/>
                <w:sz w:val="16"/>
                <w:szCs w:val="16"/>
              </w:rPr>
            </w:pPr>
            <w:r w:rsidRPr="00184B0B">
              <w:rPr>
                <w:rFonts w:ascii="宋体" w:hAnsi="宋体" w:cs="宋体" w:hint="eastAsia"/>
                <w:b/>
                <w:bCs/>
                <w:color w:val="000000"/>
                <w:kern w:val="0"/>
                <w:sz w:val="16"/>
                <w:szCs w:val="16"/>
              </w:rPr>
              <w:t>数量（只）</w:t>
            </w:r>
          </w:p>
        </w:tc>
        <w:tc>
          <w:tcPr>
            <w:tcW w:w="1729" w:type="dxa"/>
            <w:tcBorders>
              <w:top w:val="nil"/>
              <w:left w:val="nil"/>
              <w:bottom w:val="single" w:sz="8" w:space="0" w:color="E46D0A"/>
              <w:right w:val="nil"/>
            </w:tcBorders>
            <w:vAlign w:val="center"/>
          </w:tcPr>
          <w:p w:rsidR="000865BF" w:rsidRPr="00184B0B" w:rsidRDefault="000865BF" w:rsidP="00184B0B">
            <w:pPr>
              <w:widowControl/>
              <w:jc w:val="center"/>
              <w:rPr>
                <w:rFonts w:ascii="宋体" w:cs="宋体"/>
                <w:b/>
                <w:bCs/>
                <w:color w:val="000000"/>
                <w:kern w:val="0"/>
                <w:sz w:val="16"/>
                <w:szCs w:val="16"/>
              </w:rPr>
            </w:pPr>
            <w:r w:rsidRPr="00184B0B">
              <w:rPr>
                <w:rFonts w:ascii="宋体" w:hAnsi="宋体" w:cs="宋体" w:hint="eastAsia"/>
                <w:b/>
                <w:bCs/>
                <w:color w:val="000000"/>
                <w:kern w:val="0"/>
                <w:sz w:val="16"/>
                <w:szCs w:val="16"/>
              </w:rPr>
              <w:t>募集规模（亿元）</w:t>
            </w:r>
          </w:p>
        </w:tc>
        <w:tc>
          <w:tcPr>
            <w:tcW w:w="1741" w:type="dxa"/>
            <w:tcBorders>
              <w:top w:val="nil"/>
              <w:left w:val="nil"/>
              <w:bottom w:val="single" w:sz="8" w:space="0" w:color="E46D0A"/>
              <w:right w:val="nil"/>
            </w:tcBorders>
            <w:vAlign w:val="center"/>
          </w:tcPr>
          <w:p w:rsidR="000865BF" w:rsidRPr="00184B0B" w:rsidRDefault="000865BF" w:rsidP="00184B0B">
            <w:pPr>
              <w:widowControl/>
              <w:jc w:val="center"/>
              <w:rPr>
                <w:rFonts w:ascii="宋体" w:cs="宋体"/>
                <w:b/>
                <w:bCs/>
                <w:color w:val="000000"/>
                <w:kern w:val="0"/>
                <w:sz w:val="16"/>
                <w:szCs w:val="16"/>
              </w:rPr>
            </w:pPr>
            <w:r w:rsidRPr="00184B0B">
              <w:rPr>
                <w:rFonts w:ascii="宋体" w:hAnsi="宋体" w:cs="宋体" w:hint="eastAsia"/>
                <w:b/>
                <w:bCs/>
                <w:color w:val="000000"/>
                <w:kern w:val="0"/>
                <w:sz w:val="16"/>
                <w:szCs w:val="16"/>
              </w:rPr>
              <w:t>平均募集规模（亿元）</w:t>
            </w:r>
          </w:p>
        </w:tc>
      </w:tr>
      <w:tr w:rsidR="000865BF" w:rsidRPr="0091641A" w:rsidTr="00184B0B">
        <w:trPr>
          <w:trHeight w:val="270"/>
        </w:trPr>
        <w:tc>
          <w:tcPr>
            <w:tcW w:w="1720" w:type="dxa"/>
            <w:tcBorders>
              <w:top w:val="nil"/>
              <w:left w:val="nil"/>
              <w:bottom w:val="nil"/>
              <w:right w:val="nil"/>
            </w:tcBorders>
            <w:noWrap/>
            <w:vAlign w:val="bottom"/>
          </w:tcPr>
          <w:p w:rsidR="000865BF" w:rsidRPr="00184B0B" w:rsidRDefault="000865BF" w:rsidP="00184B0B">
            <w:pPr>
              <w:widowControl/>
              <w:jc w:val="center"/>
              <w:rPr>
                <w:rFonts w:ascii="宋体" w:cs="宋体"/>
                <w:color w:val="000000"/>
                <w:kern w:val="0"/>
                <w:sz w:val="16"/>
                <w:szCs w:val="16"/>
              </w:rPr>
            </w:pPr>
            <w:r w:rsidRPr="00184B0B">
              <w:rPr>
                <w:rFonts w:ascii="宋体" w:hAnsi="宋体" w:cs="宋体" w:hint="eastAsia"/>
                <w:color w:val="000000"/>
                <w:kern w:val="0"/>
                <w:sz w:val="16"/>
                <w:szCs w:val="16"/>
              </w:rPr>
              <w:t>股票型</w:t>
            </w:r>
          </w:p>
        </w:tc>
        <w:tc>
          <w:tcPr>
            <w:tcW w:w="1722" w:type="dxa"/>
            <w:tcBorders>
              <w:top w:val="nil"/>
              <w:left w:val="nil"/>
              <w:bottom w:val="nil"/>
              <w:right w:val="nil"/>
            </w:tcBorders>
            <w:noWrap/>
            <w:vAlign w:val="bottom"/>
          </w:tcPr>
          <w:p w:rsidR="000865BF" w:rsidRPr="00184B0B" w:rsidRDefault="000865BF" w:rsidP="00184B0B">
            <w:pPr>
              <w:widowControl/>
              <w:jc w:val="center"/>
              <w:rPr>
                <w:rFonts w:ascii="Arial" w:hAnsi="Arial" w:cs="Arial"/>
                <w:color w:val="000000"/>
                <w:kern w:val="0"/>
                <w:sz w:val="16"/>
                <w:szCs w:val="16"/>
              </w:rPr>
            </w:pPr>
            <w:r w:rsidRPr="00184B0B">
              <w:rPr>
                <w:rFonts w:ascii="Arial" w:hAnsi="Arial" w:cs="Arial"/>
                <w:color w:val="000000"/>
                <w:kern w:val="0"/>
                <w:sz w:val="16"/>
                <w:szCs w:val="16"/>
              </w:rPr>
              <w:t>5</w:t>
            </w:r>
          </w:p>
        </w:tc>
        <w:tc>
          <w:tcPr>
            <w:tcW w:w="1729" w:type="dxa"/>
            <w:tcBorders>
              <w:top w:val="nil"/>
              <w:left w:val="nil"/>
              <w:bottom w:val="nil"/>
              <w:right w:val="nil"/>
            </w:tcBorders>
            <w:noWrap/>
            <w:vAlign w:val="bottom"/>
          </w:tcPr>
          <w:p w:rsidR="000865BF" w:rsidRPr="00184B0B" w:rsidRDefault="000865BF" w:rsidP="00184B0B">
            <w:pPr>
              <w:widowControl/>
              <w:jc w:val="center"/>
              <w:rPr>
                <w:rFonts w:ascii="Arial" w:hAnsi="Arial" w:cs="Arial"/>
                <w:color w:val="000000"/>
                <w:kern w:val="0"/>
                <w:sz w:val="16"/>
                <w:szCs w:val="16"/>
              </w:rPr>
            </w:pPr>
            <w:r w:rsidRPr="00184B0B">
              <w:rPr>
                <w:rFonts w:ascii="Arial" w:hAnsi="Arial" w:cs="Arial"/>
                <w:color w:val="000000"/>
                <w:kern w:val="0"/>
                <w:sz w:val="16"/>
                <w:szCs w:val="16"/>
              </w:rPr>
              <w:t xml:space="preserve">50.08 </w:t>
            </w:r>
          </w:p>
        </w:tc>
        <w:tc>
          <w:tcPr>
            <w:tcW w:w="1741" w:type="dxa"/>
            <w:tcBorders>
              <w:top w:val="nil"/>
              <w:left w:val="nil"/>
              <w:bottom w:val="nil"/>
              <w:right w:val="nil"/>
            </w:tcBorders>
            <w:noWrap/>
            <w:vAlign w:val="bottom"/>
          </w:tcPr>
          <w:p w:rsidR="000865BF" w:rsidRPr="00184B0B" w:rsidRDefault="000865BF" w:rsidP="00184B0B">
            <w:pPr>
              <w:widowControl/>
              <w:jc w:val="center"/>
              <w:rPr>
                <w:rFonts w:ascii="Arial" w:hAnsi="Arial" w:cs="Arial"/>
                <w:color w:val="000000"/>
                <w:kern w:val="0"/>
                <w:sz w:val="16"/>
                <w:szCs w:val="16"/>
              </w:rPr>
            </w:pPr>
            <w:r w:rsidRPr="00184B0B">
              <w:rPr>
                <w:rFonts w:ascii="Arial" w:hAnsi="Arial" w:cs="Arial"/>
                <w:color w:val="000000"/>
                <w:kern w:val="0"/>
                <w:sz w:val="16"/>
                <w:szCs w:val="16"/>
              </w:rPr>
              <w:t xml:space="preserve">10.02 </w:t>
            </w:r>
          </w:p>
        </w:tc>
      </w:tr>
      <w:tr w:rsidR="000865BF" w:rsidRPr="0091641A" w:rsidTr="00184B0B">
        <w:trPr>
          <w:trHeight w:val="270"/>
        </w:trPr>
        <w:tc>
          <w:tcPr>
            <w:tcW w:w="1720" w:type="dxa"/>
            <w:tcBorders>
              <w:top w:val="nil"/>
              <w:left w:val="nil"/>
              <w:bottom w:val="nil"/>
              <w:right w:val="nil"/>
            </w:tcBorders>
            <w:noWrap/>
            <w:vAlign w:val="bottom"/>
          </w:tcPr>
          <w:p w:rsidR="000865BF" w:rsidRPr="00184B0B" w:rsidRDefault="000865BF" w:rsidP="00184B0B">
            <w:pPr>
              <w:widowControl/>
              <w:jc w:val="center"/>
              <w:rPr>
                <w:rFonts w:ascii="宋体" w:cs="宋体"/>
                <w:color w:val="000000"/>
                <w:kern w:val="0"/>
                <w:sz w:val="16"/>
                <w:szCs w:val="16"/>
              </w:rPr>
            </w:pPr>
            <w:r w:rsidRPr="00184B0B">
              <w:rPr>
                <w:rFonts w:ascii="宋体" w:hAnsi="宋体" w:cs="宋体" w:hint="eastAsia"/>
                <w:color w:val="000000"/>
                <w:kern w:val="0"/>
                <w:sz w:val="16"/>
                <w:szCs w:val="16"/>
              </w:rPr>
              <w:t>混合型</w:t>
            </w:r>
          </w:p>
        </w:tc>
        <w:tc>
          <w:tcPr>
            <w:tcW w:w="1722" w:type="dxa"/>
            <w:tcBorders>
              <w:top w:val="nil"/>
              <w:left w:val="nil"/>
              <w:bottom w:val="nil"/>
              <w:right w:val="nil"/>
            </w:tcBorders>
            <w:noWrap/>
            <w:vAlign w:val="bottom"/>
          </w:tcPr>
          <w:p w:rsidR="000865BF" w:rsidRPr="00184B0B" w:rsidRDefault="000865BF" w:rsidP="00184B0B">
            <w:pPr>
              <w:widowControl/>
              <w:jc w:val="center"/>
              <w:rPr>
                <w:rFonts w:ascii="Arial" w:hAnsi="Arial" w:cs="Arial"/>
                <w:color w:val="000000"/>
                <w:kern w:val="0"/>
                <w:sz w:val="16"/>
                <w:szCs w:val="16"/>
              </w:rPr>
            </w:pPr>
            <w:r w:rsidRPr="00184B0B">
              <w:rPr>
                <w:rFonts w:ascii="Arial" w:hAnsi="Arial" w:cs="Arial"/>
                <w:color w:val="000000"/>
                <w:kern w:val="0"/>
                <w:sz w:val="16"/>
                <w:szCs w:val="16"/>
              </w:rPr>
              <w:t>5</w:t>
            </w:r>
          </w:p>
        </w:tc>
        <w:tc>
          <w:tcPr>
            <w:tcW w:w="1729" w:type="dxa"/>
            <w:tcBorders>
              <w:top w:val="nil"/>
              <w:left w:val="nil"/>
              <w:bottom w:val="nil"/>
              <w:right w:val="nil"/>
            </w:tcBorders>
            <w:noWrap/>
            <w:vAlign w:val="bottom"/>
          </w:tcPr>
          <w:p w:rsidR="000865BF" w:rsidRPr="00184B0B" w:rsidRDefault="000865BF" w:rsidP="00184B0B">
            <w:pPr>
              <w:widowControl/>
              <w:jc w:val="center"/>
              <w:rPr>
                <w:rFonts w:ascii="Arial" w:hAnsi="Arial" w:cs="Arial"/>
                <w:color w:val="000000"/>
                <w:kern w:val="0"/>
                <w:sz w:val="16"/>
                <w:szCs w:val="16"/>
              </w:rPr>
            </w:pPr>
            <w:r w:rsidRPr="00184B0B">
              <w:rPr>
                <w:rFonts w:ascii="Arial" w:hAnsi="Arial" w:cs="Arial"/>
                <w:color w:val="000000"/>
                <w:kern w:val="0"/>
                <w:sz w:val="16"/>
                <w:szCs w:val="16"/>
              </w:rPr>
              <w:t xml:space="preserve">47.33 </w:t>
            </w:r>
          </w:p>
        </w:tc>
        <w:tc>
          <w:tcPr>
            <w:tcW w:w="1741" w:type="dxa"/>
            <w:tcBorders>
              <w:top w:val="nil"/>
              <w:left w:val="nil"/>
              <w:bottom w:val="nil"/>
              <w:right w:val="nil"/>
            </w:tcBorders>
            <w:noWrap/>
            <w:vAlign w:val="bottom"/>
          </w:tcPr>
          <w:p w:rsidR="000865BF" w:rsidRPr="00184B0B" w:rsidRDefault="000865BF" w:rsidP="00184B0B">
            <w:pPr>
              <w:widowControl/>
              <w:jc w:val="center"/>
              <w:rPr>
                <w:rFonts w:ascii="Arial" w:hAnsi="Arial" w:cs="Arial"/>
                <w:color w:val="000000"/>
                <w:kern w:val="0"/>
                <w:sz w:val="16"/>
                <w:szCs w:val="16"/>
              </w:rPr>
            </w:pPr>
            <w:r w:rsidRPr="00184B0B">
              <w:rPr>
                <w:rFonts w:ascii="Arial" w:hAnsi="Arial" w:cs="Arial"/>
                <w:color w:val="000000"/>
                <w:kern w:val="0"/>
                <w:sz w:val="16"/>
                <w:szCs w:val="16"/>
              </w:rPr>
              <w:t xml:space="preserve">9.47 </w:t>
            </w:r>
          </w:p>
        </w:tc>
      </w:tr>
      <w:tr w:rsidR="000865BF" w:rsidRPr="0091641A" w:rsidTr="00184B0B">
        <w:trPr>
          <w:trHeight w:val="270"/>
        </w:trPr>
        <w:tc>
          <w:tcPr>
            <w:tcW w:w="1720" w:type="dxa"/>
            <w:tcBorders>
              <w:top w:val="nil"/>
              <w:left w:val="nil"/>
              <w:bottom w:val="nil"/>
              <w:right w:val="nil"/>
            </w:tcBorders>
            <w:noWrap/>
            <w:vAlign w:val="bottom"/>
          </w:tcPr>
          <w:p w:rsidR="000865BF" w:rsidRPr="00184B0B" w:rsidRDefault="000865BF" w:rsidP="00184B0B">
            <w:pPr>
              <w:widowControl/>
              <w:jc w:val="center"/>
              <w:rPr>
                <w:rFonts w:ascii="宋体" w:cs="宋体"/>
                <w:color w:val="000000"/>
                <w:kern w:val="0"/>
                <w:sz w:val="16"/>
                <w:szCs w:val="16"/>
              </w:rPr>
            </w:pPr>
            <w:r w:rsidRPr="00184B0B">
              <w:rPr>
                <w:rFonts w:ascii="宋体" w:hAnsi="宋体" w:cs="宋体" w:hint="eastAsia"/>
                <w:color w:val="000000"/>
                <w:kern w:val="0"/>
                <w:sz w:val="16"/>
                <w:szCs w:val="16"/>
              </w:rPr>
              <w:t>商品型</w:t>
            </w:r>
          </w:p>
        </w:tc>
        <w:tc>
          <w:tcPr>
            <w:tcW w:w="1722" w:type="dxa"/>
            <w:tcBorders>
              <w:top w:val="nil"/>
              <w:left w:val="nil"/>
              <w:bottom w:val="nil"/>
              <w:right w:val="nil"/>
            </w:tcBorders>
            <w:noWrap/>
            <w:vAlign w:val="bottom"/>
          </w:tcPr>
          <w:p w:rsidR="000865BF" w:rsidRPr="00184B0B" w:rsidRDefault="000865BF" w:rsidP="00184B0B">
            <w:pPr>
              <w:widowControl/>
              <w:jc w:val="center"/>
              <w:rPr>
                <w:rFonts w:ascii="Arial" w:hAnsi="Arial" w:cs="Arial"/>
                <w:color w:val="000000"/>
                <w:kern w:val="0"/>
                <w:sz w:val="16"/>
                <w:szCs w:val="16"/>
              </w:rPr>
            </w:pPr>
            <w:r w:rsidRPr="00184B0B">
              <w:rPr>
                <w:rFonts w:ascii="Arial" w:hAnsi="Arial" w:cs="Arial"/>
                <w:color w:val="000000"/>
                <w:kern w:val="0"/>
                <w:sz w:val="16"/>
                <w:szCs w:val="16"/>
              </w:rPr>
              <w:t>1</w:t>
            </w:r>
          </w:p>
        </w:tc>
        <w:tc>
          <w:tcPr>
            <w:tcW w:w="1729" w:type="dxa"/>
            <w:tcBorders>
              <w:top w:val="nil"/>
              <w:left w:val="nil"/>
              <w:bottom w:val="nil"/>
              <w:right w:val="nil"/>
            </w:tcBorders>
            <w:noWrap/>
            <w:vAlign w:val="bottom"/>
          </w:tcPr>
          <w:p w:rsidR="000865BF" w:rsidRPr="00184B0B" w:rsidRDefault="000865BF" w:rsidP="00184B0B">
            <w:pPr>
              <w:widowControl/>
              <w:jc w:val="center"/>
              <w:rPr>
                <w:rFonts w:ascii="Arial" w:hAnsi="Arial" w:cs="Arial"/>
                <w:color w:val="000000"/>
                <w:kern w:val="0"/>
                <w:sz w:val="16"/>
                <w:szCs w:val="16"/>
              </w:rPr>
            </w:pPr>
            <w:r w:rsidRPr="00184B0B">
              <w:rPr>
                <w:rFonts w:ascii="Arial" w:hAnsi="Arial" w:cs="Arial"/>
                <w:color w:val="000000"/>
                <w:kern w:val="0"/>
                <w:sz w:val="16"/>
                <w:szCs w:val="16"/>
              </w:rPr>
              <w:t xml:space="preserve">2.92 </w:t>
            </w:r>
          </w:p>
        </w:tc>
        <w:tc>
          <w:tcPr>
            <w:tcW w:w="1741" w:type="dxa"/>
            <w:tcBorders>
              <w:top w:val="nil"/>
              <w:left w:val="nil"/>
              <w:bottom w:val="nil"/>
              <w:right w:val="nil"/>
            </w:tcBorders>
            <w:noWrap/>
            <w:vAlign w:val="bottom"/>
          </w:tcPr>
          <w:p w:rsidR="000865BF" w:rsidRPr="00184B0B" w:rsidRDefault="000865BF" w:rsidP="00184B0B">
            <w:pPr>
              <w:widowControl/>
              <w:jc w:val="center"/>
              <w:rPr>
                <w:rFonts w:ascii="Arial" w:hAnsi="Arial" w:cs="Arial"/>
                <w:color w:val="000000"/>
                <w:kern w:val="0"/>
                <w:sz w:val="16"/>
                <w:szCs w:val="16"/>
              </w:rPr>
            </w:pPr>
            <w:r w:rsidRPr="00184B0B">
              <w:rPr>
                <w:rFonts w:ascii="Arial" w:hAnsi="Arial" w:cs="Arial"/>
                <w:color w:val="000000"/>
                <w:kern w:val="0"/>
                <w:sz w:val="16"/>
                <w:szCs w:val="16"/>
              </w:rPr>
              <w:t xml:space="preserve">2.92 </w:t>
            </w:r>
          </w:p>
        </w:tc>
      </w:tr>
      <w:tr w:rsidR="000865BF" w:rsidRPr="0091641A" w:rsidTr="00184B0B">
        <w:trPr>
          <w:trHeight w:val="270"/>
        </w:trPr>
        <w:tc>
          <w:tcPr>
            <w:tcW w:w="1720" w:type="dxa"/>
            <w:tcBorders>
              <w:top w:val="nil"/>
              <w:left w:val="nil"/>
              <w:bottom w:val="nil"/>
              <w:right w:val="nil"/>
            </w:tcBorders>
            <w:noWrap/>
            <w:vAlign w:val="bottom"/>
          </w:tcPr>
          <w:p w:rsidR="000865BF" w:rsidRPr="00184B0B" w:rsidRDefault="000865BF" w:rsidP="00184B0B">
            <w:pPr>
              <w:widowControl/>
              <w:jc w:val="center"/>
              <w:rPr>
                <w:rFonts w:ascii="宋体" w:cs="宋体"/>
                <w:color w:val="000000"/>
                <w:kern w:val="0"/>
                <w:sz w:val="16"/>
                <w:szCs w:val="16"/>
              </w:rPr>
            </w:pPr>
            <w:r w:rsidRPr="00184B0B">
              <w:rPr>
                <w:rFonts w:ascii="宋体" w:hAnsi="宋体" w:cs="宋体" w:hint="eastAsia"/>
                <w:color w:val="000000"/>
                <w:kern w:val="0"/>
                <w:sz w:val="16"/>
                <w:szCs w:val="16"/>
              </w:rPr>
              <w:t>保本型</w:t>
            </w:r>
          </w:p>
        </w:tc>
        <w:tc>
          <w:tcPr>
            <w:tcW w:w="1722" w:type="dxa"/>
            <w:tcBorders>
              <w:top w:val="nil"/>
              <w:left w:val="nil"/>
              <w:bottom w:val="nil"/>
              <w:right w:val="nil"/>
            </w:tcBorders>
            <w:noWrap/>
            <w:vAlign w:val="bottom"/>
          </w:tcPr>
          <w:p w:rsidR="000865BF" w:rsidRPr="00184B0B" w:rsidRDefault="000865BF" w:rsidP="00184B0B">
            <w:pPr>
              <w:widowControl/>
              <w:jc w:val="center"/>
              <w:rPr>
                <w:rFonts w:ascii="Arial" w:hAnsi="Arial" w:cs="Arial"/>
                <w:color w:val="000000"/>
                <w:kern w:val="0"/>
                <w:sz w:val="16"/>
                <w:szCs w:val="16"/>
              </w:rPr>
            </w:pPr>
            <w:r w:rsidRPr="00184B0B">
              <w:rPr>
                <w:rFonts w:ascii="Arial" w:hAnsi="Arial" w:cs="Arial"/>
                <w:color w:val="000000"/>
                <w:kern w:val="0"/>
                <w:sz w:val="16"/>
                <w:szCs w:val="16"/>
              </w:rPr>
              <w:t>1</w:t>
            </w:r>
          </w:p>
        </w:tc>
        <w:tc>
          <w:tcPr>
            <w:tcW w:w="1729" w:type="dxa"/>
            <w:tcBorders>
              <w:top w:val="nil"/>
              <w:left w:val="nil"/>
              <w:bottom w:val="nil"/>
              <w:right w:val="nil"/>
            </w:tcBorders>
            <w:noWrap/>
            <w:vAlign w:val="bottom"/>
          </w:tcPr>
          <w:p w:rsidR="000865BF" w:rsidRPr="00184B0B" w:rsidRDefault="000865BF" w:rsidP="00184B0B">
            <w:pPr>
              <w:widowControl/>
              <w:jc w:val="center"/>
              <w:rPr>
                <w:rFonts w:ascii="Arial" w:hAnsi="Arial" w:cs="Arial"/>
                <w:color w:val="000000"/>
                <w:kern w:val="0"/>
                <w:sz w:val="16"/>
                <w:szCs w:val="16"/>
              </w:rPr>
            </w:pPr>
            <w:r w:rsidRPr="00184B0B">
              <w:rPr>
                <w:rFonts w:ascii="Arial" w:hAnsi="Arial" w:cs="Arial"/>
                <w:color w:val="000000"/>
                <w:kern w:val="0"/>
                <w:sz w:val="16"/>
                <w:szCs w:val="16"/>
              </w:rPr>
              <w:t xml:space="preserve">8.12 </w:t>
            </w:r>
          </w:p>
        </w:tc>
        <w:tc>
          <w:tcPr>
            <w:tcW w:w="1741" w:type="dxa"/>
            <w:tcBorders>
              <w:top w:val="nil"/>
              <w:left w:val="nil"/>
              <w:bottom w:val="nil"/>
              <w:right w:val="nil"/>
            </w:tcBorders>
            <w:noWrap/>
            <w:vAlign w:val="bottom"/>
          </w:tcPr>
          <w:p w:rsidR="000865BF" w:rsidRPr="00184B0B" w:rsidRDefault="000865BF" w:rsidP="00184B0B">
            <w:pPr>
              <w:widowControl/>
              <w:jc w:val="center"/>
              <w:rPr>
                <w:rFonts w:ascii="Arial" w:hAnsi="Arial" w:cs="Arial"/>
                <w:color w:val="000000"/>
                <w:kern w:val="0"/>
                <w:sz w:val="16"/>
                <w:szCs w:val="16"/>
              </w:rPr>
            </w:pPr>
            <w:r w:rsidRPr="00184B0B">
              <w:rPr>
                <w:rFonts w:ascii="Arial" w:hAnsi="Arial" w:cs="Arial"/>
                <w:color w:val="000000"/>
                <w:kern w:val="0"/>
                <w:sz w:val="16"/>
                <w:szCs w:val="16"/>
              </w:rPr>
              <w:t xml:space="preserve">8.12 </w:t>
            </w:r>
          </w:p>
        </w:tc>
      </w:tr>
      <w:tr w:rsidR="000865BF" w:rsidRPr="0091641A" w:rsidTr="00184B0B">
        <w:trPr>
          <w:trHeight w:val="270"/>
        </w:trPr>
        <w:tc>
          <w:tcPr>
            <w:tcW w:w="1720" w:type="dxa"/>
            <w:tcBorders>
              <w:top w:val="nil"/>
              <w:left w:val="nil"/>
              <w:bottom w:val="nil"/>
              <w:right w:val="nil"/>
            </w:tcBorders>
            <w:noWrap/>
            <w:vAlign w:val="bottom"/>
          </w:tcPr>
          <w:p w:rsidR="000865BF" w:rsidRPr="00184B0B" w:rsidRDefault="000865BF" w:rsidP="00184B0B">
            <w:pPr>
              <w:widowControl/>
              <w:jc w:val="center"/>
              <w:rPr>
                <w:rFonts w:ascii="宋体" w:cs="宋体"/>
                <w:color w:val="000000"/>
                <w:kern w:val="0"/>
                <w:sz w:val="16"/>
                <w:szCs w:val="16"/>
              </w:rPr>
            </w:pPr>
            <w:r w:rsidRPr="00184B0B">
              <w:rPr>
                <w:rFonts w:ascii="宋体" w:hAnsi="宋体" w:cs="宋体" w:hint="eastAsia"/>
                <w:color w:val="000000"/>
                <w:kern w:val="0"/>
                <w:sz w:val="16"/>
                <w:szCs w:val="16"/>
              </w:rPr>
              <w:t>债券型</w:t>
            </w:r>
          </w:p>
        </w:tc>
        <w:tc>
          <w:tcPr>
            <w:tcW w:w="1722" w:type="dxa"/>
            <w:tcBorders>
              <w:top w:val="nil"/>
              <w:left w:val="nil"/>
              <w:bottom w:val="nil"/>
              <w:right w:val="nil"/>
            </w:tcBorders>
            <w:noWrap/>
            <w:vAlign w:val="bottom"/>
          </w:tcPr>
          <w:p w:rsidR="000865BF" w:rsidRPr="00184B0B" w:rsidRDefault="000865BF" w:rsidP="00184B0B">
            <w:pPr>
              <w:widowControl/>
              <w:jc w:val="center"/>
              <w:rPr>
                <w:rFonts w:ascii="Arial" w:hAnsi="Arial" w:cs="Arial"/>
                <w:color w:val="000000"/>
                <w:kern w:val="0"/>
                <w:sz w:val="16"/>
                <w:szCs w:val="16"/>
              </w:rPr>
            </w:pPr>
            <w:r w:rsidRPr="00184B0B">
              <w:rPr>
                <w:rFonts w:ascii="Arial" w:hAnsi="Arial" w:cs="Arial"/>
                <w:color w:val="000000"/>
                <w:kern w:val="0"/>
                <w:sz w:val="16"/>
                <w:szCs w:val="16"/>
              </w:rPr>
              <w:t>8</w:t>
            </w:r>
          </w:p>
        </w:tc>
        <w:tc>
          <w:tcPr>
            <w:tcW w:w="1729" w:type="dxa"/>
            <w:tcBorders>
              <w:top w:val="nil"/>
              <w:left w:val="nil"/>
              <w:bottom w:val="nil"/>
              <w:right w:val="nil"/>
            </w:tcBorders>
            <w:noWrap/>
            <w:vAlign w:val="bottom"/>
          </w:tcPr>
          <w:p w:rsidR="000865BF" w:rsidRPr="00184B0B" w:rsidRDefault="000865BF" w:rsidP="00184B0B">
            <w:pPr>
              <w:widowControl/>
              <w:jc w:val="center"/>
              <w:rPr>
                <w:rFonts w:ascii="Arial" w:hAnsi="Arial" w:cs="Arial"/>
                <w:color w:val="000000"/>
                <w:kern w:val="0"/>
                <w:sz w:val="16"/>
                <w:szCs w:val="16"/>
              </w:rPr>
            </w:pPr>
            <w:r w:rsidRPr="00184B0B">
              <w:rPr>
                <w:rFonts w:ascii="Arial" w:hAnsi="Arial" w:cs="Arial"/>
                <w:color w:val="000000"/>
                <w:kern w:val="0"/>
                <w:sz w:val="16"/>
                <w:szCs w:val="16"/>
              </w:rPr>
              <w:t xml:space="preserve">63.54 </w:t>
            </w:r>
          </w:p>
        </w:tc>
        <w:tc>
          <w:tcPr>
            <w:tcW w:w="1741" w:type="dxa"/>
            <w:tcBorders>
              <w:top w:val="nil"/>
              <w:left w:val="nil"/>
              <w:bottom w:val="nil"/>
              <w:right w:val="nil"/>
            </w:tcBorders>
            <w:noWrap/>
            <w:vAlign w:val="bottom"/>
          </w:tcPr>
          <w:p w:rsidR="000865BF" w:rsidRPr="00184B0B" w:rsidRDefault="000865BF" w:rsidP="00184B0B">
            <w:pPr>
              <w:widowControl/>
              <w:jc w:val="center"/>
              <w:rPr>
                <w:rFonts w:ascii="Arial" w:hAnsi="Arial" w:cs="Arial"/>
                <w:color w:val="000000"/>
                <w:kern w:val="0"/>
                <w:sz w:val="16"/>
                <w:szCs w:val="16"/>
              </w:rPr>
            </w:pPr>
            <w:r w:rsidRPr="00184B0B">
              <w:rPr>
                <w:rFonts w:ascii="Arial" w:hAnsi="Arial" w:cs="Arial"/>
                <w:color w:val="000000"/>
                <w:kern w:val="0"/>
                <w:sz w:val="16"/>
                <w:szCs w:val="16"/>
              </w:rPr>
              <w:t xml:space="preserve">7.94 </w:t>
            </w:r>
          </w:p>
        </w:tc>
      </w:tr>
      <w:tr w:rsidR="000865BF" w:rsidRPr="0091641A" w:rsidTr="00184B0B">
        <w:trPr>
          <w:trHeight w:val="270"/>
        </w:trPr>
        <w:tc>
          <w:tcPr>
            <w:tcW w:w="1720" w:type="dxa"/>
            <w:tcBorders>
              <w:top w:val="nil"/>
              <w:left w:val="nil"/>
              <w:bottom w:val="nil"/>
              <w:right w:val="nil"/>
            </w:tcBorders>
            <w:noWrap/>
            <w:vAlign w:val="bottom"/>
          </w:tcPr>
          <w:p w:rsidR="000865BF" w:rsidRPr="00184B0B" w:rsidRDefault="000865BF" w:rsidP="00184B0B">
            <w:pPr>
              <w:widowControl/>
              <w:jc w:val="center"/>
              <w:rPr>
                <w:rFonts w:ascii="宋体" w:cs="宋体"/>
                <w:color w:val="000000"/>
                <w:kern w:val="0"/>
                <w:sz w:val="16"/>
                <w:szCs w:val="16"/>
              </w:rPr>
            </w:pPr>
            <w:r w:rsidRPr="00184B0B">
              <w:rPr>
                <w:rFonts w:ascii="宋体" w:hAnsi="宋体" w:cs="宋体" w:hint="eastAsia"/>
                <w:color w:val="000000"/>
                <w:kern w:val="0"/>
                <w:sz w:val="16"/>
                <w:szCs w:val="16"/>
              </w:rPr>
              <w:t>货币型</w:t>
            </w:r>
          </w:p>
        </w:tc>
        <w:tc>
          <w:tcPr>
            <w:tcW w:w="1722" w:type="dxa"/>
            <w:tcBorders>
              <w:top w:val="nil"/>
              <w:left w:val="nil"/>
              <w:bottom w:val="nil"/>
              <w:right w:val="nil"/>
            </w:tcBorders>
            <w:noWrap/>
            <w:vAlign w:val="bottom"/>
          </w:tcPr>
          <w:p w:rsidR="000865BF" w:rsidRPr="00184B0B" w:rsidRDefault="000865BF" w:rsidP="00184B0B">
            <w:pPr>
              <w:widowControl/>
              <w:jc w:val="center"/>
              <w:rPr>
                <w:rFonts w:ascii="Arial" w:hAnsi="Arial" w:cs="Arial"/>
                <w:color w:val="000000"/>
                <w:kern w:val="0"/>
                <w:sz w:val="16"/>
                <w:szCs w:val="16"/>
              </w:rPr>
            </w:pPr>
            <w:r w:rsidRPr="00184B0B">
              <w:rPr>
                <w:rFonts w:ascii="Arial" w:hAnsi="Arial" w:cs="Arial"/>
                <w:color w:val="000000"/>
                <w:kern w:val="0"/>
                <w:sz w:val="16"/>
                <w:szCs w:val="16"/>
              </w:rPr>
              <w:t>8</w:t>
            </w:r>
          </w:p>
        </w:tc>
        <w:tc>
          <w:tcPr>
            <w:tcW w:w="1729" w:type="dxa"/>
            <w:tcBorders>
              <w:top w:val="nil"/>
              <w:left w:val="nil"/>
              <w:bottom w:val="nil"/>
              <w:right w:val="nil"/>
            </w:tcBorders>
            <w:noWrap/>
            <w:vAlign w:val="bottom"/>
          </w:tcPr>
          <w:p w:rsidR="000865BF" w:rsidRPr="00184B0B" w:rsidRDefault="000865BF" w:rsidP="00184B0B">
            <w:pPr>
              <w:widowControl/>
              <w:jc w:val="center"/>
              <w:rPr>
                <w:rFonts w:ascii="Arial" w:hAnsi="Arial" w:cs="Arial"/>
                <w:color w:val="000000"/>
                <w:kern w:val="0"/>
                <w:sz w:val="16"/>
                <w:szCs w:val="16"/>
              </w:rPr>
            </w:pPr>
            <w:r w:rsidRPr="00184B0B">
              <w:rPr>
                <w:rFonts w:ascii="Arial" w:hAnsi="Arial" w:cs="Arial"/>
                <w:color w:val="000000"/>
                <w:kern w:val="0"/>
                <w:sz w:val="16"/>
                <w:szCs w:val="16"/>
              </w:rPr>
              <w:t xml:space="preserve">97.65 </w:t>
            </w:r>
          </w:p>
        </w:tc>
        <w:tc>
          <w:tcPr>
            <w:tcW w:w="1741" w:type="dxa"/>
            <w:tcBorders>
              <w:top w:val="nil"/>
              <w:left w:val="nil"/>
              <w:bottom w:val="nil"/>
              <w:right w:val="nil"/>
            </w:tcBorders>
            <w:noWrap/>
            <w:vAlign w:val="bottom"/>
          </w:tcPr>
          <w:p w:rsidR="000865BF" w:rsidRPr="00184B0B" w:rsidRDefault="000865BF" w:rsidP="00184B0B">
            <w:pPr>
              <w:widowControl/>
              <w:jc w:val="center"/>
              <w:rPr>
                <w:rFonts w:ascii="Arial" w:hAnsi="Arial" w:cs="Arial"/>
                <w:color w:val="000000"/>
                <w:kern w:val="0"/>
                <w:sz w:val="16"/>
                <w:szCs w:val="16"/>
              </w:rPr>
            </w:pPr>
            <w:r w:rsidRPr="00184B0B">
              <w:rPr>
                <w:rFonts w:ascii="Arial" w:hAnsi="Arial" w:cs="Arial"/>
                <w:color w:val="000000"/>
                <w:kern w:val="0"/>
                <w:sz w:val="16"/>
                <w:szCs w:val="16"/>
              </w:rPr>
              <w:t xml:space="preserve">12.21 </w:t>
            </w:r>
          </w:p>
        </w:tc>
      </w:tr>
      <w:tr w:rsidR="000865BF" w:rsidRPr="0091641A" w:rsidTr="00184B0B">
        <w:trPr>
          <w:trHeight w:val="270"/>
        </w:trPr>
        <w:tc>
          <w:tcPr>
            <w:tcW w:w="1720" w:type="dxa"/>
            <w:tcBorders>
              <w:top w:val="nil"/>
              <w:left w:val="nil"/>
              <w:bottom w:val="nil"/>
              <w:right w:val="nil"/>
            </w:tcBorders>
            <w:noWrap/>
            <w:vAlign w:val="bottom"/>
          </w:tcPr>
          <w:p w:rsidR="000865BF" w:rsidRPr="00184B0B" w:rsidRDefault="000865BF" w:rsidP="00184B0B">
            <w:pPr>
              <w:widowControl/>
              <w:jc w:val="center"/>
              <w:rPr>
                <w:rFonts w:ascii="宋体" w:cs="宋体"/>
                <w:color w:val="000000"/>
                <w:kern w:val="0"/>
                <w:sz w:val="16"/>
                <w:szCs w:val="16"/>
              </w:rPr>
            </w:pPr>
            <w:r w:rsidRPr="00184B0B">
              <w:rPr>
                <w:rFonts w:ascii="宋体" w:hAnsi="宋体" w:cs="宋体"/>
                <w:color w:val="000000"/>
                <w:kern w:val="0"/>
                <w:sz w:val="16"/>
                <w:szCs w:val="16"/>
              </w:rPr>
              <w:t>QDII</w:t>
            </w:r>
          </w:p>
        </w:tc>
        <w:tc>
          <w:tcPr>
            <w:tcW w:w="1722" w:type="dxa"/>
            <w:tcBorders>
              <w:top w:val="nil"/>
              <w:left w:val="nil"/>
              <w:bottom w:val="nil"/>
              <w:right w:val="nil"/>
            </w:tcBorders>
            <w:noWrap/>
            <w:vAlign w:val="bottom"/>
          </w:tcPr>
          <w:p w:rsidR="000865BF" w:rsidRPr="00184B0B" w:rsidRDefault="000865BF" w:rsidP="00184B0B">
            <w:pPr>
              <w:widowControl/>
              <w:jc w:val="center"/>
              <w:rPr>
                <w:rFonts w:ascii="Arial" w:hAnsi="Arial" w:cs="Arial"/>
                <w:color w:val="000000"/>
                <w:kern w:val="0"/>
                <w:sz w:val="16"/>
                <w:szCs w:val="16"/>
              </w:rPr>
            </w:pPr>
            <w:r w:rsidRPr="00184B0B">
              <w:rPr>
                <w:rFonts w:ascii="Arial" w:hAnsi="Arial" w:cs="Arial"/>
                <w:color w:val="000000"/>
                <w:kern w:val="0"/>
                <w:sz w:val="16"/>
                <w:szCs w:val="16"/>
              </w:rPr>
              <w:t>2</w:t>
            </w:r>
          </w:p>
        </w:tc>
        <w:tc>
          <w:tcPr>
            <w:tcW w:w="1729" w:type="dxa"/>
            <w:tcBorders>
              <w:top w:val="nil"/>
              <w:left w:val="nil"/>
              <w:bottom w:val="nil"/>
              <w:right w:val="nil"/>
            </w:tcBorders>
            <w:noWrap/>
            <w:vAlign w:val="bottom"/>
          </w:tcPr>
          <w:p w:rsidR="000865BF" w:rsidRPr="00184B0B" w:rsidRDefault="000865BF" w:rsidP="00184B0B">
            <w:pPr>
              <w:widowControl/>
              <w:jc w:val="center"/>
              <w:rPr>
                <w:rFonts w:ascii="Arial" w:hAnsi="Arial" w:cs="Arial"/>
                <w:color w:val="000000"/>
                <w:kern w:val="0"/>
                <w:sz w:val="16"/>
                <w:szCs w:val="16"/>
              </w:rPr>
            </w:pPr>
            <w:r w:rsidRPr="00184B0B">
              <w:rPr>
                <w:rFonts w:ascii="Arial" w:hAnsi="Arial" w:cs="Arial"/>
                <w:color w:val="000000"/>
                <w:kern w:val="0"/>
                <w:sz w:val="16"/>
                <w:szCs w:val="16"/>
              </w:rPr>
              <w:t xml:space="preserve">14.37 </w:t>
            </w:r>
          </w:p>
        </w:tc>
        <w:tc>
          <w:tcPr>
            <w:tcW w:w="1741" w:type="dxa"/>
            <w:tcBorders>
              <w:top w:val="nil"/>
              <w:left w:val="nil"/>
              <w:bottom w:val="nil"/>
              <w:right w:val="nil"/>
            </w:tcBorders>
            <w:noWrap/>
            <w:vAlign w:val="bottom"/>
          </w:tcPr>
          <w:p w:rsidR="000865BF" w:rsidRPr="00184B0B" w:rsidRDefault="000865BF" w:rsidP="00184B0B">
            <w:pPr>
              <w:widowControl/>
              <w:jc w:val="center"/>
              <w:rPr>
                <w:rFonts w:ascii="Arial" w:hAnsi="Arial" w:cs="Arial"/>
                <w:color w:val="000000"/>
                <w:kern w:val="0"/>
                <w:sz w:val="16"/>
                <w:szCs w:val="16"/>
              </w:rPr>
            </w:pPr>
            <w:r w:rsidRPr="00184B0B">
              <w:rPr>
                <w:rFonts w:ascii="Arial" w:hAnsi="Arial" w:cs="Arial"/>
                <w:color w:val="000000"/>
                <w:kern w:val="0"/>
                <w:sz w:val="16"/>
                <w:szCs w:val="16"/>
              </w:rPr>
              <w:t xml:space="preserve">7.18 </w:t>
            </w:r>
          </w:p>
        </w:tc>
      </w:tr>
      <w:tr w:rsidR="000865BF" w:rsidRPr="0091641A" w:rsidTr="00184B0B">
        <w:trPr>
          <w:trHeight w:val="285"/>
        </w:trPr>
        <w:tc>
          <w:tcPr>
            <w:tcW w:w="1720" w:type="dxa"/>
            <w:tcBorders>
              <w:top w:val="nil"/>
              <w:left w:val="nil"/>
              <w:bottom w:val="nil"/>
              <w:right w:val="nil"/>
            </w:tcBorders>
            <w:noWrap/>
            <w:vAlign w:val="bottom"/>
          </w:tcPr>
          <w:p w:rsidR="000865BF" w:rsidRPr="00184B0B" w:rsidRDefault="000865BF" w:rsidP="00184B0B">
            <w:pPr>
              <w:widowControl/>
              <w:jc w:val="center"/>
              <w:rPr>
                <w:rFonts w:ascii="宋体" w:cs="宋体"/>
                <w:b/>
                <w:bCs/>
                <w:color w:val="000000"/>
                <w:kern w:val="0"/>
                <w:sz w:val="16"/>
                <w:szCs w:val="16"/>
              </w:rPr>
            </w:pPr>
            <w:r w:rsidRPr="00184B0B">
              <w:rPr>
                <w:rFonts w:ascii="宋体" w:hAnsi="宋体" w:cs="宋体" w:hint="eastAsia"/>
                <w:b/>
                <w:bCs/>
                <w:color w:val="000000"/>
                <w:kern w:val="0"/>
                <w:sz w:val="16"/>
                <w:szCs w:val="16"/>
              </w:rPr>
              <w:t>汇总</w:t>
            </w:r>
          </w:p>
        </w:tc>
        <w:tc>
          <w:tcPr>
            <w:tcW w:w="1722" w:type="dxa"/>
            <w:tcBorders>
              <w:top w:val="nil"/>
              <w:left w:val="nil"/>
              <w:bottom w:val="nil"/>
              <w:right w:val="nil"/>
            </w:tcBorders>
            <w:noWrap/>
            <w:vAlign w:val="bottom"/>
          </w:tcPr>
          <w:p w:rsidR="000865BF" w:rsidRPr="00184B0B" w:rsidRDefault="000865BF" w:rsidP="00184B0B">
            <w:pPr>
              <w:widowControl/>
              <w:jc w:val="center"/>
              <w:rPr>
                <w:rFonts w:ascii="Arial" w:hAnsi="Arial" w:cs="Arial"/>
                <w:b/>
                <w:bCs/>
                <w:color w:val="000000"/>
                <w:kern w:val="0"/>
                <w:sz w:val="16"/>
                <w:szCs w:val="16"/>
              </w:rPr>
            </w:pPr>
            <w:r w:rsidRPr="00184B0B">
              <w:rPr>
                <w:rFonts w:ascii="Arial" w:hAnsi="Arial" w:cs="Arial"/>
                <w:b/>
                <w:bCs/>
                <w:color w:val="000000"/>
                <w:kern w:val="0"/>
                <w:sz w:val="16"/>
                <w:szCs w:val="16"/>
              </w:rPr>
              <w:t>30</w:t>
            </w:r>
          </w:p>
        </w:tc>
        <w:tc>
          <w:tcPr>
            <w:tcW w:w="1729" w:type="dxa"/>
            <w:tcBorders>
              <w:top w:val="nil"/>
              <w:left w:val="nil"/>
              <w:bottom w:val="nil"/>
              <w:right w:val="nil"/>
            </w:tcBorders>
            <w:noWrap/>
            <w:vAlign w:val="bottom"/>
          </w:tcPr>
          <w:p w:rsidR="000865BF" w:rsidRPr="00184B0B" w:rsidRDefault="000865BF" w:rsidP="00184B0B">
            <w:pPr>
              <w:widowControl/>
              <w:jc w:val="center"/>
              <w:rPr>
                <w:rFonts w:ascii="Arial" w:hAnsi="Arial" w:cs="Arial"/>
                <w:b/>
                <w:bCs/>
                <w:color w:val="000000"/>
                <w:kern w:val="0"/>
                <w:sz w:val="16"/>
                <w:szCs w:val="16"/>
              </w:rPr>
            </w:pPr>
            <w:r w:rsidRPr="00184B0B">
              <w:rPr>
                <w:rFonts w:ascii="Arial" w:hAnsi="Arial" w:cs="Arial"/>
                <w:b/>
                <w:bCs/>
                <w:color w:val="000000"/>
                <w:kern w:val="0"/>
                <w:sz w:val="16"/>
                <w:szCs w:val="16"/>
              </w:rPr>
              <w:t xml:space="preserve">284.02 </w:t>
            </w:r>
          </w:p>
        </w:tc>
        <w:tc>
          <w:tcPr>
            <w:tcW w:w="1741" w:type="dxa"/>
            <w:tcBorders>
              <w:top w:val="nil"/>
              <w:left w:val="nil"/>
              <w:bottom w:val="nil"/>
              <w:right w:val="nil"/>
            </w:tcBorders>
            <w:noWrap/>
            <w:vAlign w:val="bottom"/>
          </w:tcPr>
          <w:p w:rsidR="000865BF" w:rsidRPr="00184B0B" w:rsidRDefault="000865BF" w:rsidP="00184B0B">
            <w:pPr>
              <w:widowControl/>
              <w:jc w:val="center"/>
              <w:rPr>
                <w:rFonts w:ascii="Arial" w:hAnsi="Arial" w:cs="Arial"/>
                <w:b/>
                <w:bCs/>
                <w:color w:val="000000"/>
                <w:kern w:val="0"/>
                <w:sz w:val="16"/>
                <w:szCs w:val="16"/>
              </w:rPr>
            </w:pPr>
            <w:r w:rsidRPr="00184B0B">
              <w:rPr>
                <w:rFonts w:ascii="Arial" w:hAnsi="Arial" w:cs="Arial"/>
                <w:b/>
                <w:bCs/>
                <w:color w:val="000000"/>
                <w:kern w:val="0"/>
                <w:sz w:val="16"/>
                <w:szCs w:val="16"/>
              </w:rPr>
              <w:t xml:space="preserve">9.47 </w:t>
            </w:r>
          </w:p>
        </w:tc>
      </w:tr>
      <w:tr w:rsidR="000865BF" w:rsidRPr="0091641A" w:rsidTr="00184B0B">
        <w:trPr>
          <w:trHeight w:val="285"/>
        </w:trPr>
        <w:tc>
          <w:tcPr>
            <w:tcW w:w="3441" w:type="dxa"/>
            <w:gridSpan w:val="2"/>
            <w:tcBorders>
              <w:top w:val="single" w:sz="8" w:space="0" w:color="E46D0A"/>
              <w:left w:val="nil"/>
              <w:bottom w:val="single" w:sz="8" w:space="0" w:color="E46D0A"/>
              <w:right w:val="nil"/>
            </w:tcBorders>
            <w:noWrap/>
            <w:vAlign w:val="bottom"/>
          </w:tcPr>
          <w:p w:rsidR="000865BF" w:rsidRPr="00184B0B" w:rsidRDefault="000865BF" w:rsidP="00184B0B">
            <w:pPr>
              <w:widowControl/>
              <w:jc w:val="left"/>
              <w:rPr>
                <w:rFonts w:ascii="宋体" w:cs="宋体"/>
                <w:color w:val="000000"/>
                <w:kern w:val="0"/>
                <w:sz w:val="16"/>
                <w:szCs w:val="16"/>
              </w:rPr>
            </w:pPr>
            <w:r w:rsidRPr="00184B0B">
              <w:rPr>
                <w:rFonts w:ascii="宋体" w:hAnsi="宋体" w:cs="宋体" w:hint="eastAsia"/>
                <w:color w:val="000000"/>
                <w:kern w:val="0"/>
                <w:sz w:val="16"/>
                <w:szCs w:val="16"/>
              </w:rPr>
              <w:t>来源：凯石财富工场</w:t>
            </w:r>
          </w:p>
        </w:tc>
        <w:tc>
          <w:tcPr>
            <w:tcW w:w="1729" w:type="dxa"/>
            <w:tcBorders>
              <w:top w:val="single" w:sz="8" w:space="0" w:color="E46D0A"/>
              <w:left w:val="nil"/>
              <w:bottom w:val="single" w:sz="8" w:space="0" w:color="E46D0A"/>
              <w:right w:val="nil"/>
            </w:tcBorders>
            <w:noWrap/>
            <w:vAlign w:val="bottom"/>
          </w:tcPr>
          <w:p w:rsidR="000865BF" w:rsidRPr="00184B0B" w:rsidRDefault="000865BF" w:rsidP="00184B0B">
            <w:pPr>
              <w:widowControl/>
              <w:jc w:val="left"/>
              <w:rPr>
                <w:rFonts w:ascii="宋体" w:cs="宋体"/>
                <w:color w:val="000000"/>
                <w:kern w:val="0"/>
                <w:sz w:val="16"/>
                <w:szCs w:val="16"/>
              </w:rPr>
            </w:pPr>
            <w:r w:rsidRPr="00184B0B">
              <w:rPr>
                <w:rFonts w:ascii="宋体" w:hAnsi="宋体" w:cs="宋体" w:hint="eastAsia"/>
                <w:color w:val="000000"/>
                <w:kern w:val="0"/>
                <w:sz w:val="16"/>
                <w:szCs w:val="16"/>
              </w:rPr>
              <w:t xml:space="preserve">　</w:t>
            </w:r>
          </w:p>
        </w:tc>
        <w:tc>
          <w:tcPr>
            <w:tcW w:w="1741" w:type="dxa"/>
            <w:tcBorders>
              <w:top w:val="single" w:sz="8" w:space="0" w:color="E46D0A"/>
              <w:left w:val="nil"/>
              <w:bottom w:val="single" w:sz="8" w:space="0" w:color="E46D0A"/>
              <w:right w:val="nil"/>
            </w:tcBorders>
            <w:noWrap/>
            <w:vAlign w:val="bottom"/>
          </w:tcPr>
          <w:p w:rsidR="000865BF" w:rsidRPr="00184B0B" w:rsidRDefault="000865BF" w:rsidP="00184B0B">
            <w:pPr>
              <w:widowControl/>
              <w:jc w:val="left"/>
              <w:rPr>
                <w:rFonts w:ascii="宋体" w:cs="宋体"/>
                <w:color w:val="000000"/>
                <w:kern w:val="0"/>
                <w:sz w:val="16"/>
                <w:szCs w:val="16"/>
              </w:rPr>
            </w:pPr>
            <w:r w:rsidRPr="00184B0B">
              <w:rPr>
                <w:rFonts w:ascii="宋体" w:hAnsi="宋体" w:cs="宋体" w:hint="eastAsia"/>
                <w:color w:val="000000"/>
                <w:kern w:val="0"/>
                <w:sz w:val="16"/>
                <w:szCs w:val="16"/>
              </w:rPr>
              <w:t xml:space="preserve">　</w:t>
            </w:r>
          </w:p>
        </w:tc>
      </w:tr>
    </w:tbl>
    <w:p w:rsidR="000865BF" w:rsidRDefault="000865BF" w:rsidP="00D06FC1">
      <w:pPr>
        <w:pStyle w:val="BodyText"/>
        <w:spacing w:after="163"/>
        <w:ind w:left="0"/>
        <w:rPr>
          <w:color w:val="auto"/>
        </w:rPr>
      </w:pPr>
    </w:p>
    <w:p w:rsidR="000865BF" w:rsidRDefault="000865BF" w:rsidP="001E7E57">
      <w:pPr>
        <w:widowControl/>
        <w:spacing w:beforeLines="100" w:after="120" w:line="240" w:lineRule="exact"/>
        <w:ind w:firstLineChars="1421" w:firstLine="3424"/>
        <w:rPr>
          <w:rFonts w:ascii="Arial" w:eastAsia="KaiTi_GB2312" w:hAnsi="Arial"/>
          <w:b/>
          <w:bCs/>
          <w:color w:val="0070C0"/>
          <w:kern w:val="0"/>
          <w:sz w:val="24"/>
          <w:szCs w:val="20"/>
          <w:lang w:val="en-GB"/>
        </w:rPr>
      </w:pPr>
      <w:r>
        <w:rPr>
          <w:rFonts w:ascii="Arial" w:eastAsia="KaiTi_GB2312" w:hAnsi="Arial" w:hint="eastAsia"/>
          <w:b/>
          <w:bCs/>
          <w:color w:val="0070C0"/>
          <w:kern w:val="0"/>
          <w:sz w:val="24"/>
          <w:szCs w:val="20"/>
          <w:lang w:val="en-GB"/>
        </w:rPr>
        <w:t>公募基金行业发展动态</w:t>
      </w:r>
    </w:p>
    <w:p w:rsidR="000865BF" w:rsidRPr="00CD28D7" w:rsidRDefault="000865BF" w:rsidP="001E7E57">
      <w:pPr>
        <w:widowControl/>
        <w:spacing w:beforeLines="100" w:after="120" w:line="240" w:lineRule="exact"/>
        <w:ind w:firstLineChars="1609" w:firstLine="3392"/>
        <w:rPr>
          <w:rFonts w:ascii="Arial" w:eastAsia="KaiTi_GB2312" w:hAnsi="Arial"/>
          <w:b/>
          <w:bCs/>
          <w:color w:val="0070C0"/>
          <w:kern w:val="0"/>
          <w:sz w:val="24"/>
          <w:szCs w:val="20"/>
          <w:lang w:val="en-GB"/>
        </w:rPr>
      </w:pPr>
      <w:r w:rsidRPr="00100786">
        <w:rPr>
          <w:rFonts w:ascii="Arial" w:eastAsia="KaiTi_GB2312" w:hAnsi="Arial" w:hint="eastAsia"/>
          <w:b/>
          <w:bCs/>
          <w:color w:val="0070C0"/>
          <w:kern w:val="0"/>
          <w:szCs w:val="21"/>
          <w:lang w:val="en-GB"/>
        </w:rPr>
        <w:t>协会规范公募基金销售行为：营造公平竞争环境</w:t>
      </w:r>
    </w:p>
    <w:p w:rsidR="000865BF" w:rsidRDefault="000865BF" w:rsidP="00543884">
      <w:pPr>
        <w:pStyle w:val="BodyText"/>
        <w:numPr>
          <w:ilvl w:val="4"/>
          <w:numId w:val="1"/>
        </w:numPr>
        <w:spacing w:after="163"/>
        <w:rPr>
          <w:color w:val="auto"/>
        </w:rPr>
      </w:pPr>
      <w:r w:rsidRPr="00100786">
        <w:rPr>
          <w:rFonts w:hint="eastAsia"/>
          <w:color w:val="auto"/>
        </w:rPr>
        <w:t>中国证券投资基金业协会</w:t>
      </w:r>
      <w:r w:rsidRPr="00100786">
        <w:rPr>
          <w:color w:val="auto"/>
        </w:rPr>
        <w:t>8</w:t>
      </w:r>
      <w:r w:rsidRPr="00100786">
        <w:rPr>
          <w:rFonts w:hint="eastAsia"/>
          <w:color w:val="auto"/>
        </w:rPr>
        <w:t>月</w:t>
      </w:r>
      <w:r w:rsidRPr="00100786">
        <w:rPr>
          <w:color w:val="auto"/>
        </w:rPr>
        <w:t>19</w:t>
      </w:r>
      <w:r w:rsidRPr="00100786">
        <w:rPr>
          <w:rFonts w:hint="eastAsia"/>
          <w:color w:val="auto"/>
        </w:rPr>
        <w:t>日发布《公开募集证券投资基金销售公平竞争行为规范》，对于公募基金管理人、基金销售机构、公募基金特定客户资产管理计划的销售活动从基本管理制度、组织架构、工作机制、活动审批、财务制度、人员行为等方面提出</w:t>
      </w:r>
      <w:r>
        <w:rPr>
          <w:rFonts w:hint="eastAsia"/>
          <w:color w:val="auto"/>
        </w:rPr>
        <w:t>了</w:t>
      </w:r>
      <w:r w:rsidRPr="00100786">
        <w:rPr>
          <w:rFonts w:hint="eastAsia"/>
          <w:color w:val="auto"/>
        </w:rPr>
        <w:t>防治商业贿赂和不正当竞争行为的要求。《规范》明确了：基金管理人和基金销售机构开展的基金销售活动应具有实质性内容，能真正服务于基金销售；基金销售机构应自觉抵制商业贿赂和不正当竞争行为，加强对本机构中基金销售人员行为规范的检查和监督。《公开募集证券投资基金销售公平竞争行为规范》的提出对于确保基金销售合法、规范、有序开展，营造公平竞争环境，保护投资者利益起到重要推动作用。</w:t>
      </w:r>
    </w:p>
    <w:p w:rsidR="000865BF" w:rsidRDefault="000865BF" w:rsidP="00D06FC1">
      <w:pPr>
        <w:pStyle w:val="BodyText"/>
        <w:spacing w:after="163"/>
        <w:rPr>
          <w:b/>
          <w:bCs/>
          <w:color w:val="0070C0"/>
          <w:szCs w:val="21"/>
        </w:rPr>
      </w:pPr>
      <w:r w:rsidRPr="00B17375">
        <w:rPr>
          <w:rFonts w:hint="eastAsia"/>
          <w:b/>
          <w:bCs/>
          <w:color w:val="0070C0"/>
          <w:szCs w:val="21"/>
        </w:rPr>
        <w:t>沪市小额账户实时申赎货基限制放开</w:t>
      </w:r>
    </w:p>
    <w:p w:rsidR="000865BF" w:rsidRDefault="000865BF" w:rsidP="00D83752">
      <w:pPr>
        <w:pStyle w:val="BodyText"/>
        <w:numPr>
          <w:ilvl w:val="4"/>
          <w:numId w:val="1"/>
        </w:numPr>
        <w:spacing w:after="163"/>
        <w:rPr>
          <w:color w:val="auto"/>
        </w:rPr>
      </w:pPr>
      <w:r w:rsidRPr="00B17375">
        <w:rPr>
          <w:color w:val="auto"/>
        </w:rPr>
        <w:t>2014</w:t>
      </w:r>
      <w:r w:rsidRPr="00B17375">
        <w:rPr>
          <w:rFonts w:hint="eastAsia"/>
          <w:color w:val="auto"/>
        </w:rPr>
        <w:t>年</w:t>
      </w:r>
      <w:r w:rsidRPr="00B17375">
        <w:rPr>
          <w:color w:val="auto"/>
        </w:rPr>
        <w:t>8</w:t>
      </w:r>
      <w:r w:rsidRPr="00B17375">
        <w:rPr>
          <w:rFonts w:hint="eastAsia"/>
          <w:color w:val="auto"/>
        </w:rPr>
        <w:t>月</w:t>
      </w:r>
      <w:r w:rsidRPr="00B17375">
        <w:rPr>
          <w:color w:val="auto"/>
        </w:rPr>
        <w:t>13</w:t>
      </w:r>
      <w:r w:rsidRPr="00B17375">
        <w:rPr>
          <w:rFonts w:hint="eastAsia"/>
          <w:color w:val="auto"/>
        </w:rPr>
        <w:t>日，上交所发布公告，为提升上海证券交易所货币市场基金场内实时申购、赎回业务的投资者体验，改善市场普遍反映的该类型产品“赎回难”问题，上海证券交易所将于</w:t>
      </w:r>
      <w:r w:rsidRPr="00B17375">
        <w:rPr>
          <w:color w:val="auto"/>
        </w:rPr>
        <w:t>8</w:t>
      </w:r>
      <w:r w:rsidRPr="00B17375">
        <w:rPr>
          <w:rFonts w:hint="eastAsia"/>
          <w:color w:val="auto"/>
        </w:rPr>
        <w:t>月</w:t>
      </w:r>
      <w:r w:rsidRPr="00B17375">
        <w:rPr>
          <w:color w:val="auto"/>
        </w:rPr>
        <w:t>18</w:t>
      </w:r>
      <w:r w:rsidRPr="00B17375">
        <w:rPr>
          <w:rFonts w:hint="eastAsia"/>
          <w:color w:val="auto"/>
        </w:rPr>
        <w:t>日对此类型业务实施优化，即允许小额账户不受基金净赎回额度限制。</w:t>
      </w:r>
    </w:p>
    <w:p w:rsidR="000865BF" w:rsidRPr="00B17375" w:rsidRDefault="000865BF" w:rsidP="00D83752">
      <w:pPr>
        <w:pStyle w:val="BodyText"/>
        <w:numPr>
          <w:ilvl w:val="4"/>
          <w:numId w:val="1"/>
        </w:numPr>
        <w:spacing w:after="163"/>
        <w:rPr>
          <w:color w:val="auto"/>
        </w:rPr>
      </w:pPr>
      <w:r w:rsidRPr="00775575">
        <w:rPr>
          <w:rFonts w:hint="eastAsia"/>
          <w:color w:val="auto"/>
        </w:rPr>
        <w:t>从实施层面来看，小额账户的界定标准将由基金公司根据自身情况进行制定并每日公布。从已公布细则的相关基金业务开展来看，多数基金对小额账户界定上限为</w:t>
      </w:r>
      <w:r w:rsidRPr="00775575">
        <w:rPr>
          <w:color w:val="auto"/>
        </w:rPr>
        <w:t>10</w:t>
      </w:r>
      <w:r w:rsidRPr="00775575">
        <w:rPr>
          <w:rFonts w:hint="eastAsia"/>
          <w:color w:val="auto"/>
        </w:rPr>
        <w:t>万元，嘉实保证金上限相对较高，为</w:t>
      </w:r>
      <w:r w:rsidRPr="00775575">
        <w:rPr>
          <w:color w:val="auto"/>
        </w:rPr>
        <w:t>50</w:t>
      </w:r>
      <w:r w:rsidRPr="00775575">
        <w:rPr>
          <w:rFonts w:hint="eastAsia"/>
          <w:color w:val="auto"/>
        </w:rPr>
        <w:t>万元。此外新规在各项流动性控制指标中，仅对符合条件的小额账户放开赎回环节的净赎回额度指标，而其他指标如基金总赎回、单账户总赎回等仍将受到相关限制，但由于符合条件的投资者资金总量较小，单账户总赎回额度指标在实际中几无影响，部分基金如广发现金宝、华夏保证金在总赎回量上有所限制，但实际设定额度较高，因而影响相对有限。值得注意的是，一旦相关基金面临的流动性风险压力加大，仍可通过降低小额账户标准和总赎回上限，来保证基金平稳运作。总体来看，新规的出台，将有助于促进小额投资者对场内申赎货币基金的投资热情，提升场内保证金投资利用效率。</w:t>
      </w:r>
    </w:p>
    <w:p w:rsidR="000865BF" w:rsidRDefault="000865BF" w:rsidP="00D83752">
      <w:pPr>
        <w:pStyle w:val="BodyText"/>
        <w:spacing w:after="163"/>
        <w:rPr>
          <w:b/>
          <w:bCs/>
          <w:color w:val="0070C0"/>
          <w:szCs w:val="21"/>
        </w:rPr>
      </w:pPr>
      <w:r>
        <w:rPr>
          <w:rFonts w:hint="eastAsia"/>
          <w:b/>
          <w:bCs/>
          <w:color w:val="0070C0"/>
          <w:szCs w:val="21"/>
        </w:rPr>
        <w:t>汇添富理财</w:t>
      </w:r>
      <w:r>
        <w:rPr>
          <w:b/>
          <w:bCs/>
          <w:color w:val="0070C0"/>
          <w:szCs w:val="21"/>
        </w:rPr>
        <w:t>28</w:t>
      </w:r>
      <w:r>
        <w:rPr>
          <w:rFonts w:hint="eastAsia"/>
          <w:b/>
          <w:bCs/>
          <w:color w:val="0070C0"/>
          <w:szCs w:val="21"/>
        </w:rPr>
        <w:t>天打响公募主动清盘第一枪</w:t>
      </w:r>
    </w:p>
    <w:p w:rsidR="000865BF" w:rsidRDefault="000865BF" w:rsidP="00D83752">
      <w:pPr>
        <w:pStyle w:val="BodyText"/>
        <w:numPr>
          <w:ilvl w:val="4"/>
          <w:numId w:val="1"/>
        </w:numPr>
        <w:spacing w:after="163"/>
        <w:rPr>
          <w:color w:val="auto"/>
        </w:rPr>
      </w:pPr>
      <w:r w:rsidRPr="00CF1618">
        <w:rPr>
          <w:color w:val="auto"/>
        </w:rPr>
        <w:t>8</w:t>
      </w:r>
      <w:r w:rsidRPr="00CF1618">
        <w:rPr>
          <w:rFonts w:hint="eastAsia"/>
          <w:color w:val="auto"/>
        </w:rPr>
        <w:t>月</w:t>
      </w:r>
      <w:r w:rsidRPr="00CF1618">
        <w:rPr>
          <w:color w:val="auto"/>
        </w:rPr>
        <w:t>16</w:t>
      </w:r>
      <w:r w:rsidRPr="00CF1618">
        <w:rPr>
          <w:rFonts w:hint="eastAsia"/>
          <w:color w:val="auto"/>
        </w:rPr>
        <w:t>日，汇添富基金发布了关于召开汇添富理财</w:t>
      </w:r>
      <w:r w:rsidRPr="00CF1618">
        <w:rPr>
          <w:color w:val="auto"/>
        </w:rPr>
        <w:t>28</w:t>
      </w:r>
      <w:r w:rsidRPr="00CF1618">
        <w:rPr>
          <w:rFonts w:hint="eastAsia"/>
          <w:color w:val="auto"/>
        </w:rPr>
        <w:t>天债券型证券投资基金基金份额持有人大会的公告，将审议关于终止汇添富理财</w:t>
      </w:r>
      <w:r w:rsidRPr="00CF1618">
        <w:rPr>
          <w:color w:val="auto"/>
        </w:rPr>
        <w:t>28</w:t>
      </w:r>
      <w:r w:rsidRPr="00CF1618">
        <w:rPr>
          <w:rFonts w:hint="eastAsia"/>
          <w:color w:val="auto"/>
        </w:rPr>
        <w:t>天债券型证券投资基金基金合同有关事项的议案。如果份额持有人大会审议通过该项议案，该基金即将成为中国公募业首只主动清算的基金。</w:t>
      </w:r>
    </w:p>
    <w:p w:rsidR="000865BF" w:rsidRDefault="000865BF" w:rsidP="00D83752">
      <w:pPr>
        <w:pStyle w:val="BodyText"/>
        <w:numPr>
          <w:ilvl w:val="4"/>
          <w:numId w:val="1"/>
        </w:numPr>
        <w:spacing w:after="163"/>
        <w:rPr>
          <w:color w:val="auto"/>
        </w:rPr>
      </w:pPr>
      <w:r>
        <w:rPr>
          <w:rFonts w:hint="eastAsia"/>
          <w:color w:val="auto"/>
        </w:rPr>
        <w:t>从该基金实际情况来看，提出清盘并非由于触及政策规则所设定的公募基金</w:t>
      </w:r>
      <w:r>
        <w:rPr>
          <w:color w:val="auto"/>
        </w:rPr>
        <w:t>5000</w:t>
      </w:r>
      <w:r>
        <w:rPr>
          <w:rFonts w:hint="eastAsia"/>
          <w:color w:val="auto"/>
        </w:rPr>
        <w:t>万规模红线、也不是产品业绩面临巨亏压力，而是在产品设计层面上不尽合理，不能较好的契合投资者申赎习惯及投资需求，且规模相对较小，维持运应成本较高，选择主动清盘则能</w:t>
      </w:r>
      <w:r w:rsidRPr="00CF1618">
        <w:rPr>
          <w:rFonts w:hint="eastAsia"/>
          <w:color w:val="auto"/>
        </w:rPr>
        <w:t>更好地</w:t>
      </w:r>
      <w:r>
        <w:rPr>
          <w:rFonts w:hint="eastAsia"/>
          <w:color w:val="auto"/>
        </w:rPr>
        <w:t>提升内部资源的有效利用。此举一出获得业内广泛认可，也为迷你基金的运作处理提供新的处置思路。</w:t>
      </w:r>
    </w:p>
    <w:p w:rsidR="000865BF" w:rsidRDefault="000865BF">
      <w:pPr>
        <w:widowControl/>
        <w:jc w:val="left"/>
        <w:rPr>
          <w:rFonts w:ascii="Arial" w:eastAsia="KaiTi_GB2312" w:hAnsi="Arial"/>
          <w:b/>
          <w:kern w:val="0"/>
          <w:szCs w:val="20"/>
          <w:lang w:val="en-GB"/>
        </w:rPr>
      </w:pPr>
      <w:r>
        <w:rPr>
          <w:rFonts w:ascii="Arial" w:eastAsia="KaiTi_GB2312" w:hAnsi="Arial"/>
          <w:b/>
          <w:kern w:val="0"/>
          <w:szCs w:val="20"/>
          <w:lang w:val="en-GB"/>
        </w:rPr>
        <w:br w:type="page"/>
      </w:r>
    </w:p>
    <w:p w:rsidR="000865BF" w:rsidRPr="001609A2" w:rsidRDefault="000865BF" w:rsidP="00B10000">
      <w:pPr>
        <w:pStyle w:val="a4"/>
        <w:spacing w:after="312"/>
        <w:rPr>
          <w:rFonts w:ascii="Arial" w:eastAsia="KaiTi_GB2312" w:hAnsi="Arial"/>
          <w:b/>
          <w:kern w:val="0"/>
          <w:sz w:val="21"/>
          <w:szCs w:val="20"/>
          <w:lang w:val="en-GB"/>
        </w:rPr>
      </w:pPr>
      <w:r w:rsidRPr="001609A2">
        <w:rPr>
          <w:rFonts w:ascii="Arial" w:eastAsia="KaiTi_GB2312" w:hAnsi="Arial" w:hint="eastAsia"/>
          <w:b/>
          <w:kern w:val="0"/>
          <w:sz w:val="21"/>
          <w:szCs w:val="20"/>
          <w:lang w:val="en-GB"/>
        </w:rPr>
        <w:t>特别声明：</w:t>
      </w:r>
    </w:p>
    <w:p w:rsidR="000865BF" w:rsidRPr="001609A2" w:rsidRDefault="000865BF" w:rsidP="001E7E57">
      <w:pPr>
        <w:pStyle w:val="a4"/>
        <w:spacing w:beforeLines="50" w:after="312"/>
        <w:rPr>
          <w:rFonts w:ascii="Arial" w:eastAsia="KaiTi_GB2312" w:hAnsi="Arial"/>
          <w:kern w:val="0"/>
          <w:sz w:val="21"/>
          <w:szCs w:val="20"/>
          <w:lang w:val="en-GB"/>
        </w:rPr>
      </w:pPr>
      <w:r w:rsidRPr="001609A2">
        <w:rPr>
          <w:rFonts w:ascii="Arial" w:eastAsia="KaiTi_GB2312" w:hAnsi="Arial"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0865BF" w:rsidRPr="001609A2" w:rsidRDefault="000865BF" w:rsidP="001E7E57">
      <w:pPr>
        <w:pStyle w:val="a4"/>
        <w:spacing w:beforeLines="50" w:after="312"/>
        <w:rPr>
          <w:rFonts w:ascii="Arial" w:eastAsia="KaiTi_GB2312" w:hAnsi="Arial"/>
          <w:kern w:val="0"/>
          <w:sz w:val="21"/>
          <w:szCs w:val="20"/>
          <w:lang w:val="en-GB"/>
        </w:rPr>
      </w:pPr>
      <w:r w:rsidRPr="001609A2">
        <w:rPr>
          <w:rFonts w:ascii="Arial" w:eastAsia="KaiTi_GB2312" w:hAnsi="Arial"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0865BF" w:rsidRPr="001609A2" w:rsidRDefault="000865BF" w:rsidP="001E7E57">
      <w:pPr>
        <w:pStyle w:val="a4"/>
        <w:spacing w:beforeLines="50" w:after="312"/>
        <w:rPr>
          <w:rFonts w:ascii="Arial" w:eastAsia="KaiTi_GB2312" w:hAnsi="Arial"/>
          <w:kern w:val="0"/>
          <w:sz w:val="21"/>
          <w:szCs w:val="20"/>
          <w:lang w:val="en-GB"/>
        </w:rPr>
      </w:pPr>
      <w:r w:rsidRPr="001609A2">
        <w:rPr>
          <w:rFonts w:ascii="Arial" w:eastAsia="KaiTi_GB2312" w:hAnsi="Arial"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0865BF" w:rsidRPr="00B10000" w:rsidRDefault="000865BF">
      <w:pPr>
        <w:rPr>
          <w:lang w:val="en-GB"/>
        </w:rPr>
      </w:pPr>
    </w:p>
    <w:sectPr w:rsidR="000865BF" w:rsidRPr="00B10000" w:rsidSect="00656031">
      <w:headerReference w:type="even" r:id="rId9"/>
      <w:headerReference w:type="default" r:id="rId10"/>
      <w:footerReference w:type="even" r:id="rId11"/>
      <w:footerReference w:type="default" r:id="rId12"/>
      <w:headerReference w:type="first" r:id="rId13"/>
      <w:footerReference w:type="first" r:id="rId14"/>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5BF" w:rsidRDefault="000865BF" w:rsidP="00B10000">
      <w:r>
        <w:separator/>
      </w:r>
    </w:p>
  </w:endnote>
  <w:endnote w:type="continuationSeparator" w:id="0">
    <w:p w:rsidR="000865BF" w:rsidRDefault="000865BF"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KaiTi_GB2312">
    <w:altName w:val="楷体"/>
    <w:panose1 w:val="02010609060101010101"/>
    <w:charset w:val="86"/>
    <w:family w:val="modern"/>
    <w:pitch w:val="fixed"/>
    <w:sig w:usb0="00000003" w:usb1="080E0000" w:usb2="0000001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5BF" w:rsidRDefault="000865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5BF" w:rsidRDefault="000865BF">
    <w:pPr>
      <w:pStyle w:val="Footer"/>
      <w:jc w:val="center"/>
    </w:pPr>
    <w:r>
      <w:pict>
        <v:rect id="_x0000_i1031"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6</w:t>
    </w:r>
    <w:r>
      <w:rPr>
        <w:b/>
      </w:rPr>
      <w:fldChar w:fldCharType="end"/>
    </w:r>
    <w:r>
      <w:rPr>
        <w:lang w:val="zh-CN"/>
      </w:rPr>
      <w:t xml:space="preserve"> / </w:t>
    </w:r>
    <w:r>
      <w:rPr>
        <w:b/>
      </w:rPr>
      <w:fldChar w:fldCharType="begin"/>
    </w:r>
    <w:r>
      <w:rPr>
        <w:b/>
      </w:rPr>
      <w:instrText>NUMPAGES</w:instrText>
    </w:r>
    <w:r>
      <w:rPr>
        <w:b/>
      </w:rPr>
      <w:fldChar w:fldCharType="separate"/>
    </w:r>
    <w:r>
      <w:rPr>
        <w:b/>
        <w:noProof/>
      </w:rPr>
      <w:t>6</w:t>
    </w:r>
    <w:r>
      <w:rPr>
        <w:b/>
      </w:rPr>
      <w:fldChar w:fldCharType="end"/>
    </w:r>
  </w:p>
  <w:p w:rsidR="000865BF" w:rsidRDefault="000865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5BF" w:rsidRDefault="000865BF">
    <w:pPr>
      <w:pStyle w:val="Footer"/>
      <w:jc w:val="center"/>
    </w:pPr>
    <w:r>
      <w:pict>
        <v:rect id="_x0000_i1040"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1</w:t>
    </w:r>
    <w:r>
      <w:rPr>
        <w:b/>
      </w:rPr>
      <w:fldChar w:fldCharType="end"/>
    </w:r>
    <w:r>
      <w:rPr>
        <w:lang w:val="zh-CN"/>
      </w:rPr>
      <w:t xml:space="preserve"> / </w:t>
    </w:r>
    <w:r>
      <w:rPr>
        <w:b/>
      </w:rPr>
      <w:fldChar w:fldCharType="begin"/>
    </w:r>
    <w:r>
      <w:rPr>
        <w:b/>
      </w:rPr>
      <w:instrText>NUMPAGES</w:instrText>
    </w:r>
    <w:r>
      <w:rPr>
        <w:b/>
      </w:rPr>
      <w:fldChar w:fldCharType="separate"/>
    </w:r>
    <w:r>
      <w:rPr>
        <w:b/>
        <w:noProof/>
      </w:rPr>
      <w:t>6</w:t>
    </w:r>
    <w:r>
      <w:rPr>
        <w:b/>
      </w:rPr>
      <w:fldChar w:fldCharType="end"/>
    </w:r>
  </w:p>
  <w:p w:rsidR="000865BF" w:rsidRDefault="000865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5BF" w:rsidRDefault="000865BF" w:rsidP="00B10000">
      <w:r>
        <w:separator/>
      </w:r>
    </w:p>
  </w:footnote>
  <w:footnote w:type="continuationSeparator" w:id="0">
    <w:p w:rsidR="000865BF" w:rsidRDefault="000865BF"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5BF" w:rsidRDefault="000865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5BF" w:rsidRDefault="000865BF" w:rsidP="00B10000">
    <w:pPr>
      <w:pStyle w:val="Header"/>
      <w:pBdr>
        <w:bottom w:val="none" w:sz="0" w:space="0" w:color="auto"/>
      </w:pBdr>
    </w:pPr>
    <w:r>
      <w:rPr>
        <w:noProof/>
      </w:rPr>
      <w:pict>
        <v:group id="_x0000_s2049" style="position:absolute;left:0;text-align:left;margin-left:5.2pt;margin-top:-32.25pt;width:531.2pt;height:37.5pt;z-index:251660288" coordorigin="728,206" coordsize="10624,750">
          <v:shapetype id="_x0000_t202" coordsize="21600,21600" o:spt="202" path="m,l,21600r21600,l21600,xe">
            <v:stroke joinstyle="miter"/>
            <v:path gradientshapeok="t" o:connecttype="rect"/>
          </v:shapetype>
          <v:shape id="_x0000_s2050" type="#_x0000_t202" style="position:absolute;left:728;top:206;width:1336;height:724" strokecolor="white">
            <v:textbox style="mso-next-textbox:#_x0000_s2050">
              <w:txbxContent>
                <w:p w:rsidR="000865BF" w:rsidRDefault="000865BF" w:rsidP="00B10000">
                  <w:pPr>
                    <w:pStyle w:val="12"/>
                  </w:pPr>
                  <w:r w:rsidRPr="005D20B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凯石工2.jpg" style="width:42pt;height:29.25pt;visibility:visible">
                        <v:imagedata r:id="rId1" o:title=""/>
                      </v:shape>
                    </w:pict>
                  </w:r>
                </w:p>
              </w:txbxContent>
            </v:textbox>
          </v:shape>
          <v:shape id="_x0000_s2051" type="#_x0000_t202" style="position:absolute;left:5999;top:542;width:5353;height:414" strokecolor="white">
            <v:textbox style="mso-next-textbox:#_x0000_s2051">
              <w:txbxContent>
                <w:p w:rsidR="000865BF" w:rsidRPr="006E0F3C" w:rsidRDefault="000865BF" w:rsidP="00B10000">
                  <w:pPr>
                    <w:pStyle w:val="2"/>
                  </w:pPr>
                  <w:r w:rsidRPr="0080290B">
                    <w:t>2014</w:t>
                  </w:r>
                  <w:r w:rsidRPr="0080290B">
                    <w:rPr>
                      <w:rFonts w:hint="eastAsia"/>
                    </w:rPr>
                    <w:t>年</w:t>
                  </w:r>
                  <w:r w:rsidRPr="0080290B">
                    <w:t>7</w:t>
                  </w:r>
                  <w:r w:rsidRPr="0080290B">
                    <w:rPr>
                      <w:rFonts w:hint="eastAsia"/>
                    </w:rPr>
                    <w:t>月公募基金行业回顾</w:t>
                  </w:r>
                </w:p>
              </w:txbxContent>
            </v:textbox>
          </v:shape>
        </v:group>
      </w:pict>
    </w:r>
    <w:r>
      <w:pict>
        <v:rect id="_x0000_i1028" style="width:571.2pt;height:2pt" o:hralign="center" o:hrstd="t" o:hrnoshade="t" o:hr="t" fillcolor="#e7a631"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5BF" w:rsidRDefault="000865BF" w:rsidP="001E7E57">
    <w:pPr>
      <w:pStyle w:val="Header"/>
      <w:pBdr>
        <w:bottom w:val="none" w:sz="0" w:space="0" w:color="auto"/>
      </w:pBdr>
      <w:spacing w:afterLines="100"/>
    </w:pPr>
    <w:r>
      <w:rPr>
        <w:noProof/>
      </w:rPr>
    </w:r>
    <w:r>
      <w:pict>
        <v:group id="_x0000_s2052"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2053" type="#_x0000_t202" style="position:absolute;left:652;top:331;width:3664;height:2430" strokecolor="white">
            <v:textbox style="mso-next-textbox:#_x0000_s2053">
              <w:txbxContent>
                <w:p w:rsidR="000865BF" w:rsidRDefault="000865BF" w:rsidP="00B10000">
                  <w:pPr>
                    <w:pStyle w:val="a0"/>
                  </w:pPr>
                  <w:r w:rsidRPr="005D20B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8" type="#_x0000_t75" alt="凯石工2.jpg" style="width:123pt;height:115.5pt;visibility:visible">
                        <v:imagedata r:id="rId1" o:title=""/>
                      </v:shape>
                    </w:pict>
                  </w:r>
                </w:p>
              </w:txbxContent>
            </v:textbox>
          </v:shape>
          <v:shape id="_x0000_s2054" type="#_x0000_t202" style="position:absolute;left:881;top:2578;width:2325;height:390" strokecolor="white">
            <v:textbox style="mso-next-textbox:#_x0000_s2054">
              <w:txbxContent>
                <w:p w:rsidR="000865BF" w:rsidRPr="006E0F3C" w:rsidRDefault="000865BF" w:rsidP="008840A4">
                  <w:pPr>
                    <w:pStyle w:val="a"/>
                    <w:spacing w:after="240"/>
                  </w:pPr>
                  <w:r w:rsidRPr="006E0F3C">
                    <w:rPr>
                      <w:rFonts w:hint="eastAsia"/>
                    </w:rPr>
                    <w:t>凯石工场研究报告</w:t>
                  </w:r>
                </w:p>
              </w:txbxContent>
            </v:textbox>
          </v:shape>
          <v:shape id="_x0000_s2055" type="#_x0000_t202" style="position:absolute;left:8740;top:609;width:2441;height:475" strokecolor="white">
            <v:textbox style="mso-next-textbox:#_x0000_s2055;mso-fit-shape-to-text:t">
              <w:txbxContent>
                <w:p w:rsidR="000865BF" w:rsidRPr="006E0F3C" w:rsidRDefault="000865BF" w:rsidP="00B10000">
                  <w:pPr>
                    <w:pStyle w:val="a1"/>
                    <w:jc w:val="right"/>
                  </w:pPr>
                  <w:r w:rsidRPr="006E0F3C">
                    <w:t>201</w:t>
                  </w:r>
                  <w:r>
                    <w:t>4</w:t>
                  </w:r>
                  <w:r w:rsidRPr="006E0F3C">
                    <w:rPr>
                      <w:rFonts w:hint="eastAsia"/>
                    </w:rPr>
                    <w:t>年</w:t>
                  </w:r>
                  <w:r>
                    <w:t>9</w:t>
                  </w:r>
                  <w:r>
                    <w:rPr>
                      <w:rFonts w:hint="eastAsia"/>
                    </w:rPr>
                    <w:t>月</w:t>
                  </w:r>
                  <w:r>
                    <w:t>5</w:t>
                  </w:r>
                  <w:r w:rsidRPr="006E0F3C">
                    <w:rPr>
                      <w:rFonts w:hint="eastAsia"/>
                    </w:rPr>
                    <w:t>日</w:t>
                  </w:r>
                </w:p>
              </w:txbxContent>
            </v:textbox>
          </v:shape>
          <v:shape id="_x0000_s2056" type="#_x0000_t202" style="position:absolute;left:3214;top:1377;width:8090;height:1001" strokecolor="white">
            <v:textbox style="mso-next-textbox:#_x0000_s2056;mso-fit-shape-to-text:t">
              <w:txbxContent>
                <w:p w:rsidR="000865BF" w:rsidRDefault="000865BF" w:rsidP="00B10000">
                  <w:pPr>
                    <w:pStyle w:val="a2"/>
                    <w:jc w:val="right"/>
                  </w:pPr>
                  <w:r w:rsidRPr="00F82D2A">
                    <w:t>2014</w:t>
                  </w:r>
                  <w:r>
                    <w:rPr>
                      <w:rFonts w:hint="eastAsia"/>
                    </w:rPr>
                    <w:t>年</w:t>
                  </w:r>
                  <w:r>
                    <w:t>8</w:t>
                  </w:r>
                  <w:r>
                    <w:rPr>
                      <w:rFonts w:hint="eastAsia"/>
                    </w:rPr>
                    <w:t>月公募基金行业</w:t>
                  </w:r>
                  <w:r w:rsidRPr="00F82D2A">
                    <w:rPr>
                      <w:rFonts w:hint="eastAsia"/>
                    </w:rPr>
                    <w:t>回顾</w:t>
                  </w:r>
                </w:p>
                <w:p w:rsidR="000865BF" w:rsidRPr="00624366" w:rsidRDefault="000865BF" w:rsidP="00050667">
                  <w:pPr>
                    <w:pStyle w:val="a2"/>
                    <w:jc w:val="right"/>
                    <w:rPr>
                      <w:sz w:val="28"/>
                      <w:szCs w:val="28"/>
                    </w:rPr>
                  </w:pPr>
                  <w:r>
                    <w:rPr>
                      <w:rFonts w:hint="eastAsia"/>
                      <w:sz w:val="28"/>
                      <w:szCs w:val="28"/>
                    </w:rPr>
                    <w:t>成长风格走强，债基喜迎普涨</w:t>
                  </w:r>
                </w:p>
              </w:txbxContent>
            </v:textbox>
          </v:shape>
          <v:shape id="_x0000_s2057" type="#_x0000_t202" style="position:absolute;left:3246;top:2578;width:7993;height:627" strokecolor="white">
            <v:textbox style="mso-next-textbox:#_x0000_s2057">
              <w:txbxContent>
                <w:p w:rsidR="000865BF" w:rsidRDefault="000865BF" w:rsidP="00B10000">
                  <w:pPr>
                    <w:pStyle w:val="a3"/>
                  </w:pPr>
                  <w:r>
                    <w:rPr>
                      <w:rFonts w:hint="eastAsia"/>
                    </w:rPr>
                    <w:t>郭佳楠</w:t>
                  </w:r>
                  <w:r>
                    <w:t xml:space="preserve"> </w:t>
                  </w:r>
                  <w:r>
                    <w:rPr>
                      <w:rFonts w:hint="eastAsia"/>
                    </w:rPr>
                    <w:t>基金分析师</w:t>
                  </w:r>
                </w:p>
                <w:p w:rsidR="000865BF" w:rsidRDefault="000865BF" w:rsidP="00B10000">
                  <w:pPr>
                    <w:pStyle w:val="a3"/>
                  </w:pPr>
                  <w:r w:rsidRPr="006E0F3C">
                    <w:t xml:space="preserve"> </w:t>
                  </w:r>
                </w:p>
                <w:p w:rsidR="000865BF" w:rsidRPr="006E0F3C" w:rsidRDefault="000865BF" w:rsidP="00E52127">
                  <w:pPr>
                    <w:pStyle w:val="a3"/>
                    <w:wordWrap w:val="0"/>
                  </w:pPr>
                </w:p>
              </w:txbxContent>
            </v:textbox>
          </v:shape>
          <w10:anchorlock/>
        </v:group>
      </w:pict>
    </w:r>
    <w:r>
      <w:pict>
        <v:rect id="_x0000_i1037"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hint="default"/>
        <w:color w:val="FF0000"/>
        <w:sz w:val="20"/>
      </w:rPr>
    </w:lvl>
  </w:abstractNum>
  <w:abstractNum w:abstractNumId="1">
    <w:nsid w:val="492C6DD3"/>
    <w:multiLevelType w:val="hybridMultilevel"/>
    <w:tmpl w:val="6B68E90C"/>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KaiTi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
    <w:nsid w:val="5E8271C1"/>
    <w:multiLevelType w:val="hybridMultilevel"/>
    <w:tmpl w:val="6B68E90C"/>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KaiTi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num w:numId="1">
    <w:abstractNumId w:val="1"/>
  </w:num>
  <w:num w:numId="2">
    <w:abstractNumId w:val="2"/>
  </w:num>
  <w:num w:numId="3">
    <w:abstractNumId w:val="0"/>
  </w:num>
  <w:num w:numId="4">
    <w:abstractNumId w:val="1"/>
    <w:lvlOverride w:ilvl="0"/>
    <w:lvlOverride w:ilvl="1"/>
    <w:lvlOverride w:ilvl="2"/>
    <w:lvlOverride w:ilvl="3"/>
    <w:lvlOverride w:ilvl="4"/>
    <w:lvlOverride w:ilvl="5"/>
    <w:lvlOverride w:ilvl="6">
      <w:startOverride w:val="1"/>
    </w:lvlOverride>
    <w:lvlOverride w:ilvl="7"/>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0000"/>
    <w:rsid w:val="000004FA"/>
    <w:rsid w:val="000004FB"/>
    <w:rsid w:val="00000E19"/>
    <w:rsid w:val="000029A7"/>
    <w:rsid w:val="00002F3E"/>
    <w:rsid w:val="0000422A"/>
    <w:rsid w:val="00005573"/>
    <w:rsid w:val="00005DF2"/>
    <w:rsid w:val="00006664"/>
    <w:rsid w:val="00011AA4"/>
    <w:rsid w:val="0001249B"/>
    <w:rsid w:val="0001391F"/>
    <w:rsid w:val="000149E5"/>
    <w:rsid w:val="00014E4A"/>
    <w:rsid w:val="0001684B"/>
    <w:rsid w:val="00016FEE"/>
    <w:rsid w:val="0002028D"/>
    <w:rsid w:val="00021011"/>
    <w:rsid w:val="00021B60"/>
    <w:rsid w:val="00023796"/>
    <w:rsid w:val="00023FC5"/>
    <w:rsid w:val="000244AD"/>
    <w:rsid w:val="00024B34"/>
    <w:rsid w:val="00024CC7"/>
    <w:rsid w:val="000253A1"/>
    <w:rsid w:val="00026157"/>
    <w:rsid w:val="00030DA9"/>
    <w:rsid w:val="0003185B"/>
    <w:rsid w:val="000322F1"/>
    <w:rsid w:val="00032786"/>
    <w:rsid w:val="00033494"/>
    <w:rsid w:val="000336F0"/>
    <w:rsid w:val="000341BA"/>
    <w:rsid w:val="00034C20"/>
    <w:rsid w:val="00036BD6"/>
    <w:rsid w:val="00040B0F"/>
    <w:rsid w:val="00040CB9"/>
    <w:rsid w:val="00040D7D"/>
    <w:rsid w:val="000413B6"/>
    <w:rsid w:val="00041A4A"/>
    <w:rsid w:val="00043780"/>
    <w:rsid w:val="00043842"/>
    <w:rsid w:val="000448A5"/>
    <w:rsid w:val="00044D2F"/>
    <w:rsid w:val="00044EF2"/>
    <w:rsid w:val="00045287"/>
    <w:rsid w:val="00046736"/>
    <w:rsid w:val="0004681E"/>
    <w:rsid w:val="00046929"/>
    <w:rsid w:val="00047DBC"/>
    <w:rsid w:val="00050667"/>
    <w:rsid w:val="000506BB"/>
    <w:rsid w:val="00050901"/>
    <w:rsid w:val="00050A97"/>
    <w:rsid w:val="0005199E"/>
    <w:rsid w:val="00051D27"/>
    <w:rsid w:val="000523AB"/>
    <w:rsid w:val="00052D05"/>
    <w:rsid w:val="00053D98"/>
    <w:rsid w:val="00053DA5"/>
    <w:rsid w:val="000553B5"/>
    <w:rsid w:val="00055DD2"/>
    <w:rsid w:val="00060A8A"/>
    <w:rsid w:val="0006232B"/>
    <w:rsid w:val="0006295E"/>
    <w:rsid w:val="00063B9F"/>
    <w:rsid w:val="000645DD"/>
    <w:rsid w:val="00066569"/>
    <w:rsid w:val="00066BBB"/>
    <w:rsid w:val="000673EA"/>
    <w:rsid w:val="00071EEE"/>
    <w:rsid w:val="00072D00"/>
    <w:rsid w:val="0007557C"/>
    <w:rsid w:val="00075B19"/>
    <w:rsid w:val="0008067A"/>
    <w:rsid w:val="00081118"/>
    <w:rsid w:val="00081208"/>
    <w:rsid w:val="000832AE"/>
    <w:rsid w:val="00083E8F"/>
    <w:rsid w:val="000851F8"/>
    <w:rsid w:val="000865BF"/>
    <w:rsid w:val="00086645"/>
    <w:rsid w:val="00086B34"/>
    <w:rsid w:val="000874C0"/>
    <w:rsid w:val="000874DE"/>
    <w:rsid w:val="00087A79"/>
    <w:rsid w:val="000906F3"/>
    <w:rsid w:val="000908E4"/>
    <w:rsid w:val="00090CA3"/>
    <w:rsid w:val="000910BF"/>
    <w:rsid w:val="00091D95"/>
    <w:rsid w:val="00091E7C"/>
    <w:rsid w:val="00093760"/>
    <w:rsid w:val="00097891"/>
    <w:rsid w:val="000A0045"/>
    <w:rsid w:val="000A0200"/>
    <w:rsid w:val="000A0E04"/>
    <w:rsid w:val="000A2E30"/>
    <w:rsid w:val="000A3635"/>
    <w:rsid w:val="000A3AF7"/>
    <w:rsid w:val="000A3F69"/>
    <w:rsid w:val="000A49D0"/>
    <w:rsid w:val="000A6127"/>
    <w:rsid w:val="000A61C2"/>
    <w:rsid w:val="000A6C46"/>
    <w:rsid w:val="000A7D34"/>
    <w:rsid w:val="000A7D6F"/>
    <w:rsid w:val="000B214F"/>
    <w:rsid w:val="000B2574"/>
    <w:rsid w:val="000B436C"/>
    <w:rsid w:val="000B4549"/>
    <w:rsid w:val="000B4837"/>
    <w:rsid w:val="000B6599"/>
    <w:rsid w:val="000C17A5"/>
    <w:rsid w:val="000C1903"/>
    <w:rsid w:val="000C1A33"/>
    <w:rsid w:val="000C26B1"/>
    <w:rsid w:val="000C301B"/>
    <w:rsid w:val="000C35A6"/>
    <w:rsid w:val="000C3F6D"/>
    <w:rsid w:val="000C560C"/>
    <w:rsid w:val="000C5AA9"/>
    <w:rsid w:val="000C7ABD"/>
    <w:rsid w:val="000C7C2B"/>
    <w:rsid w:val="000D00E9"/>
    <w:rsid w:val="000D04C0"/>
    <w:rsid w:val="000D098E"/>
    <w:rsid w:val="000D0A63"/>
    <w:rsid w:val="000D120E"/>
    <w:rsid w:val="000D172C"/>
    <w:rsid w:val="000D3A3A"/>
    <w:rsid w:val="000D3B2C"/>
    <w:rsid w:val="000D600C"/>
    <w:rsid w:val="000D612E"/>
    <w:rsid w:val="000D6608"/>
    <w:rsid w:val="000E22D8"/>
    <w:rsid w:val="000E2EDF"/>
    <w:rsid w:val="000E3E62"/>
    <w:rsid w:val="000E455B"/>
    <w:rsid w:val="000E4713"/>
    <w:rsid w:val="000E4CCA"/>
    <w:rsid w:val="000E598D"/>
    <w:rsid w:val="000E6028"/>
    <w:rsid w:val="000E63CE"/>
    <w:rsid w:val="000E77F4"/>
    <w:rsid w:val="000F17A4"/>
    <w:rsid w:val="000F1B1F"/>
    <w:rsid w:val="000F1B5B"/>
    <w:rsid w:val="000F1C39"/>
    <w:rsid w:val="000F23EE"/>
    <w:rsid w:val="000F26E1"/>
    <w:rsid w:val="000F4582"/>
    <w:rsid w:val="000F5835"/>
    <w:rsid w:val="000F61AF"/>
    <w:rsid w:val="000F65BC"/>
    <w:rsid w:val="000F6D23"/>
    <w:rsid w:val="000F6F39"/>
    <w:rsid w:val="000F70C1"/>
    <w:rsid w:val="00100786"/>
    <w:rsid w:val="001015AE"/>
    <w:rsid w:val="001015FD"/>
    <w:rsid w:val="0010182C"/>
    <w:rsid w:val="001018EE"/>
    <w:rsid w:val="00101F24"/>
    <w:rsid w:val="00102244"/>
    <w:rsid w:val="00103CEE"/>
    <w:rsid w:val="0010550D"/>
    <w:rsid w:val="00105DAE"/>
    <w:rsid w:val="001061FC"/>
    <w:rsid w:val="00110DA0"/>
    <w:rsid w:val="0011175E"/>
    <w:rsid w:val="00111800"/>
    <w:rsid w:val="001129A7"/>
    <w:rsid w:val="00112F63"/>
    <w:rsid w:val="00113693"/>
    <w:rsid w:val="001161DB"/>
    <w:rsid w:val="00116263"/>
    <w:rsid w:val="00116A76"/>
    <w:rsid w:val="00116CE6"/>
    <w:rsid w:val="00117538"/>
    <w:rsid w:val="00121905"/>
    <w:rsid w:val="00123ACF"/>
    <w:rsid w:val="00124D6B"/>
    <w:rsid w:val="0012510C"/>
    <w:rsid w:val="00125231"/>
    <w:rsid w:val="00125DED"/>
    <w:rsid w:val="00127AD1"/>
    <w:rsid w:val="00131E5C"/>
    <w:rsid w:val="00134AAF"/>
    <w:rsid w:val="00135C66"/>
    <w:rsid w:val="00135FD6"/>
    <w:rsid w:val="001360B9"/>
    <w:rsid w:val="001375D6"/>
    <w:rsid w:val="00137804"/>
    <w:rsid w:val="00137B68"/>
    <w:rsid w:val="00140273"/>
    <w:rsid w:val="0014101E"/>
    <w:rsid w:val="001410E9"/>
    <w:rsid w:val="001418E9"/>
    <w:rsid w:val="0014457B"/>
    <w:rsid w:val="00144CFC"/>
    <w:rsid w:val="0014511E"/>
    <w:rsid w:val="00145791"/>
    <w:rsid w:val="00145E53"/>
    <w:rsid w:val="0014676E"/>
    <w:rsid w:val="00146CB1"/>
    <w:rsid w:val="001520A8"/>
    <w:rsid w:val="00152120"/>
    <w:rsid w:val="00152298"/>
    <w:rsid w:val="00152953"/>
    <w:rsid w:val="00152F6B"/>
    <w:rsid w:val="00153569"/>
    <w:rsid w:val="00154FA6"/>
    <w:rsid w:val="001556D7"/>
    <w:rsid w:val="001602A3"/>
    <w:rsid w:val="001609A2"/>
    <w:rsid w:val="00160DA3"/>
    <w:rsid w:val="001615D1"/>
    <w:rsid w:val="001619D5"/>
    <w:rsid w:val="001640A4"/>
    <w:rsid w:val="00164B00"/>
    <w:rsid w:val="00164CC6"/>
    <w:rsid w:val="00164D9C"/>
    <w:rsid w:val="001653DB"/>
    <w:rsid w:val="00166645"/>
    <w:rsid w:val="00166701"/>
    <w:rsid w:val="00166870"/>
    <w:rsid w:val="00166B2A"/>
    <w:rsid w:val="00166E52"/>
    <w:rsid w:val="001701D1"/>
    <w:rsid w:val="0017025F"/>
    <w:rsid w:val="001708F5"/>
    <w:rsid w:val="0017189D"/>
    <w:rsid w:val="00171E69"/>
    <w:rsid w:val="001728A4"/>
    <w:rsid w:val="00173FFD"/>
    <w:rsid w:val="00174EF9"/>
    <w:rsid w:val="00175082"/>
    <w:rsid w:val="00177319"/>
    <w:rsid w:val="00180BE1"/>
    <w:rsid w:val="00181F34"/>
    <w:rsid w:val="0018327F"/>
    <w:rsid w:val="0018335F"/>
    <w:rsid w:val="0018379B"/>
    <w:rsid w:val="00184B0B"/>
    <w:rsid w:val="00185269"/>
    <w:rsid w:val="00185F9C"/>
    <w:rsid w:val="0019050E"/>
    <w:rsid w:val="001911BA"/>
    <w:rsid w:val="001923DF"/>
    <w:rsid w:val="00192CE7"/>
    <w:rsid w:val="00193841"/>
    <w:rsid w:val="0019417E"/>
    <w:rsid w:val="00194189"/>
    <w:rsid w:val="00194C36"/>
    <w:rsid w:val="00195CE3"/>
    <w:rsid w:val="0019658E"/>
    <w:rsid w:val="00197150"/>
    <w:rsid w:val="00197320"/>
    <w:rsid w:val="00197D45"/>
    <w:rsid w:val="001A24A5"/>
    <w:rsid w:val="001A2F71"/>
    <w:rsid w:val="001A705C"/>
    <w:rsid w:val="001B1476"/>
    <w:rsid w:val="001B1F02"/>
    <w:rsid w:val="001B21B7"/>
    <w:rsid w:val="001B2EDF"/>
    <w:rsid w:val="001B4410"/>
    <w:rsid w:val="001B55E5"/>
    <w:rsid w:val="001B7CE9"/>
    <w:rsid w:val="001C0183"/>
    <w:rsid w:val="001C0EEA"/>
    <w:rsid w:val="001C1EF1"/>
    <w:rsid w:val="001C2B08"/>
    <w:rsid w:val="001C3B35"/>
    <w:rsid w:val="001C3B98"/>
    <w:rsid w:val="001C3E81"/>
    <w:rsid w:val="001C3E87"/>
    <w:rsid w:val="001C5426"/>
    <w:rsid w:val="001C56C2"/>
    <w:rsid w:val="001C618D"/>
    <w:rsid w:val="001C64E1"/>
    <w:rsid w:val="001C651B"/>
    <w:rsid w:val="001C73E7"/>
    <w:rsid w:val="001D057F"/>
    <w:rsid w:val="001D25E4"/>
    <w:rsid w:val="001D3C98"/>
    <w:rsid w:val="001D5036"/>
    <w:rsid w:val="001D52F4"/>
    <w:rsid w:val="001D62AF"/>
    <w:rsid w:val="001D6ADC"/>
    <w:rsid w:val="001D7653"/>
    <w:rsid w:val="001D7EE7"/>
    <w:rsid w:val="001E1B04"/>
    <w:rsid w:val="001E2BAE"/>
    <w:rsid w:val="001E3873"/>
    <w:rsid w:val="001E4D3B"/>
    <w:rsid w:val="001E5D0A"/>
    <w:rsid w:val="001E7567"/>
    <w:rsid w:val="001E7E57"/>
    <w:rsid w:val="001F0934"/>
    <w:rsid w:val="001F3E30"/>
    <w:rsid w:val="001F3E45"/>
    <w:rsid w:val="001F538E"/>
    <w:rsid w:val="001F5926"/>
    <w:rsid w:val="001F643C"/>
    <w:rsid w:val="002015D6"/>
    <w:rsid w:val="00201AC3"/>
    <w:rsid w:val="00202C2B"/>
    <w:rsid w:val="00202CB8"/>
    <w:rsid w:val="002038E2"/>
    <w:rsid w:val="00204A9B"/>
    <w:rsid w:val="00205F59"/>
    <w:rsid w:val="00206AC5"/>
    <w:rsid w:val="0020734D"/>
    <w:rsid w:val="00207443"/>
    <w:rsid w:val="002075F0"/>
    <w:rsid w:val="00213BE5"/>
    <w:rsid w:val="002143A9"/>
    <w:rsid w:val="00214601"/>
    <w:rsid w:val="00216C4E"/>
    <w:rsid w:val="002206ED"/>
    <w:rsid w:val="00220DD2"/>
    <w:rsid w:val="0022103F"/>
    <w:rsid w:val="00221061"/>
    <w:rsid w:val="00221442"/>
    <w:rsid w:val="002227B7"/>
    <w:rsid w:val="00222934"/>
    <w:rsid w:val="002249F6"/>
    <w:rsid w:val="00226F3A"/>
    <w:rsid w:val="00231F40"/>
    <w:rsid w:val="002336EA"/>
    <w:rsid w:val="0023413A"/>
    <w:rsid w:val="0023421B"/>
    <w:rsid w:val="00234530"/>
    <w:rsid w:val="00234C9E"/>
    <w:rsid w:val="00235011"/>
    <w:rsid w:val="00237BD5"/>
    <w:rsid w:val="00237C34"/>
    <w:rsid w:val="0024018B"/>
    <w:rsid w:val="00240E65"/>
    <w:rsid w:val="00241218"/>
    <w:rsid w:val="00241EEE"/>
    <w:rsid w:val="002435C9"/>
    <w:rsid w:val="00244358"/>
    <w:rsid w:val="002451A2"/>
    <w:rsid w:val="00245441"/>
    <w:rsid w:val="002477E1"/>
    <w:rsid w:val="002500B8"/>
    <w:rsid w:val="0025077E"/>
    <w:rsid w:val="00250800"/>
    <w:rsid w:val="00251EBB"/>
    <w:rsid w:val="002540D4"/>
    <w:rsid w:val="0025549A"/>
    <w:rsid w:val="00255A22"/>
    <w:rsid w:val="00256A3A"/>
    <w:rsid w:val="00256FBC"/>
    <w:rsid w:val="002602D2"/>
    <w:rsid w:val="00261350"/>
    <w:rsid w:val="00262E05"/>
    <w:rsid w:val="002630FB"/>
    <w:rsid w:val="00267F8F"/>
    <w:rsid w:val="00270827"/>
    <w:rsid w:val="002712A1"/>
    <w:rsid w:val="0027178D"/>
    <w:rsid w:val="00272C58"/>
    <w:rsid w:val="002753B7"/>
    <w:rsid w:val="00276646"/>
    <w:rsid w:val="00276BE7"/>
    <w:rsid w:val="002773C9"/>
    <w:rsid w:val="00277885"/>
    <w:rsid w:val="002801A1"/>
    <w:rsid w:val="00281FBC"/>
    <w:rsid w:val="00283879"/>
    <w:rsid w:val="00283F57"/>
    <w:rsid w:val="002845EC"/>
    <w:rsid w:val="0028468E"/>
    <w:rsid w:val="00284E58"/>
    <w:rsid w:val="00287491"/>
    <w:rsid w:val="002908FC"/>
    <w:rsid w:val="0029242B"/>
    <w:rsid w:val="00294162"/>
    <w:rsid w:val="0029473E"/>
    <w:rsid w:val="002949B3"/>
    <w:rsid w:val="00294B8F"/>
    <w:rsid w:val="0029560A"/>
    <w:rsid w:val="0029687F"/>
    <w:rsid w:val="00297477"/>
    <w:rsid w:val="00297BE6"/>
    <w:rsid w:val="002A1243"/>
    <w:rsid w:val="002A12EA"/>
    <w:rsid w:val="002A2B89"/>
    <w:rsid w:val="002A3B13"/>
    <w:rsid w:val="002A4E4C"/>
    <w:rsid w:val="002A5710"/>
    <w:rsid w:val="002A5EE2"/>
    <w:rsid w:val="002A6798"/>
    <w:rsid w:val="002A7F4D"/>
    <w:rsid w:val="002B0385"/>
    <w:rsid w:val="002B2586"/>
    <w:rsid w:val="002B3A85"/>
    <w:rsid w:val="002B4102"/>
    <w:rsid w:val="002C15CE"/>
    <w:rsid w:val="002C2849"/>
    <w:rsid w:val="002C3DB0"/>
    <w:rsid w:val="002C45CA"/>
    <w:rsid w:val="002C468C"/>
    <w:rsid w:val="002C6217"/>
    <w:rsid w:val="002C74DB"/>
    <w:rsid w:val="002D018C"/>
    <w:rsid w:val="002D0A85"/>
    <w:rsid w:val="002D0D2E"/>
    <w:rsid w:val="002D27D9"/>
    <w:rsid w:val="002D33F2"/>
    <w:rsid w:val="002D50E8"/>
    <w:rsid w:val="002D5B8F"/>
    <w:rsid w:val="002D6EBA"/>
    <w:rsid w:val="002D7992"/>
    <w:rsid w:val="002E1746"/>
    <w:rsid w:val="002E1B0F"/>
    <w:rsid w:val="002E32FD"/>
    <w:rsid w:val="002E34C7"/>
    <w:rsid w:val="002E47B6"/>
    <w:rsid w:val="002E5D6B"/>
    <w:rsid w:val="002E6732"/>
    <w:rsid w:val="002E794A"/>
    <w:rsid w:val="002F01BD"/>
    <w:rsid w:val="002F1251"/>
    <w:rsid w:val="002F28EF"/>
    <w:rsid w:val="002F3BCA"/>
    <w:rsid w:val="002F3DF1"/>
    <w:rsid w:val="002F401A"/>
    <w:rsid w:val="002F4722"/>
    <w:rsid w:val="002F5E16"/>
    <w:rsid w:val="002F6091"/>
    <w:rsid w:val="002F6336"/>
    <w:rsid w:val="002F6876"/>
    <w:rsid w:val="002F6895"/>
    <w:rsid w:val="002F68C6"/>
    <w:rsid w:val="002F745F"/>
    <w:rsid w:val="00300CF5"/>
    <w:rsid w:val="0030131C"/>
    <w:rsid w:val="00301578"/>
    <w:rsid w:val="0030310E"/>
    <w:rsid w:val="00304AA5"/>
    <w:rsid w:val="003056A1"/>
    <w:rsid w:val="00305746"/>
    <w:rsid w:val="00305B58"/>
    <w:rsid w:val="00305C2C"/>
    <w:rsid w:val="003065E5"/>
    <w:rsid w:val="0030669C"/>
    <w:rsid w:val="00307014"/>
    <w:rsid w:val="003072DB"/>
    <w:rsid w:val="0031058D"/>
    <w:rsid w:val="00310630"/>
    <w:rsid w:val="00310654"/>
    <w:rsid w:val="00313790"/>
    <w:rsid w:val="003138D3"/>
    <w:rsid w:val="00313D2F"/>
    <w:rsid w:val="00315A5E"/>
    <w:rsid w:val="00315F44"/>
    <w:rsid w:val="00316CFF"/>
    <w:rsid w:val="0031770E"/>
    <w:rsid w:val="00317C86"/>
    <w:rsid w:val="00317EA3"/>
    <w:rsid w:val="00317EE2"/>
    <w:rsid w:val="00321CE8"/>
    <w:rsid w:val="00322C64"/>
    <w:rsid w:val="00322D1F"/>
    <w:rsid w:val="0032315A"/>
    <w:rsid w:val="003239B8"/>
    <w:rsid w:val="00323FCF"/>
    <w:rsid w:val="00324C18"/>
    <w:rsid w:val="00326603"/>
    <w:rsid w:val="00326665"/>
    <w:rsid w:val="003267CA"/>
    <w:rsid w:val="00327895"/>
    <w:rsid w:val="00330B3A"/>
    <w:rsid w:val="003316EF"/>
    <w:rsid w:val="003325C8"/>
    <w:rsid w:val="00333101"/>
    <w:rsid w:val="00333351"/>
    <w:rsid w:val="00333E93"/>
    <w:rsid w:val="00333EF1"/>
    <w:rsid w:val="00334A7D"/>
    <w:rsid w:val="00335A63"/>
    <w:rsid w:val="003367EA"/>
    <w:rsid w:val="003369C2"/>
    <w:rsid w:val="00337589"/>
    <w:rsid w:val="0033768A"/>
    <w:rsid w:val="00340CF1"/>
    <w:rsid w:val="0034182E"/>
    <w:rsid w:val="00341856"/>
    <w:rsid w:val="00341E29"/>
    <w:rsid w:val="003420EF"/>
    <w:rsid w:val="003428F6"/>
    <w:rsid w:val="00343F99"/>
    <w:rsid w:val="003445FE"/>
    <w:rsid w:val="00344969"/>
    <w:rsid w:val="00345F06"/>
    <w:rsid w:val="00345F92"/>
    <w:rsid w:val="00347A3B"/>
    <w:rsid w:val="00347BD8"/>
    <w:rsid w:val="0035104D"/>
    <w:rsid w:val="00351E87"/>
    <w:rsid w:val="00353348"/>
    <w:rsid w:val="003533E7"/>
    <w:rsid w:val="0035363E"/>
    <w:rsid w:val="00353E67"/>
    <w:rsid w:val="0035514D"/>
    <w:rsid w:val="0035589E"/>
    <w:rsid w:val="003559FC"/>
    <w:rsid w:val="00356B4C"/>
    <w:rsid w:val="0036053B"/>
    <w:rsid w:val="00360E1F"/>
    <w:rsid w:val="003629A1"/>
    <w:rsid w:val="00362BA9"/>
    <w:rsid w:val="0036376B"/>
    <w:rsid w:val="00364300"/>
    <w:rsid w:val="0037074A"/>
    <w:rsid w:val="00371213"/>
    <w:rsid w:val="003729AE"/>
    <w:rsid w:val="003736F8"/>
    <w:rsid w:val="00375179"/>
    <w:rsid w:val="003775CB"/>
    <w:rsid w:val="00380078"/>
    <w:rsid w:val="00380FE4"/>
    <w:rsid w:val="00381444"/>
    <w:rsid w:val="00381992"/>
    <w:rsid w:val="0038238B"/>
    <w:rsid w:val="00383888"/>
    <w:rsid w:val="00384D25"/>
    <w:rsid w:val="00385B41"/>
    <w:rsid w:val="00387419"/>
    <w:rsid w:val="003903E9"/>
    <w:rsid w:val="00391A99"/>
    <w:rsid w:val="00391FD6"/>
    <w:rsid w:val="003951B9"/>
    <w:rsid w:val="003953B6"/>
    <w:rsid w:val="00395CFA"/>
    <w:rsid w:val="00396C81"/>
    <w:rsid w:val="00396C9C"/>
    <w:rsid w:val="00397BDC"/>
    <w:rsid w:val="003A41D8"/>
    <w:rsid w:val="003A481F"/>
    <w:rsid w:val="003A5DC1"/>
    <w:rsid w:val="003A6147"/>
    <w:rsid w:val="003A7593"/>
    <w:rsid w:val="003A75F3"/>
    <w:rsid w:val="003B09B0"/>
    <w:rsid w:val="003B3072"/>
    <w:rsid w:val="003B33A2"/>
    <w:rsid w:val="003B3C44"/>
    <w:rsid w:val="003B47DC"/>
    <w:rsid w:val="003B4D70"/>
    <w:rsid w:val="003B4FDA"/>
    <w:rsid w:val="003B51BA"/>
    <w:rsid w:val="003B587D"/>
    <w:rsid w:val="003B5DEA"/>
    <w:rsid w:val="003B7474"/>
    <w:rsid w:val="003B7CDC"/>
    <w:rsid w:val="003C19F1"/>
    <w:rsid w:val="003C1C71"/>
    <w:rsid w:val="003C26E3"/>
    <w:rsid w:val="003C3E52"/>
    <w:rsid w:val="003C4C2D"/>
    <w:rsid w:val="003C5E25"/>
    <w:rsid w:val="003C63E7"/>
    <w:rsid w:val="003D05A4"/>
    <w:rsid w:val="003D05B9"/>
    <w:rsid w:val="003D0A9F"/>
    <w:rsid w:val="003D4686"/>
    <w:rsid w:val="003D5254"/>
    <w:rsid w:val="003D5B64"/>
    <w:rsid w:val="003D5F17"/>
    <w:rsid w:val="003D61C9"/>
    <w:rsid w:val="003D6406"/>
    <w:rsid w:val="003D7298"/>
    <w:rsid w:val="003D7F3E"/>
    <w:rsid w:val="003E053D"/>
    <w:rsid w:val="003E1107"/>
    <w:rsid w:val="003E1CEC"/>
    <w:rsid w:val="003E234E"/>
    <w:rsid w:val="003E3722"/>
    <w:rsid w:val="003E47F9"/>
    <w:rsid w:val="003E48A5"/>
    <w:rsid w:val="003E496D"/>
    <w:rsid w:val="003E595A"/>
    <w:rsid w:val="003E7620"/>
    <w:rsid w:val="003E78F0"/>
    <w:rsid w:val="003E7924"/>
    <w:rsid w:val="003F15FC"/>
    <w:rsid w:val="003F2C9A"/>
    <w:rsid w:val="003F31C6"/>
    <w:rsid w:val="003F46B3"/>
    <w:rsid w:val="003F607E"/>
    <w:rsid w:val="003F6CBD"/>
    <w:rsid w:val="003F7539"/>
    <w:rsid w:val="003F7C14"/>
    <w:rsid w:val="00400479"/>
    <w:rsid w:val="004008D6"/>
    <w:rsid w:val="004014F0"/>
    <w:rsid w:val="00402AD8"/>
    <w:rsid w:val="00406C20"/>
    <w:rsid w:val="00407BE7"/>
    <w:rsid w:val="00407E82"/>
    <w:rsid w:val="00407EBC"/>
    <w:rsid w:val="00411A44"/>
    <w:rsid w:val="00412379"/>
    <w:rsid w:val="004125AE"/>
    <w:rsid w:val="00412A47"/>
    <w:rsid w:val="00413723"/>
    <w:rsid w:val="004144B7"/>
    <w:rsid w:val="00415687"/>
    <w:rsid w:val="004157B2"/>
    <w:rsid w:val="00416A9A"/>
    <w:rsid w:val="00416CBE"/>
    <w:rsid w:val="004172B5"/>
    <w:rsid w:val="004177C9"/>
    <w:rsid w:val="00417D0B"/>
    <w:rsid w:val="004201E5"/>
    <w:rsid w:val="0042059A"/>
    <w:rsid w:val="00420DF7"/>
    <w:rsid w:val="00421878"/>
    <w:rsid w:val="0042220C"/>
    <w:rsid w:val="00423DC3"/>
    <w:rsid w:val="004240A2"/>
    <w:rsid w:val="00424612"/>
    <w:rsid w:val="00424971"/>
    <w:rsid w:val="004252BF"/>
    <w:rsid w:val="004255D2"/>
    <w:rsid w:val="004302B6"/>
    <w:rsid w:val="0043160E"/>
    <w:rsid w:val="00431666"/>
    <w:rsid w:val="00431689"/>
    <w:rsid w:val="004326DB"/>
    <w:rsid w:val="00432837"/>
    <w:rsid w:val="00432DAD"/>
    <w:rsid w:val="00432EE0"/>
    <w:rsid w:val="004332FB"/>
    <w:rsid w:val="0043361C"/>
    <w:rsid w:val="0043422C"/>
    <w:rsid w:val="00434A50"/>
    <w:rsid w:val="00434E6B"/>
    <w:rsid w:val="00435317"/>
    <w:rsid w:val="00435555"/>
    <w:rsid w:val="00436693"/>
    <w:rsid w:val="004371B4"/>
    <w:rsid w:val="00437621"/>
    <w:rsid w:val="00437FB2"/>
    <w:rsid w:val="00442BB8"/>
    <w:rsid w:val="00443504"/>
    <w:rsid w:val="00443E12"/>
    <w:rsid w:val="0044427B"/>
    <w:rsid w:val="00444361"/>
    <w:rsid w:val="0044537B"/>
    <w:rsid w:val="004478AE"/>
    <w:rsid w:val="00450E71"/>
    <w:rsid w:val="00451119"/>
    <w:rsid w:val="004530E5"/>
    <w:rsid w:val="004535BF"/>
    <w:rsid w:val="00453609"/>
    <w:rsid w:val="0045397C"/>
    <w:rsid w:val="00453EAC"/>
    <w:rsid w:val="004546EA"/>
    <w:rsid w:val="00454822"/>
    <w:rsid w:val="00454CFF"/>
    <w:rsid w:val="00454FCC"/>
    <w:rsid w:val="00457391"/>
    <w:rsid w:val="00457EBC"/>
    <w:rsid w:val="0046129D"/>
    <w:rsid w:val="00461432"/>
    <w:rsid w:val="00461D1B"/>
    <w:rsid w:val="00461D50"/>
    <w:rsid w:val="004631F4"/>
    <w:rsid w:val="0046484F"/>
    <w:rsid w:val="00465B73"/>
    <w:rsid w:val="00466158"/>
    <w:rsid w:val="00471193"/>
    <w:rsid w:val="00471407"/>
    <w:rsid w:val="00473F6E"/>
    <w:rsid w:val="00474253"/>
    <w:rsid w:val="00474750"/>
    <w:rsid w:val="004766E1"/>
    <w:rsid w:val="00476B69"/>
    <w:rsid w:val="004773C3"/>
    <w:rsid w:val="0048048B"/>
    <w:rsid w:val="00484937"/>
    <w:rsid w:val="0048527C"/>
    <w:rsid w:val="00486443"/>
    <w:rsid w:val="00491016"/>
    <w:rsid w:val="004941DB"/>
    <w:rsid w:val="00494BA2"/>
    <w:rsid w:val="00494F21"/>
    <w:rsid w:val="00496040"/>
    <w:rsid w:val="00496111"/>
    <w:rsid w:val="0049726E"/>
    <w:rsid w:val="004A0231"/>
    <w:rsid w:val="004A18B2"/>
    <w:rsid w:val="004A1A11"/>
    <w:rsid w:val="004A2382"/>
    <w:rsid w:val="004A257E"/>
    <w:rsid w:val="004A2ACB"/>
    <w:rsid w:val="004A49CD"/>
    <w:rsid w:val="004A4D2E"/>
    <w:rsid w:val="004A61EA"/>
    <w:rsid w:val="004A72AB"/>
    <w:rsid w:val="004B09C5"/>
    <w:rsid w:val="004B0E7D"/>
    <w:rsid w:val="004B1091"/>
    <w:rsid w:val="004B208A"/>
    <w:rsid w:val="004B2BBA"/>
    <w:rsid w:val="004B3350"/>
    <w:rsid w:val="004B467E"/>
    <w:rsid w:val="004B4902"/>
    <w:rsid w:val="004B5A4C"/>
    <w:rsid w:val="004B5D4B"/>
    <w:rsid w:val="004B5FCD"/>
    <w:rsid w:val="004B671C"/>
    <w:rsid w:val="004C2631"/>
    <w:rsid w:val="004C61A7"/>
    <w:rsid w:val="004D04FC"/>
    <w:rsid w:val="004D0ACC"/>
    <w:rsid w:val="004D15AD"/>
    <w:rsid w:val="004D2993"/>
    <w:rsid w:val="004D2A02"/>
    <w:rsid w:val="004D31F9"/>
    <w:rsid w:val="004D3C37"/>
    <w:rsid w:val="004D451E"/>
    <w:rsid w:val="004D5065"/>
    <w:rsid w:val="004D5446"/>
    <w:rsid w:val="004D581E"/>
    <w:rsid w:val="004D67C2"/>
    <w:rsid w:val="004D6C64"/>
    <w:rsid w:val="004D7C45"/>
    <w:rsid w:val="004E082F"/>
    <w:rsid w:val="004E1BA0"/>
    <w:rsid w:val="004E1FD0"/>
    <w:rsid w:val="004E204C"/>
    <w:rsid w:val="004E28AF"/>
    <w:rsid w:val="004E298E"/>
    <w:rsid w:val="004E304E"/>
    <w:rsid w:val="004E3C52"/>
    <w:rsid w:val="004E5E4A"/>
    <w:rsid w:val="004E65EE"/>
    <w:rsid w:val="004E7A1E"/>
    <w:rsid w:val="004E7ACA"/>
    <w:rsid w:val="004F060E"/>
    <w:rsid w:val="004F0833"/>
    <w:rsid w:val="004F343D"/>
    <w:rsid w:val="004F39DA"/>
    <w:rsid w:val="004F4202"/>
    <w:rsid w:val="004F5D12"/>
    <w:rsid w:val="004F5DA2"/>
    <w:rsid w:val="004F6064"/>
    <w:rsid w:val="00502D4F"/>
    <w:rsid w:val="00503154"/>
    <w:rsid w:val="00503799"/>
    <w:rsid w:val="00504CD6"/>
    <w:rsid w:val="0050569B"/>
    <w:rsid w:val="005057A9"/>
    <w:rsid w:val="005057F1"/>
    <w:rsid w:val="00507DE8"/>
    <w:rsid w:val="00510ADE"/>
    <w:rsid w:val="005115E1"/>
    <w:rsid w:val="00511FB9"/>
    <w:rsid w:val="00512A9E"/>
    <w:rsid w:val="00514C83"/>
    <w:rsid w:val="00514D5D"/>
    <w:rsid w:val="00515273"/>
    <w:rsid w:val="00516320"/>
    <w:rsid w:val="0052100E"/>
    <w:rsid w:val="005227C6"/>
    <w:rsid w:val="005230B9"/>
    <w:rsid w:val="005235C6"/>
    <w:rsid w:val="00525FCF"/>
    <w:rsid w:val="00526709"/>
    <w:rsid w:val="0053007C"/>
    <w:rsid w:val="00530101"/>
    <w:rsid w:val="0053086C"/>
    <w:rsid w:val="00531D53"/>
    <w:rsid w:val="00531E6A"/>
    <w:rsid w:val="005332CB"/>
    <w:rsid w:val="005346AF"/>
    <w:rsid w:val="00534982"/>
    <w:rsid w:val="005369F2"/>
    <w:rsid w:val="005370AB"/>
    <w:rsid w:val="00540BEF"/>
    <w:rsid w:val="00540ECB"/>
    <w:rsid w:val="00541D5F"/>
    <w:rsid w:val="0054276D"/>
    <w:rsid w:val="00542C57"/>
    <w:rsid w:val="00543884"/>
    <w:rsid w:val="005441FC"/>
    <w:rsid w:val="00544599"/>
    <w:rsid w:val="00544AC6"/>
    <w:rsid w:val="005453E8"/>
    <w:rsid w:val="00546779"/>
    <w:rsid w:val="00550A1D"/>
    <w:rsid w:val="005512DB"/>
    <w:rsid w:val="00551BF9"/>
    <w:rsid w:val="00553335"/>
    <w:rsid w:val="00555217"/>
    <w:rsid w:val="00555DCA"/>
    <w:rsid w:val="00556A84"/>
    <w:rsid w:val="00557715"/>
    <w:rsid w:val="005603B6"/>
    <w:rsid w:val="0056129E"/>
    <w:rsid w:val="00561462"/>
    <w:rsid w:val="0056299F"/>
    <w:rsid w:val="00562AA0"/>
    <w:rsid w:val="00564AB5"/>
    <w:rsid w:val="00564CEF"/>
    <w:rsid w:val="00567C8E"/>
    <w:rsid w:val="005707CD"/>
    <w:rsid w:val="00572623"/>
    <w:rsid w:val="005736C8"/>
    <w:rsid w:val="00573E85"/>
    <w:rsid w:val="005766A3"/>
    <w:rsid w:val="00576C22"/>
    <w:rsid w:val="005775C2"/>
    <w:rsid w:val="00577836"/>
    <w:rsid w:val="00577D5A"/>
    <w:rsid w:val="00577F2A"/>
    <w:rsid w:val="005816AE"/>
    <w:rsid w:val="005819EE"/>
    <w:rsid w:val="00582846"/>
    <w:rsid w:val="005846FF"/>
    <w:rsid w:val="0058496F"/>
    <w:rsid w:val="00584E6B"/>
    <w:rsid w:val="00586D8B"/>
    <w:rsid w:val="00586ECA"/>
    <w:rsid w:val="005903DB"/>
    <w:rsid w:val="00590EA5"/>
    <w:rsid w:val="005915EE"/>
    <w:rsid w:val="00591993"/>
    <w:rsid w:val="00592926"/>
    <w:rsid w:val="00592A2F"/>
    <w:rsid w:val="00592AF1"/>
    <w:rsid w:val="005931A6"/>
    <w:rsid w:val="005966CF"/>
    <w:rsid w:val="005A06E3"/>
    <w:rsid w:val="005A074F"/>
    <w:rsid w:val="005A1A0A"/>
    <w:rsid w:val="005A228A"/>
    <w:rsid w:val="005A4C18"/>
    <w:rsid w:val="005A513E"/>
    <w:rsid w:val="005A516C"/>
    <w:rsid w:val="005A5F70"/>
    <w:rsid w:val="005A6A27"/>
    <w:rsid w:val="005A6F82"/>
    <w:rsid w:val="005A737A"/>
    <w:rsid w:val="005B015C"/>
    <w:rsid w:val="005B041A"/>
    <w:rsid w:val="005B0A52"/>
    <w:rsid w:val="005B1386"/>
    <w:rsid w:val="005B2385"/>
    <w:rsid w:val="005B2D56"/>
    <w:rsid w:val="005B5A41"/>
    <w:rsid w:val="005B5BDD"/>
    <w:rsid w:val="005B5D1F"/>
    <w:rsid w:val="005B5EBF"/>
    <w:rsid w:val="005B6CB7"/>
    <w:rsid w:val="005B7335"/>
    <w:rsid w:val="005B7E8D"/>
    <w:rsid w:val="005C07A6"/>
    <w:rsid w:val="005C1C43"/>
    <w:rsid w:val="005C1C72"/>
    <w:rsid w:val="005C1D6C"/>
    <w:rsid w:val="005C2196"/>
    <w:rsid w:val="005C284D"/>
    <w:rsid w:val="005C3235"/>
    <w:rsid w:val="005C3A2E"/>
    <w:rsid w:val="005C4668"/>
    <w:rsid w:val="005C4FC7"/>
    <w:rsid w:val="005C537C"/>
    <w:rsid w:val="005C7B13"/>
    <w:rsid w:val="005C7E51"/>
    <w:rsid w:val="005D05C8"/>
    <w:rsid w:val="005D1521"/>
    <w:rsid w:val="005D1680"/>
    <w:rsid w:val="005D17D7"/>
    <w:rsid w:val="005D2044"/>
    <w:rsid w:val="005D20B5"/>
    <w:rsid w:val="005D4B49"/>
    <w:rsid w:val="005D4E79"/>
    <w:rsid w:val="005D6B1F"/>
    <w:rsid w:val="005E01A4"/>
    <w:rsid w:val="005E084C"/>
    <w:rsid w:val="005E13E3"/>
    <w:rsid w:val="005E1EB7"/>
    <w:rsid w:val="005E1EEB"/>
    <w:rsid w:val="005E3238"/>
    <w:rsid w:val="005E4D6F"/>
    <w:rsid w:val="005E4F0C"/>
    <w:rsid w:val="005E66CF"/>
    <w:rsid w:val="005E7C5A"/>
    <w:rsid w:val="005F0668"/>
    <w:rsid w:val="005F0A57"/>
    <w:rsid w:val="005F152B"/>
    <w:rsid w:val="005F237F"/>
    <w:rsid w:val="005F2801"/>
    <w:rsid w:val="005F30F2"/>
    <w:rsid w:val="005F39F5"/>
    <w:rsid w:val="005F4D58"/>
    <w:rsid w:val="005F5ADD"/>
    <w:rsid w:val="005F5E5D"/>
    <w:rsid w:val="005F6178"/>
    <w:rsid w:val="005F63D1"/>
    <w:rsid w:val="005F732D"/>
    <w:rsid w:val="0060046D"/>
    <w:rsid w:val="0060162B"/>
    <w:rsid w:val="00601E16"/>
    <w:rsid w:val="00603907"/>
    <w:rsid w:val="00604A61"/>
    <w:rsid w:val="00607330"/>
    <w:rsid w:val="006106A1"/>
    <w:rsid w:val="006109DD"/>
    <w:rsid w:val="00611CA3"/>
    <w:rsid w:val="0061227F"/>
    <w:rsid w:val="00612B2B"/>
    <w:rsid w:val="00613C2E"/>
    <w:rsid w:val="00614268"/>
    <w:rsid w:val="006144AE"/>
    <w:rsid w:val="00615A49"/>
    <w:rsid w:val="006163BB"/>
    <w:rsid w:val="00616699"/>
    <w:rsid w:val="00616F98"/>
    <w:rsid w:val="00617953"/>
    <w:rsid w:val="00620306"/>
    <w:rsid w:val="00623C62"/>
    <w:rsid w:val="00624366"/>
    <w:rsid w:val="00624902"/>
    <w:rsid w:val="006312B0"/>
    <w:rsid w:val="00635482"/>
    <w:rsid w:val="00635869"/>
    <w:rsid w:val="00635E4C"/>
    <w:rsid w:val="00636B6E"/>
    <w:rsid w:val="00640475"/>
    <w:rsid w:val="00640FB7"/>
    <w:rsid w:val="00641A96"/>
    <w:rsid w:val="006424F3"/>
    <w:rsid w:val="006431A5"/>
    <w:rsid w:val="00643301"/>
    <w:rsid w:val="00643E75"/>
    <w:rsid w:val="0064459C"/>
    <w:rsid w:val="006457FE"/>
    <w:rsid w:val="006459A3"/>
    <w:rsid w:val="00647355"/>
    <w:rsid w:val="00647654"/>
    <w:rsid w:val="00647EEF"/>
    <w:rsid w:val="006512DE"/>
    <w:rsid w:val="00651FCC"/>
    <w:rsid w:val="00652F07"/>
    <w:rsid w:val="00656031"/>
    <w:rsid w:val="006576CD"/>
    <w:rsid w:val="0065798C"/>
    <w:rsid w:val="00657DA1"/>
    <w:rsid w:val="0066177D"/>
    <w:rsid w:val="006618E8"/>
    <w:rsid w:val="006619B6"/>
    <w:rsid w:val="00662A8E"/>
    <w:rsid w:val="00662F62"/>
    <w:rsid w:val="0066393D"/>
    <w:rsid w:val="006639AB"/>
    <w:rsid w:val="006639D4"/>
    <w:rsid w:val="00667B2E"/>
    <w:rsid w:val="00671522"/>
    <w:rsid w:val="00673A5E"/>
    <w:rsid w:val="00674E69"/>
    <w:rsid w:val="00676922"/>
    <w:rsid w:val="00680EC2"/>
    <w:rsid w:val="00681200"/>
    <w:rsid w:val="00681305"/>
    <w:rsid w:val="006826D5"/>
    <w:rsid w:val="00682E63"/>
    <w:rsid w:val="00682F62"/>
    <w:rsid w:val="0068330F"/>
    <w:rsid w:val="00683C61"/>
    <w:rsid w:val="006845E1"/>
    <w:rsid w:val="00684953"/>
    <w:rsid w:val="006869E5"/>
    <w:rsid w:val="0068772B"/>
    <w:rsid w:val="00687DEE"/>
    <w:rsid w:val="00690887"/>
    <w:rsid w:val="00690FF7"/>
    <w:rsid w:val="006927C1"/>
    <w:rsid w:val="00692A50"/>
    <w:rsid w:val="00693091"/>
    <w:rsid w:val="00693542"/>
    <w:rsid w:val="00693C0D"/>
    <w:rsid w:val="00695146"/>
    <w:rsid w:val="0069518F"/>
    <w:rsid w:val="00695441"/>
    <w:rsid w:val="0069671F"/>
    <w:rsid w:val="00697A97"/>
    <w:rsid w:val="00697B57"/>
    <w:rsid w:val="00697EB1"/>
    <w:rsid w:val="006A05B5"/>
    <w:rsid w:val="006A069E"/>
    <w:rsid w:val="006A09E5"/>
    <w:rsid w:val="006A1933"/>
    <w:rsid w:val="006A26E1"/>
    <w:rsid w:val="006A3DA1"/>
    <w:rsid w:val="006A4B17"/>
    <w:rsid w:val="006A4BA3"/>
    <w:rsid w:val="006A5B55"/>
    <w:rsid w:val="006A644D"/>
    <w:rsid w:val="006A71D2"/>
    <w:rsid w:val="006A79C1"/>
    <w:rsid w:val="006B01CE"/>
    <w:rsid w:val="006B07F5"/>
    <w:rsid w:val="006B085A"/>
    <w:rsid w:val="006B0CD9"/>
    <w:rsid w:val="006B21B0"/>
    <w:rsid w:val="006B2B47"/>
    <w:rsid w:val="006B2E9D"/>
    <w:rsid w:val="006B3837"/>
    <w:rsid w:val="006B401B"/>
    <w:rsid w:val="006B5B8E"/>
    <w:rsid w:val="006B6687"/>
    <w:rsid w:val="006C087F"/>
    <w:rsid w:val="006C0CF4"/>
    <w:rsid w:val="006C1F06"/>
    <w:rsid w:val="006C2E39"/>
    <w:rsid w:val="006C407D"/>
    <w:rsid w:val="006C5178"/>
    <w:rsid w:val="006C531A"/>
    <w:rsid w:val="006C5F5C"/>
    <w:rsid w:val="006C619C"/>
    <w:rsid w:val="006C72A4"/>
    <w:rsid w:val="006D0201"/>
    <w:rsid w:val="006D1867"/>
    <w:rsid w:val="006D36EC"/>
    <w:rsid w:val="006D70EA"/>
    <w:rsid w:val="006D733D"/>
    <w:rsid w:val="006D7395"/>
    <w:rsid w:val="006E0F3C"/>
    <w:rsid w:val="006E117F"/>
    <w:rsid w:val="006E166C"/>
    <w:rsid w:val="006E18E9"/>
    <w:rsid w:val="006E29B1"/>
    <w:rsid w:val="006E2F6C"/>
    <w:rsid w:val="006E40CF"/>
    <w:rsid w:val="006E4C9F"/>
    <w:rsid w:val="006E567E"/>
    <w:rsid w:val="006E5BF7"/>
    <w:rsid w:val="006E5E4F"/>
    <w:rsid w:val="006E65DE"/>
    <w:rsid w:val="006E6B8B"/>
    <w:rsid w:val="006E7359"/>
    <w:rsid w:val="006E7B5E"/>
    <w:rsid w:val="006E7BCD"/>
    <w:rsid w:val="006F2047"/>
    <w:rsid w:val="006F268F"/>
    <w:rsid w:val="006F331C"/>
    <w:rsid w:val="006F33B1"/>
    <w:rsid w:val="006F4087"/>
    <w:rsid w:val="006F6811"/>
    <w:rsid w:val="00700013"/>
    <w:rsid w:val="00700128"/>
    <w:rsid w:val="00700827"/>
    <w:rsid w:val="0070098A"/>
    <w:rsid w:val="00700C3D"/>
    <w:rsid w:val="007014CF"/>
    <w:rsid w:val="00701C6D"/>
    <w:rsid w:val="00702322"/>
    <w:rsid w:val="00702E2C"/>
    <w:rsid w:val="00706E03"/>
    <w:rsid w:val="007079A7"/>
    <w:rsid w:val="00710AF5"/>
    <w:rsid w:val="00711851"/>
    <w:rsid w:val="00711A60"/>
    <w:rsid w:val="00711B11"/>
    <w:rsid w:val="007121DB"/>
    <w:rsid w:val="00712570"/>
    <w:rsid w:val="0071330B"/>
    <w:rsid w:val="0071348A"/>
    <w:rsid w:val="00713D15"/>
    <w:rsid w:val="00714187"/>
    <w:rsid w:val="007146B8"/>
    <w:rsid w:val="00715E16"/>
    <w:rsid w:val="00716573"/>
    <w:rsid w:val="00716EE2"/>
    <w:rsid w:val="00717DA0"/>
    <w:rsid w:val="00717DBF"/>
    <w:rsid w:val="00720139"/>
    <w:rsid w:val="00720562"/>
    <w:rsid w:val="00720827"/>
    <w:rsid w:val="0072140C"/>
    <w:rsid w:val="00721E59"/>
    <w:rsid w:val="00723BD8"/>
    <w:rsid w:val="00724FF6"/>
    <w:rsid w:val="0072608C"/>
    <w:rsid w:val="00726CC9"/>
    <w:rsid w:val="00726FF6"/>
    <w:rsid w:val="00727563"/>
    <w:rsid w:val="00727661"/>
    <w:rsid w:val="00727788"/>
    <w:rsid w:val="00730D60"/>
    <w:rsid w:val="00731A3F"/>
    <w:rsid w:val="00731E33"/>
    <w:rsid w:val="00734A7E"/>
    <w:rsid w:val="00735235"/>
    <w:rsid w:val="00736372"/>
    <w:rsid w:val="00736541"/>
    <w:rsid w:val="00736E5E"/>
    <w:rsid w:val="00740451"/>
    <w:rsid w:val="00740B62"/>
    <w:rsid w:val="00741127"/>
    <w:rsid w:val="00741B7C"/>
    <w:rsid w:val="00741C46"/>
    <w:rsid w:val="00743C2D"/>
    <w:rsid w:val="00743C4E"/>
    <w:rsid w:val="00744977"/>
    <w:rsid w:val="007459CF"/>
    <w:rsid w:val="00745E23"/>
    <w:rsid w:val="00746136"/>
    <w:rsid w:val="007463AF"/>
    <w:rsid w:val="00746484"/>
    <w:rsid w:val="00746994"/>
    <w:rsid w:val="00746D3D"/>
    <w:rsid w:val="00746F05"/>
    <w:rsid w:val="00747524"/>
    <w:rsid w:val="007477F4"/>
    <w:rsid w:val="00747F3B"/>
    <w:rsid w:val="00750280"/>
    <w:rsid w:val="00750C7D"/>
    <w:rsid w:val="00750E78"/>
    <w:rsid w:val="00752A4A"/>
    <w:rsid w:val="00752BF9"/>
    <w:rsid w:val="007533EB"/>
    <w:rsid w:val="007536ED"/>
    <w:rsid w:val="0075492F"/>
    <w:rsid w:val="00755451"/>
    <w:rsid w:val="007560E1"/>
    <w:rsid w:val="00765B30"/>
    <w:rsid w:val="00765D18"/>
    <w:rsid w:val="007671B5"/>
    <w:rsid w:val="0077008B"/>
    <w:rsid w:val="007707DD"/>
    <w:rsid w:val="007721A6"/>
    <w:rsid w:val="00775575"/>
    <w:rsid w:val="007768C3"/>
    <w:rsid w:val="00777550"/>
    <w:rsid w:val="00780947"/>
    <w:rsid w:val="007825B3"/>
    <w:rsid w:val="00783788"/>
    <w:rsid w:val="0078389B"/>
    <w:rsid w:val="00784044"/>
    <w:rsid w:val="0078457A"/>
    <w:rsid w:val="00787110"/>
    <w:rsid w:val="00787CCB"/>
    <w:rsid w:val="00787F9D"/>
    <w:rsid w:val="0079097B"/>
    <w:rsid w:val="007918EA"/>
    <w:rsid w:val="00792315"/>
    <w:rsid w:val="00793523"/>
    <w:rsid w:val="00793DA2"/>
    <w:rsid w:val="00794A5B"/>
    <w:rsid w:val="00794AF7"/>
    <w:rsid w:val="0079563D"/>
    <w:rsid w:val="007959D5"/>
    <w:rsid w:val="00795B73"/>
    <w:rsid w:val="007963E5"/>
    <w:rsid w:val="007A01A5"/>
    <w:rsid w:val="007A0F0A"/>
    <w:rsid w:val="007A1DE0"/>
    <w:rsid w:val="007A2D71"/>
    <w:rsid w:val="007A37B6"/>
    <w:rsid w:val="007A3D70"/>
    <w:rsid w:val="007A4528"/>
    <w:rsid w:val="007A4D06"/>
    <w:rsid w:val="007A5AD2"/>
    <w:rsid w:val="007A5C5D"/>
    <w:rsid w:val="007A6887"/>
    <w:rsid w:val="007A7073"/>
    <w:rsid w:val="007A722A"/>
    <w:rsid w:val="007A7377"/>
    <w:rsid w:val="007A7825"/>
    <w:rsid w:val="007A786C"/>
    <w:rsid w:val="007B2228"/>
    <w:rsid w:val="007B35DE"/>
    <w:rsid w:val="007B3754"/>
    <w:rsid w:val="007B572E"/>
    <w:rsid w:val="007B63CB"/>
    <w:rsid w:val="007B7EA4"/>
    <w:rsid w:val="007C012E"/>
    <w:rsid w:val="007C0E62"/>
    <w:rsid w:val="007C176D"/>
    <w:rsid w:val="007C2860"/>
    <w:rsid w:val="007C2AA0"/>
    <w:rsid w:val="007C3294"/>
    <w:rsid w:val="007C41D7"/>
    <w:rsid w:val="007C56C4"/>
    <w:rsid w:val="007C6BAB"/>
    <w:rsid w:val="007C749E"/>
    <w:rsid w:val="007C77B9"/>
    <w:rsid w:val="007D03A4"/>
    <w:rsid w:val="007D12BF"/>
    <w:rsid w:val="007D3B71"/>
    <w:rsid w:val="007D66BF"/>
    <w:rsid w:val="007D7973"/>
    <w:rsid w:val="007E0CC2"/>
    <w:rsid w:val="007E0E05"/>
    <w:rsid w:val="007E159C"/>
    <w:rsid w:val="007E2ACD"/>
    <w:rsid w:val="007E4627"/>
    <w:rsid w:val="007E46A2"/>
    <w:rsid w:val="007E5E08"/>
    <w:rsid w:val="007E74A4"/>
    <w:rsid w:val="007E79BA"/>
    <w:rsid w:val="007F0CE8"/>
    <w:rsid w:val="007F1184"/>
    <w:rsid w:val="007F266E"/>
    <w:rsid w:val="007F2D71"/>
    <w:rsid w:val="007F5299"/>
    <w:rsid w:val="007F585F"/>
    <w:rsid w:val="007F594C"/>
    <w:rsid w:val="007F5AD3"/>
    <w:rsid w:val="00800430"/>
    <w:rsid w:val="00800D85"/>
    <w:rsid w:val="00802456"/>
    <w:rsid w:val="0080290B"/>
    <w:rsid w:val="0080309B"/>
    <w:rsid w:val="008055D9"/>
    <w:rsid w:val="00805806"/>
    <w:rsid w:val="008073CA"/>
    <w:rsid w:val="00810257"/>
    <w:rsid w:val="00810B36"/>
    <w:rsid w:val="00811825"/>
    <w:rsid w:val="008118F9"/>
    <w:rsid w:val="0081234F"/>
    <w:rsid w:val="0081271E"/>
    <w:rsid w:val="0081385D"/>
    <w:rsid w:val="00814116"/>
    <w:rsid w:val="00820926"/>
    <w:rsid w:val="00821636"/>
    <w:rsid w:val="00821E1E"/>
    <w:rsid w:val="008222D8"/>
    <w:rsid w:val="00824306"/>
    <w:rsid w:val="00831271"/>
    <w:rsid w:val="0083198F"/>
    <w:rsid w:val="00831EE9"/>
    <w:rsid w:val="00832562"/>
    <w:rsid w:val="00832CB5"/>
    <w:rsid w:val="008332DF"/>
    <w:rsid w:val="008337AE"/>
    <w:rsid w:val="00833B8A"/>
    <w:rsid w:val="00833D09"/>
    <w:rsid w:val="0083456B"/>
    <w:rsid w:val="00837286"/>
    <w:rsid w:val="008407D3"/>
    <w:rsid w:val="00840DBB"/>
    <w:rsid w:val="008411A7"/>
    <w:rsid w:val="0084181E"/>
    <w:rsid w:val="0084223D"/>
    <w:rsid w:val="008454C2"/>
    <w:rsid w:val="00850F7D"/>
    <w:rsid w:val="00852BA8"/>
    <w:rsid w:val="008531F8"/>
    <w:rsid w:val="00854662"/>
    <w:rsid w:val="008548EB"/>
    <w:rsid w:val="00855039"/>
    <w:rsid w:val="008558BE"/>
    <w:rsid w:val="00855BFA"/>
    <w:rsid w:val="0086197A"/>
    <w:rsid w:val="008619CC"/>
    <w:rsid w:val="00861DB0"/>
    <w:rsid w:val="00861EC5"/>
    <w:rsid w:val="00863B9F"/>
    <w:rsid w:val="00863BBD"/>
    <w:rsid w:val="00865389"/>
    <w:rsid w:val="00865439"/>
    <w:rsid w:val="00865E63"/>
    <w:rsid w:val="0086631B"/>
    <w:rsid w:val="00866607"/>
    <w:rsid w:val="008667A1"/>
    <w:rsid w:val="008718E9"/>
    <w:rsid w:val="008736F7"/>
    <w:rsid w:val="00874371"/>
    <w:rsid w:val="00875815"/>
    <w:rsid w:val="00875F04"/>
    <w:rsid w:val="0087751A"/>
    <w:rsid w:val="008805B8"/>
    <w:rsid w:val="00882685"/>
    <w:rsid w:val="00884076"/>
    <w:rsid w:val="008840A4"/>
    <w:rsid w:val="00884730"/>
    <w:rsid w:val="008849D0"/>
    <w:rsid w:val="00884B83"/>
    <w:rsid w:val="00884F6F"/>
    <w:rsid w:val="0088512E"/>
    <w:rsid w:val="00887026"/>
    <w:rsid w:val="0088772D"/>
    <w:rsid w:val="00887B24"/>
    <w:rsid w:val="008903BA"/>
    <w:rsid w:val="00890421"/>
    <w:rsid w:val="00890E4A"/>
    <w:rsid w:val="00891377"/>
    <w:rsid w:val="0089182A"/>
    <w:rsid w:val="00891D0B"/>
    <w:rsid w:val="00891E24"/>
    <w:rsid w:val="00892E69"/>
    <w:rsid w:val="00892E7A"/>
    <w:rsid w:val="008945CC"/>
    <w:rsid w:val="008964C5"/>
    <w:rsid w:val="00896DFA"/>
    <w:rsid w:val="008A1501"/>
    <w:rsid w:val="008A2A0F"/>
    <w:rsid w:val="008A3FA0"/>
    <w:rsid w:val="008A55B6"/>
    <w:rsid w:val="008A6145"/>
    <w:rsid w:val="008B1496"/>
    <w:rsid w:val="008B1712"/>
    <w:rsid w:val="008B17C9"/>
    <w:rsid w:val="008B1F1E"/>
    <w:rsid w:val="008B2DBD"/>
    <w:rsid w:val="008B39DB"/>
    <w:rsid w:val="008B5B6C"/>
    <w:rsid w:val="008B6BE0"/>
    <w:rsid w:val="008B6F3B"/>
    <w:rsid w:val="008B7935"/>
    <w:rsid w:val="008B7A9A"/>
    <w:rsid w:val="008B7BE0"/>
    <w:rsid w:val="008B7EE9"/>
    <w:rsid w:val="008C1208"/>
    <w:rsid w:val="008C16BF"/>
    <w:rsid w:val="008C3184"/>
    <w:rsid w:val="008C38DE"/>
    <w:rsid w:val="008C4B0D"/>
    <w:rsid w:val="008C7178"/>
    <w:rsid w:val="008D0836"/>
    <w:rsid w:val="008D0E25"/>
    <w:rsid w:val="008D337E"/>
    <w:rsid w:val="008D5210"/>
    <w:rsid w:val="008D576A"/>
    <w:rsid w:val="008D6C35"/>
    <w:rsid w:val="008D7AA2"/>
    <w:rsid w:val="008D7F07"/>
    <w:rsid w:val="008E2240"/>
    <w:rsid w:val="008E2ED3"/>
    <w:rsid w:val="008E3B8F"/>
    <w:rsid w:val="008E3E89"/>
    <w:rsid w:val="008E4584"/>
    <w:rsid w:val="008E4C12"/>
    <w:rsid w:val="008E4EA9"/>
    <w:rsid w:val="008E7652"/>
    <w:rsid w:val="008E79B2"/>
    <w:rsid w:val="008E7BD6"/>
    <w:rsid w:val="008F0A1D"/>
    <w:rsid w:val="008F1B20"/>
    <w:rsid w:val="008F1C38"/>
    <w:rsid w:val="008F2245"/>
    <w:rsid w:val="008F2278"/>
    <w:rsid w:val="008F2A0C"/>
    <w:rsid w:val="008F2FF6"/>
    <w:rsid w:val="008F37AD"/>
    <w:rsid w:val="008F3F9C"/>
    <w:rsid w:val="008F6096"/>
    <w:rsid w:val="008F68F7"/>
    <w:rsid w:val="008F6FDF"/>
    <w:rsid w:val="008F75A2"/>
    <w:rsid w:val="00901AE0"/>
    <w:rsid w:val="009024E1"/>
    <w:rsid w:val="00904413"/>
    <w:rsid w:val="00904A0E"/>
    <w:rsid w:val="0090728F"/>
    <w:rsid w:val="00907932"/>
    <w:rsid w:val="00907D68"/>
    <w:rsid w:val="00910B41"/>
    <w:rsid w:val="0091102E"/>
    <w:rsid w:val="009110CF"/>
    <w:rsid w:val="00911FFC"/>
    <w:rsid w:val="00913B1C"/>
    <w:rsid w:val="0091641A"/>
    <w:rsid w:val="00916D40"/>
    <w:rsid w:val="00917ACA"/>
    <w:rsid w:val="00920251"/>
    <w:rsid w:val="0092127E"/>
    <w:rsid w:val="00921414"/>
    <w:rsid w:val="00923534"/>
    <w:rsid w:val="0092502B"/>
    <w:rsid w:val="009251F6"/>
    <w:rsid w:val="00926E5F"/>
    <w:rsid w:val="009304A6"/>
    <w:rsid w:val="00934164"/>
    <w:rsid w:val="00936400"/>
    <w:rsid w:val="00936547"/>
    <w:rsid w:val="0094443A"/>
    <w:rsid w:val="00944AB7"/>
    <w:rsid w:val="00944F64"/>
    <w:rsid w:val="0094529C"/>
    <w:rsid w:val="009456DE"/>
    <w:rsid w:val="00946429"/>
    <w:rsid w:val="00946AEA"/>
    <w:rsid w:val="00946CB6"/>
    <w:rsid w:val="009477B4"/>
    <w:rsid w:val="009479C6"/>
    <w:rsid w:val="00950AE8"/>
    <w:rsid w:val="00951A0E"/>
    <w:rsid w:val="00952515"/>
    <w:rsid w:val="009528F8"/>
    <w:rsid w:val="009528FE"/>
    <w:rsid w:val="009543F2"/>
    <w:rsid w:val="00955287"/>
    <w:rsid w:val="00955431"/>
    <w:rsid w:val="00955ED0"/>
    <w:rsid w:val="00956268"/>
    <w:rsid w:val="00957ACE"/>
    <w:rsid w:val="00957ADB"/>
    <w:rsid w:val="00957BBC"/>
    <w:rsid w:val="00960929"/>
    <w:rsid w:val="00961969"/>
    <w:rsid w:val="00962488"/>
    <w:rsid w:val="009624C3"/>
    <w:rsid w:val="00962D41"/>
    <w:rsid w:val="009655B1"/>
    <w:rsid w:val="00965644"/>
    <w:rsid w:val="00966CC2"/>
    <w:rsid w:val="00966D2B"/>
    <w:rsid w:val="00967018"/>
    <w:rsid w:val="009670D1"/>
    <w:rsid w:val="00967199"/>
    <w:rsid w:val="00971EEF"/>
    <w:rsid w:val="00972A8B"/>
    <w:rsid w:val="009730CB"/>
    <w:rsid w:val="00973316"/>
    <w:rsid w:val="0097377A"/>
    <w:rsid w:val="00973E28"/>
    <w:rsid w:val="009757ED"/>
    <w:rsid w:val="00975EF3"/>
    <w:rsid w:val="00975F20"/>
    <w:rsid w:val="0097795E"/>
    <w:rsid w:val="00977B3A"/>
    <w:rsid w:val="00977ED6"/>
    <w:rsid w:val="00980C9F"/>
    <w:rsid w:val="00984471"/>
    <w:rsid w:val="009869C1"/>
    <w:rsid w:val="00987023"/>
    <w:rsid w:val="0098747E"/>
    <w:rsid w:val="009910EB"/>
    <w:rsid w:val="009916B0"/>
    <w:rsid w:val="0099294C"/>
    <w:rsid w:val="00992B47"/>
    <w:rsid w:val="009943CE"/>
    <w:rsid w:val="009959DC"/>
    <w:rsid w:val="00995D4D"/>
    <w:rsid w:val="00997370"/>
    <w:rsid w:val="00997483"/>
    <w:rsid w:val="009A0B32"/>
    <w:rsid w:val="009A0FF1"/>
    <w:rsid w:val="009A1A94"/>
    <w:rsid w:val="009A34D6"/>
    <w:rsid w:val="009A3EA9"/>
    <w:rsid w:val="009A51AC"/>
    <w:rsid w:val="009A6C6D"/>
    <w:rsid w:val="009A737F"/>
    <w:rsid w:val="009A7ED7"/>
    <w:rsid w:val="009B1BBD"/>
    <w:rsid w:val="009B24C4"/>
    <w:rsid w:val="009B2637"/>
    <w:rsid w:val="009B41A9"/>
    <w:rsid w:val="009B425F"/>
    <w:rsid w:val="009B426A"/>
    <w:rsid w:val="009B5704"/>
    <w:rsid w:val="009B5867"/>
    <w:rsid w:val="009B59EB"/>
    <w:rsid w:val="009B5C03"/>
    <w:rsid w:val="009B6132"/>
    <w:rsid w:val="009B7054"/>
    <w:rsid w:val="009B7A47"/>
    <w:rsid w:val="009C0A5E"/>
    <w:rsid w:val="009C0F5E"/>
    <w:rsid w:val="009C2540"/>
    <w:rsid w:val="009C3703"/>
    <w:rsid w:val="009C410D"/>
    <w:rsid w:val="009C5183"/>
    <w:rsid w:val="009C7660"/>
    <w:rsid w:val="009D0CC8"/>
    <w:rsid w:val="009D169B"/>
    <w:rsid w:val="009D43D0"/>
    <w:rsid w:val="009D5623"/>
    <w:rsid w:val="009D5BE4"/>
    <w:rsid w:val="009D5FBB"/>
    <w:rsid w:val="009D6C53"/>
    <w:rsid w:val="009D7EC0"/>
    <w:rsid w:val="009E0095"/>
    <w:rsid w:val="009E05C8"/>
    <w:rsid w:val="009E1B9F"/>
    <w:rsid w:val="009E21AB"/>
    <w:rsid w:val="009E2581"/>
    <w:rsid w:val="009E2E26"/>
    <w:rsid w:val="009E5209"/>
    <w:rsid w:val="009E66D5"/>
    <w:rsid w:val="009E6FA3"/>
    <w:rsid w:val="009E778E"/>
    <w:rsid w:val="009F0D95"/>
    <w:rsid w:val="009F10A3"/>
    <w:rsid w:val="009F1DD9"/>
    <w:rsid w:val="009F243C"/>
    <w:rsid w:val="009F34EC"/>
    <w:rsid w:val="009F3FCA"/>
    <w:rsid w:val="009F4C3F"/>
    <w:rsid w:val="009F5F93"/>
    <w:rsid w:val="009F61FD"/>
    <w:rsid w:val="009F7C30"/>
    <w:rsid w:val="009F7E5B"/>
    <w:rsid w:val="00A001E9"/>
    <w:rsid w:val="00A02D1C"/>
    <w:rsid w:val="00A03BB7"/>
    <w:rsid w:val="00A03EB6"/>
    <w:rsid w:val="00A04027"/>
    <w:rsid w:val="00A043C9"/>
    <w:rsid w:val="00A044E1"/>
    <w:rsid w:val="00A05DEC"/>
    <w:rsid w:val="00A06A7D"/>
    <w:rsid w:val="00A06A81"/>
    <w:rsid w:val="00A07206"/>
    <w:rsid w:val="00A104EF"/>
    <w:rsid w:val="00A1182D"/>
    <w:rsid w:val="00A1547C"/>
    <w:rsid w:val="00A15C11"/>
    <w:rsid w:val="00A15DB2"/>
    <w:rsid w:val="00A160A1"/>
    <w:rsid w:val="00A213FB"/>
    <w:rsid w:val="00A21478"/>
    <w:rsid w:val="00A228CB"/>
    <w:rsid w:val="00A238DB"/>
    <w:rsid w:val="00A23FB8"/>
    <w:rsid w:val="00A2593E"/>
    <w:rsid w:val="00A27BC6"/>
    <w:rsid w:val="00A30485"/>
    <w:rsid w:val="00A30F18"/>
    <w:rsid w:val="00A33DC6"/>
    <w:rsid w:val="00A34190"/>
    <w:rsid w:val="00A353A6"/>
    <w:rsid w:val="00A369CB"/>
    <w:rsid w:val="00A36EE5"/>
    <w:rsid w:val="00A36F1D"/>
    <w:rsid w:val="00A40040"/>
    <w:rsid w:val="00A407A7"/>
    <w:rsid w:val="00A41BC0"/>
    <w:rsid w:val="00A426E1"/>
    <w:rsid w:val="00A42F36"/>
    <w:rsid w:val="00A44E19"/>
    <w:rsid w:val="00A459EF"/>
    <w:rsid w:val="00A47205"/>
    <w:rsid w:val="00A50422"/>
    <w:rsid w:val="00A50C0E"/>
    <w:rsid w:val="00A54180"/>
    <w:rsid w:val="00A542AD"/>
    <w:rsid w:val="00A54EAC"/>
    <w:rsid w:val="00A55210"/>
    <w:rsid w:val="00A56C0F"/>
    <w:rsid w:val="00A573C8"/>
    <w:rsid w:val="00A57777"/>
    <w:rsid w:val="00A61E03"/>
    <w:rsid w:val="00A63D0B"/>
    <w:rsid w:val="00A64DF9"/>
    <w:rsid w:val="00A64E37"/>
    <w:rsid w:val="00A6666F"/>
    <w:rsid w:val="00A6741A"/>
    <w:rsid w:val="00A70401"/>
    <w:rsid w:val="00A70F05"/>
    <w:rsid w:val="00A71CAB"/>
    <w:rsid w:val="00A71F90"/>
    <w:rsid w:val="00A725F0"/>
    <w:rsid w:val="00A73C59"/>
    <w:rsid w:val="00A73EB5"/>
    <w:rsid w:val="00A73F06"/>
    <w:rsid w:val="00A75EA0"/>
    <w:rsid w:val="00A8112D"/>
    <w:rsid w:val="00A81CDD"/>
    <w:rsid w:val="00A854B9"/>
    <w:rsid w:val="00A85648"/>
    <w:rsid w:val="00A85E72"/>
    <w:rsid w:val="00A87108"/>
    <w:rsid w:val="00A90C35"/>
    <w:rsid w:val="00A91CB8"/>
    <w:rsid w:val="00A92B99"/>
    <w:rsid w:val="00A92E33"/>
    <w:rsid w:val="00A93D24"/>
    <w:rsid w:val="00A96018"/>
    <w:rsid w:val="00A96ED1"/>
    <w:rsid w:val="00AA1376"/>
    <w:rsid w:val="00AA2E8E"/>
    <w:rsid w:val="00AA3B36"/>
    <w:rsid w:val="00AA5B9A"/>
    <w:rsid w:val="00AB190D"/>
    <w:rsid w:val="00AB1EF4"/>
    <w:rsid w:val="00AB343B"/>
    <w:rsid w:val="00AB3475"/>
    <w:rsid w:val="00AB4A31"/>
    <w:rsid w:val="00AB5BEA"/>
    <w:rsid w:val="00AC2549"/>
    <w:rsid w:val="00AC3278"/>
    <w:rsid w:val="00AC39E9"/>
    <w:rsid w:val="00AC431D"/>
    <w:rsid w:val="00AC4B9E"/>
    <w:rsid w:val="00AC5F03"/>
    <w:rsid w:val="00AC61C0"/>
    <w:rsid w:val="00AC66B9"/>
    <w:rsid w:val="00AD178D"/>
    <w:rsid w:val="00AD17DC"/>
    <w:rsid w:val="00AD1949"/>
    <w:rsid w:val="00AD3A34"/>
    <w:rsid w:val="00AD3C64"/>
    <w:rsid w:val="00AD3C93"/>
    <w:rsid w:val="00AD4B67"/>
    <w:rsid w:val="00AD591E"/>
    <w:rsid w:val="00AD6B48"/>
    <w:rsid w:val="00AD6F54"/>
    <w:rsid w:val="00AE0727"/>
    <w:rsid w:val="00AE140B"/>
    <w:rsid w:val="00AE151D"/>
    <w:rsid w:val="00AE2826"/>
    <w:rsid w:val="00AE4171"/>
    <w:rsid w:val="00AE4F72"/>
    <w:rsid w:val="00AF0710"/>
    <w:rsid w:val="00AF1122"/>
    <w:rsid w:val="00AF15F6"/>
    <w:rsid w:val="00AF470A"/>
    <w:rsid w:val="00AF6699"/>
    <w:rsid w:val="00AF7CF5"/>
    <w:rsid w:val="00AF7EB6"/>
    <w:rsid w:val="00B002DE"/>
    <w:rsid w:val="00B008C3"/>
    <w:rsid w:val="00B0093F"/>
    <w:rsid w:val="00B00A0B"/>
    <w:rsid w:val="00B00F7C"/>
    <w:rsid w:val="00B01AE7"/>
    <w:rsid w:val="00B01BBD"/>
    <w:rsid w:val="00B041C4"/>
    <w:rsid w:val="00B04B99"/>
    <w:rsid w:val="00B060EE"/>
    <w:rsid w:val="00B062D8"/>
    <w:rsid w:val="00B06D07"/>
    <w:rsid w:val="00B073B1"/>
    <w:rsid w:val="00B073D2"/>
    <w:rsid w:val="00B10000"/>
    <w:rsid w:val="00B10B58"/>
    <w:rsid w:val="00B13D28"/>
    <w:rsid w:val="00B1427C"/>
    <w:rsid w:val="00B146BE"/>
    <w:rsid w:val="00B15953"/>
    <w:rsid w:val="00B17375"/>
    <w:rsid w:val="00B21106"/>
    <w:rsid w:val="00B2113E"/>
    <w:rsid w:val="00B222C6"/>
    <w:rsid w:val="00B224DE"/>
    <w:rsid w:val="00B23AFD"/>
    <w:rsid w:val="00B25A12"/>
    <w:rsid w:val="00B2761D"/>
    <w:rsid w:val="00B277CA"/>
    <w:rsid w:val="00B323E1"/>
    <w:rsid w:val="00B32DFE"/>
    <w:rsid w:val="00B33718"/>
    <w:rsid w:val="00B33B77"/>
    <w:rsid w:val="00B340D8"/>
    <w:rsid w:val="00B3616E"/>
    <w:rsid w:val="00B364C7"/>
    <w:rsid w:val="00B37483"/>
    <w:rsid w:val="00B40A4E"/>
    <w:rsid w:val="00B40F4C"/>
    <w:rsid w:val="00B41052"/>
    <w:rsid w:val="00B41B6A"/>
    <w:rsid w:val="00B43D7E"/>
    <w:rsid w:val="00B441B8"/>
    <w:rsid w:val="00B448E4"/>
    <w:rsid w:val="00B46A66"/>
    <w:rsid w:val="00B46D87"/>
    <w:rsid w:val="00B506C7"/>
    <w:rsid w:val="00B51491"/>
    <w:rsid w:val="00B521F4"/>
    <w:rsid w:val="00B52D04"/>
    <w:rsid w:val="00B53EC5"/>
    <w:rsid w:val="00B55E8D"/>
    <w:rsid w:val="00B55FDD"/>
    <w:rsid w:val="00B5634D"/>
    <w:rsid w:val="00B57F39"/>
    <w:rsid w:val="00B610A4"/>
    <w:rsid w:val="00B61F72"/>
    <w:rsid w:val="00B63C2F"/>
    <w:rsid w:val="00B64C09"/>
    <w:rsid w:val="00B660E1"/>
    <w:rsid w:val="00B6678D"/>
    <w:rsid w:val="00B668B9"/>
    <w:rsid w:val="00B677DB"/>
    <w:rsid w:val="00B67CD6"/>
    <w:rsid w:val="00B70374"/>
    <w:rsid w:val="00B71387"/>
    <w:rsid w:val="00B72C79"/>
    <w:rsid w:val="00B73E0A"/>
    <w:rsid w:val="00B75AA1"/>
    <w:rsid w:val="00B75B5D"/>
    <w:rsid w:val="00B75CAC"/>
    <w:rsid w:val="00B7747F"/>
    <w:rsid w:val="00B775C9"/>
    <w:rsid w:val="00B77A71"/>
    <w:rsid w:val="00B77F74"/>
    <w:rsid w:val="00B804E3"/>
    <w:rsid w:val="00B8082C"/>
    <w:rsid w:val="00B815CC"/>
    <w:rsid w:val="00B824C6"/>
    <w:rsid w:val="00B8355A"/>
    <w:rsid w:val="00B83D23"/>
    <w:rsid w:val="00B83F13"/>
    <w:rsid w:val="00B840D0"/>
    <w:rsid w:val="00B87E7B"/>
    <w:rsid w:val="00B87EB9"/>
    <w:rsid w:val="00B90303"/>
    <w:rsid w:val="00B909E5"/>
    <w:rsid w:val="00B92592"/>
    <w:rsid w:val="00B9374C"/>
    <w:rsid w:val="00B94069"/>
    <w:rsid w:val="00B9628C"/>
    <w:rsid w:val="00B96BF0"/>
    <w:rsid w:val="00B970ED"/>
    <w:rsid w:val="00BA0619"/>
    <w:rsid w:val="00BA0D43"/>
    <w:rsid w:val="00BA162F"/>
    <w:rsid w:val="00BA1EA1"/>
    <w:rsid w:val="00BA2C40"/>
    <w:rsid w:val="00BA2D09"/>
    <w:rsid w:val="00BA37E9"/>
    <w:rsid w:val="00BA3864"/>
    <w:rsid w:val="00BA48CD"/>
    <w:rsid w:val="00BA4EFC"/>
    <w:rsid w:val="00BA652E"/>
    <w:rsid w:val="00BA6F35"/>
    <w:rsid w:val="00BA7445"/>
    <w:rsid w:val="00BA7AB5"/>
    <w:rsid w:val="00BB0246"/>
    <w:rsid w:val="00BB0A06"/>
    <w:rsid w:val="00BB12F9"/>
    <w:rsid w:val="00BB1AA8"/>
    <w:rsid w:val="00BB247B"/>
    <w:rsid w:val="00BB2D9C"/>
    <w:rsid w:val="00BB42FB"/>
    <w:rsid w:val="00BB497D"/>
    <w:rsid w:val="00BB63BF"/>
    <w:rsid w:val="00BB73B1"/>
    <w:rsid w:val="00BC1D34"/>
    <w:rsid w:val="00BC2581"/>
    <w:rsid w:val="00BC3D40"/>
    <w:rsid w:val="00BC4B4D"/>
    <w:rsid w:val="00BC5BC3"/>
    <w:rsid w:val="00BC5E74"/>
    <w:rsid w:val="00BC5F51"/>
    <w:rsid w:val="00BC68EA"/>
    <w:rsid w:val="00BC6943"/>
    <w:rsid w:val="00BD0B4E"/>
    <w:rsid w:val="00BD2040"/>
    <w:rsid w:val="00BD6428"/>
    <w:rsid w:val="00BD6746"/>
    <w:rsid w:val="00BD7CEA"/>
    <w:rsid w:val="00BE0162"/>
    <w:rsid w:val="00BE2001"/>
    <w:rsid w:val="00BE2276"/>
    <w:rsid w:val="00BE2D55"/>
    <w:rsid w:val="00BE2E55"/>
    <w:rsid w:val="00BE45B4"/>
    <w:rsid w:val="00BE500F"/>
    <w:rsid w:val="00BE5DE8"/>
    <w:rsid w:val="00BE6163"/>
    <w:rsid w:val="00BE7059"/>
    <w:rsid w:val="00BE713E"/>
    <w:rsid w:val="00BE7FFE"/>
    <w:rsid w:val="00BF0607"/>
    <w:rsid w:val="00BF19B0"/>
    <w:rsid w:val="00BF1BED"/>
    <w:rsid w:val="00BF1D1B"/>
    <w:rsid w:val="00BF1D4A"/>
    <w:rsid w:val="00BF25D5"/>
    <w:rsid w:val="00BF2B8C"/>
    <w:rsid w:val="00BF3296"/>
    <w:rsid w:val="00BF331B"/>
    <w:rsid w:val="00BF3FBA"/>
    <w:rsid w:val="00BF574B"/>
    <w:rsid w:val="00BF5B40"/>
    <w:rsid w:val="00C01BB0"/>
    <w:rsid w:val="00C02376"/>
    <w:rsid w:val="00C02CD0"/>
    <w:rsid w:val="00C03B79"/>
    <w:rsid w:val="00C06379"/>
    <w:rsid w:val="00C066EA"/>
    <w:rsid w:val="00C06C03"/>
    <w:rsid w:val="00C073DC"/>
    <w:rsid w:val="00C10ED5"/>
    <w:rsid w:val="00C1104E"/>
    <w:rsid w:val="00C114A2"/>
    <w:rsid w:val="00C1208F"/>
    <w:rsid w:val="00C120F7"/>
    <w:rsid w:val="00C12517"/>
    <w:rsid w:val="00C12FBC"/>
    <w:rsid w:val="00C13E18"/>
    <w:rsid w:val="00C149CE"/>
    <w:rsid w:val="00C151C5"/>
    <w:rsid w:val="00C16315"/>
    <w:rsid w:val="00C170FE"/>
    <w:rsid w:val="00C20DB8"/>
    <w:rsid w:val="00C228D7"/>
    <w:rsid w:val="00C23BC4"/>
    <w:rsid w:val="00C23FA2"/>
    <w:rsid w:val="00C25149"/>
    <w:rsid w:val="00C25CD9"/>
    <w:rsid w:val="00C26091"/>
    <w:rsid w:val="00C266C4"/>
    <w:rsid w:val="00C30285"/>
    <w:rsid w:val="00C31998"/>
    <w:rsid w:val="00C32C80"/>
    <w:rsid w:val="00C32E62"/>
    <w:rsid w:val="00C3322A"/>
    <w:rsid w:val="00C35B68"/>
    <w:rsid w:val="00C36315"/>
    <w:rsid w:val="00C365FC"/>
    <w:rsid w:val="00C36B34"/>
    <w:rsid w:val="00C3761E"/>
    <w:rsid w:val="00C41E38"/>
    <w:rsid w:val="00C42CA6"/>
    <w:rsid w:val="00C42E6A"/>
    <w:rsid w:val="00C44956"/>
    <w:rsid w:val="00C44E7D"/>
    <w:rsid w:val="00C454F4"/>
    <w:rsid w:val="00C45960"/>
    <w:rsid w:val="00C459A4"/>
    <w:rsid w:val="00C46016"/>
    <w:rsid w:val="00C46B96"/>
    <w:rsid w:val="00C5104B"/>
    <w:rsid w:val="00C52543"/>
    <w:rsid w:val="00C52F6B"/>
    <w:rsid w:val="00C538B2"/>
    <w:rsid w:val="00C546B3"/>
    <w:rsid w:val="00C54B37"/>
    <w:rsid w:val="00C54BF4"/>
    <w:rsid w:val="00C55CA3"/>
    <w:rsid w:val="00C5664C"/>
    <w:rsid w:val="00C56873"/>
    <w:rsid w:val="00C56CD2"/>
    <w:rsid w:val="00C573C7"/>
    <w:rsid w:val="00C57A63"/>
    <w:rsid w:val="00C609C4"/>
    <w:rsid w:val="00C60B0D"/>
    <w:rsid w:val="00C6192A"/>
    <w:rsid w:val="00C6448F"/>
    <w:rsid w:val="00C648C5"/>
    <w:rsid w:val="00C6513F"/>
    <w:rsid w:val="00C6567F"/>
    <w:rsid w:val="00C65FD3"/>
    <w:rsid w:val="00C66583"/>
    <w:rsid w:val="00C673CD"/>
    <w:rsid w:val="00C67BAE"/>
    <w:rsid w:val="00C67F84"/>
    <w:rsid w:val="00C712CF"/>
    <w:rsid w:val="00C71665"/>
    <w:rsid w:val="00C72259"/>
    <w:rsid w:val="00C724DD"/>
    <w:rsid w:val="00C72FE0"/>
    <w:rsid w:val="00C75DE3"/>
    <w:rsid w:val="00C770FC"/>
    <w:rsid w:val="00C77346"/>
    <w:rsid w:val="00C77C22"/>
    <w:rsid w:val="00C806CE"/>
    <w:rsid w:val="00C809FF"/>
    <w:rsid w:val="00C81FDF"/>
    <w:rsid w:val="00C830A1"/>
    <w:rsid w:val="00C85702"/>
    <w:rsid w:val="00C85947"/>
    <w:rsid w:val="00C868B1"/>
    <w:rsid w:val="00C871C5"/>
    <w:rsid w:val="00C87A79"/>
    <w:rsid w:val="00C908C8"/>
    <w:rsid w:val="00C90C5F"/>
    <w:rsid w:val="00C91959"/>
    <w:rsid w:val="00C9282A"/>
    <w:rsid w:val="00C95780"/>
    <w:rsid w:val="00C96AF7"/>
    <w:rsid w:val="00C97A9A"/>
    <w:rsid w:val="00CA0DC2"/>
    <w:rsid w:val="00CA2DBF"/>
    <w:rsid w:val="00CA397A"/>
    <w:rsid w:val="00CA3EF5"/>
    <w:rsid w:val="00CA4E6A"/>
    <w:rsid w:val="00CA54CA"/>
    <w:rsid w:val="00CA55EC"/>
    <w:rsid w:val="00CA5676"/>
    <w:rsid w:val="00CA630D"/>
    <w:rsid w:val="00CA744D"/>
    <w:rsid w:val="00CB30DB"/>
    <w:rsid w:val="00CB353C"/>
    <w:rsid w:val="00CB4C33"/>
    <w:rsid w:val="00CB4CBF"/>
    <w:rsid w:val="00CC0CCE"/>
    <w:rsid w:val="00CC1E72"/>
    <w:rsid w:val="00CC3B86"/>
    <w:rsid w:val="00CC465E"/>
    <w:rsid w:val="00CC6551"/>
    <w:rsid w:val="00CD1A8A"/>
    <w:rsid w:val="00CD28D7"/>
    <w:rsid w:val="00CD2DE7"/>
    <w:rsid w:val="00CD2F8C"/>
    <w:rsid w:val="00CD3D3F"/>
    <w:rsid w:val="00CD464E"/>
    <w:rsid w:val="00CD4977"/>
    <w:rsid w:val="00CE3866"/>
    <w:rsid w:val="00CE51FD"/>
    <w:rsid w:val="00CE5DB5"/>
    <w:rsid w:val="00CE5E2A"/>
    <w:rsid w:val="00CE65F5"/>
    <w:rsid w:val="00CE78EA"/>
    <w:rsid w:val="00CF0B20"/>
    <w:rsid w:val="00CF0B9B"/>
    <w:rsid w:val="00CF0E73"/>
    <w:rsid w:val="00CF1359"/>
    <w:rsid w:val="00CF1618"/>
    <w:rsid w:val="00CF29CB"/>
    <w:rsid w:val="00CF3096"/>
    <w:rsid w:val="00CF3B21"/>
    <w:rsid w:val="00CF5943"/>
    <w:rsid w:val="00CF79EF"/>
    <w:rsid w:val="00CF7AC0"/>
    <w:rsid w:val="00CF7FF7"/>
    <w:rsid w:val="00D01855"/>
    <w:rsid w:val="00D019E8"/>
    <w:rsid w:val="00D01C62"/>
    <w:rsid w:val="00D01ED3"/>
    <w:rsid w:val="00D02D84"/>
    <w:rsid w:val="00D06FC1"/>
    <w:rsid w:val="00D07EE0"/>
    <w:rsid w:val="00D107D2"/>
    <w:rsid w:val="00D11580"/>
    <w:rsid w:val="00D1169D"/>
    <w:rsid w:val="00D11807"/>
    <w:rsid w:val="00D126BD"/>
    <w:rsid w:val="00D131CE"/>
    <w:rsid w:val="00D141EF"/>
    <w:rsid w:val="00D157AF"/>
    <w:rsid w:val="00D15803"/>
    <w:rsid w:val="00D20013"/>
    <w:rsid w:val="00D20DC5"/>
    <w:rsid w:val="00D21221"/>
    <w:rsid w:val="00D216BD"/>
    <w:rsid w:val="00D252D4"/>
    <w:rsid w:val="00D27308"/>
    <w:rsid w:val="00D314A7"/>
    <w:rsid w:val="00D316FC"/>
    <w:rsid w:val="00D326AC"/>
    <w:rsid w:val="00D33410"/>
    <w:rsid w:val="00D33615"/>
    <w:rsid w:val="00D3510C"/>
    <w:rsid w:val="00D40869"/>
    <w:rsid w:val="00D40DDA"/>
    <w:rsid w:val="00D41337"/>
    <w:rsid w:val="00D42DF4"/>
    <w:rsid w:val="00D44A82"/>
    <w:rsid w:val="00D4581C"/>
    <w:rsid w:val="00D45BA0"/>
    <w:rsid w:val="00D45D3D"/>
    <w:rsid w:val="00D46067"/>
    <w:rsid w:val="00D474AF"/>
    <w:rsid w:val="00D47E17"/>
    <w:rsid w:val="00D51365"/>
    <w:rsid w:val="00D514AF"/>
    <w:rsid w:val="00D52696"/>
    <w:rsid w:val="00D52DE9"/>
    <w:rsid w:val="00D607CB"/>
    <w:rsid w:val="00D607FE"/>
    <w:rsid w:val="00D60944"/>
    <w:rsid w:val="00D60A91"/>
    <w:rsid w:val="00D61416"/>
    <w:rsid w:val="00D61736"/>
    <w:rsid w:val="00D6250A"/>
    <w:rsid w:val="00D62816"/>
    <w:rsid w:val="00D63237"/>
    <w:rsid w:val="00D6343F"/>
    <w:rsid w:val="00D63806"/>
    <w:rsid w:val="00D63D2F"/>
    <w:rsid w:val="00D6454E"/>
    <w:rsid w:val="00D64B9F"/>
    <w:rsid w:val="00D6607E"/>
    <w:rsid w:val="00D6637E"/>
    <w:rsid w:val="00D71B0C"/>
    <w:rsid w:val="00D73636"/>
    <w:rsid w:val="00D739F0"/>
    <w:rsid w:val="00D75663"/>
    <w:rsid w:val="00D76B17"/>
    <w:rsid w:val="00D76F2E"/>
    <w:rsid w:val="00D8069D"/>
    <w:rsid w:val="00D82485"/>
    <w:rsid w:val="00D82D2F"/>
    <w:rsid w:val="00D83752"/>
    <w:rsid w:val="00D841D9"/>
    <w:rsid w:val="00D84B78"/>
    <w:rsid w:val="00D85D13"/>
    <w:rsid w:val="00D90E6B"/>
    <w:rsid w:val="00D91043"/>
    <w:rsid w:val="00D94492"/>
    <w:rsid w:val="00D94810"/>
    <w:rsid w:val="00D975B6"/>
    <w:rsid w:val="00D97AC0"/>
    <w:rsid w:val="00D97DF6"/>
    <w:rsid w:val="00DA12D2"/>
    <w:rsid w:val="00DA2D8B"/>
    <w:rsid w:val="00DA3920"/>
    <w:rsid w:val="00DA3E71"/>
    <w:rsid w:val="00DA4FB1"/>
    <w:rsid w:val="00DA5127"/>
    <w:rsid w:val="00DA5278"/>
    <w:rsid w:val="00DA5B46"/>
    <w:rsid w:val="00DA5D60"/>
    <w:rsid w:val="00DA76FE"/>
    <w:rsid w:val="00DB05F0"/>
    <w:rsid w:val="00DB17DB"/>
    <w:rsid w:val="00DB20B2"/>
    <w:rsid w:val="00DB498E"/>
    <w:rsid w:val="00DB4F9C"/>
    <w:rsid w:val="00DB5A08"/>
    <w:rsid w:val="00DB5F1D"/>
    <w:rsid w:val="00DB6183"/>
    <w:rsid w:val="00DC2331"/>
    <w:rsid w:val="00DC2A93"/>
    <w:rsid w:val="00DC367B"/>
    <w:rsid w:val="00DC4043"/>
    <w:rsid w:val="00DC5091"/>
    <w:rsid w:val="00DC7A7C"/>
    <w:rsid w:val="00DD08B4"/>
    <w:rsid w:val="00DD1252"/>
    <w:rsid w:val="00DD20EF"/>
    <w:rsid w:val="00DD33E4"/>
    <w:rsid w:val="00DD3AFF"/>
    <w:rsid w:val="00DD455D"/>
    <w:rsid w:val="00DD4896"/>
    <w:rsid w:val="00DD544C"/>
    <w:rsid w:val="00DD59EA"/>
    <w:rsid w:val="00DD5C9A"/>
    <w:rsid w:val="00DD64A8"/>
    <w:rsid w:val="00DD65E5"/>
    <w:rsid w:val="00DD767D"/>
    <w:rsid w:val="00DD7991"/>
    <w:rsid w:val="00DD7B3A"/>
    <w:rsid w:val="00DD7C5B"/>
    <w:rsid w:val="00DE0C1C"/>
    <w:rsid w:val="00DE0E22"/>
    <w:rsid w:val="00DE19EE"/>
    <w:rsid w:val="00DE1B93"/>
    <w:rsid w:val="00DE2FF0"/>
    <w:rsid w:val="00DE3F62"/>
    <w:rsid w:val="00DE4147"/>
    <w:rsid w:val="00DE45FA"/>
    <w:rsid w:val="00DE4615"/>
    <w:rsid w:val="00DE4857"/>
    <w:rsid w:val="00DF0105"/>
    <w:rsid w:val="00DF0751"/>
    <w:rsid w:val="00DF1396"/>
    <w:rsid w:val="00DF5AEF"/>
    <w:rsid w:val="00DF5CAC"/>
    <w:rsid w:val="00DF60F9"/>
    <w:rsid w:val="00DF65D1"/>
    <w:rsid w:val="00DF7022"/>
    <w:rsid w:val="00DF77B7"/>
    <w:rsid w:val="00E00522"/>
    <w:rsid w:val="00E00E65"/>
    <w:rsid w:val="00E01BF5"/>
    <w:rsid w:val="00E03390"/>
    <w:rsid w:val="00E063AE"/>
    <w:rsid w:val="00E067C9"/>
    <w:rsid w:val="00E06EF2"/>
    <w:rsid w:val="00E07D71"/>
    <w:rsid w:val="00E10CEE"/>
    <w:rsid w:val="00E111AA"/>
    <w:rsid w:val="00E12F97"/>
    <w:rsid w:val="00E1399D"/>
    <w:rsid w:val="00E1460F"/>
    <w:rsid w:val="00E1514E"/>
    <w:rsid w:val="00E155CD"/>
    <w:rsid w:val="00E157AC"/>
    <w:rsid w:val="00E15C0F"/>
    <w:rsid w:val="00E15C62"/>
    <w:rsid w:val="00E168FB"/>
    <w:rsid w:val="00E16BE9"/>
    <w:rsid w:val="00E171CD"/>
    <w:rsid w:val="00E177FC"/>
    <w:rsid w:val="00E20387"/>
    <w:rsid w:val="00E212CA"/>
    <w:rsid w:val="00E2163B"/>
    <w:rsid w:val="00E21A0C"/>
    <w:rsid w:val="00E21D65"/>
    <w:rsid w:val="00E227B5"/>
    <w:rsid w:val="00E22A18"/>
    <w:rsid w:val="00E24AD6"/>
    <w:rsid w:val="00E252B4"/>
    <w:rsid w:val="00E26177"/>
    <w:rsid w:val="00E2759C"/>
    <w:rsid w:val="00E30002"/>
    <w:rsid w:val="00E30336"/>
    <w:rsid w:val="00E30982"/>
    <w:rsid w:val="00E30C7A"/>
    <w:rsid w:val="00E30D55"/>
    <w:rsid w:val="00E31708"/>
    <w:rsid w:val="00E33130"/>
    <w:rsid w:val="00E34353"/>
    <w:rsid w:val="00E356FC"/>
    <w:rsid w:val="00E35BB7"/>
    <w:rsid w:val="00E40942"/>
    <w:rsid w:val="00E414EB"/>
    <w:rsid w:val="00E42AB2"/>
    <w:rsid w:val="00E42CDF"/>
    <w:rsid w:val="00E43160"/>
    <w:rsid w:val="00E4421C"/>
    <w:rsid w:val="00E4435B"/>
    <w:rsid w:val="00E4515C"/>
    <w:rsid w:val="00E451B3"/>
    <w:rsid w:val="00E45F2D"/>
    <w:rsid w:val="00E46374"/>
    <w:rsid w:val="00E46B8A"/>
    <w:rsid w:val="00E472B1"/>
    <w:rsid w:val="00E4735B"/>
    <w:rsid w:val="00E4760A"/>
    <w:rsid w:val="00E50F2C"/>
    <w:rsid w:val="00E52127"/>
    <w:rsid w:val="00E521F8"/>
    <w:rsid w:val="00E52F16"/>
    <w:rsid w:val="00E53A8A"/>
    <w:rsid w:val="00E55ED6"/>
    <w:rsid w:val="00E57270"/>
    <w:rsid w:val="00E630B6"/>
    <w:rsid w:val="00E63677"/>
    <w:rsid w:val="00E63DE4"/>
    <w:rsid w:val="00E64F21"/>
    <w:rsid w:val="00E65D26"/>
    <w:rsid w:val="00E6768D"/>
    <w:rsid w:val="00E67CD0"/>
    <w:rsid w:val="00E72BAA"/>
    <w:rsid w:val="00E7383C"/>
    <w:rsid w:val="00E73A63"/>
    <w:rsid w:val="00E74F77"/>
    <w:rsid w:val="00E7553B"/>
    <w:rsid w:val="00E75819"/>
    <w:rsid w:val="00E75846"/>
    <w:rsid w:val="00E75970"/>
    <w:rsid w:val="00E75E0C"/>
    <w:rsid w:val="00E76CA4"/>
    <w:rsid w:val="00E77CC1"/>
    <w:rsid w:val="00E8084C"/>
    <w:rsid w:val="00E82141"/>
    <w:rsid w:val="00E82185"/>
    <w:rsid w:val="00E8274F"/>
    <w:rsid w:val="00E833DD"/>
    <w:rsid w:val="00E84E3B"/>
    <w:rsid w:val="00E85E71"/>
    <w:rsid w:val="00E864D1"/>
    <w:rsid w:val="00E86DF3"/>
    <w:rsid w:val="00E87D79"/>
    <w:rsid w:val="00E9265E"/>
    <w:rsid w:val="00E92EDC"/>
    <w:rsid w:val="00E94744"/>
    <w:rsid w:val="00E95809"/>
    <w:rsid w:val="00E95F83"/>
    <w:rsid w:val="00E969EA"/>
    <w:rsid w:val="00E9724E"/>
    <w:rsid w:val="00E9742D"/>
    <w:rsid w:val="00E97D0E"/>
    <w:rsid w:val="00EA37AB"/>
    <w:rsid w:val="00EA3AB9"/>
    <w:rsid w:val="00EA3B30"/>
    <w:rsid w:val="00EA3EFA"/>
    <w:rsid w:val="00EA5A85"/>
    <w:rsid w:val="00EA7EC1"/>
    <w:rsid w:val="00EB02B2"/>
    <w:rsid w:val="00EB2AB5"/>
    <w:rsid w:val="00EB3245"/>
    <w:rsid w:val="00EB479B"/>
    <w:rsid w:val="00EB63A0"/>
    <w:rsid w:val="00EB751C"/>
    <w:rsid w:val="00EC0E7D"/>
    <w:rsid w:val="00EC25F3"/>
    <w:rsid w:val="00EC34EE"/>
    <w:rsid w:val="00EC391E"/>
    <w:rsid w:val="00EC39D8"/>
    <w:rsid w:val="00ED0112"/>
    <w:rsid w:val="00ED1491"/>
    <w:rsid w:val="00ED15BC"/>
    <w:rsid w:val="00ED27CF"/>
    <w:rsid w:val="00ED348B"/>
    <w:rsid w:val="00ED373F"/>
    <w:rsid w:val="00ED503B"/>
    <w:rsid w:val="00ED5469"/>
    <w:rsid w:val="00ED57C4"/>
    <w:rsid w:val="00ED61A8"/>
    <w:rsid w:val="00ED75A7"/>
    <w:rsid w:val="00EE08D0"/>
    <w:rsid w:val="00EE1879"/>
    <w:rsid w:val="00EE1BDD"/>
    <w:rsid w:val="00EE2342"/>
    <w:rsid w:val="00EE3C28"/>
    <w:rsid w:val="00EE42B2"/>
    <w:rsid w:val="00EE42C0"/>
    <w:rsid w:val="00EE54AB"/>
    <w:rsid w:val="00EE5CD2"/>
    <w:rsid w:val="00EE6D20"/>
    <w:rsid w:val="00EE7497"/>
    <w:rsid w:val="00EF1377"/>
    <w:rsid w:val="00EF3533"/>
    <w:rsid w:val="00EF3BF3"/>
    <w:rsid w:val="00EF3C69"/>
    <w:rsid w:val="00EF41D0"/>
    <w:rsid w:val="00EF4B06"/>
    <w:rsid w:val="00EF4FDD"/>
    <w:rsid w:val="00EF637E"/>
    <w:rsid w:val="00EF68A4"/>
    <w:rsid w:val="00EF7A1A"/>
    <w:rsid w:val="00F0088A"/>
    <w:rsid w:val="00F00ADE"/>
    <w:rsid w:val="00F015B1"/>
    <w:rsid w:val="00F05B1C"/>
    <w:rsid w:val="00F066A6"/>
    <w:rsid w:val="00F1047E"/>
    <w:rsid w:val="00F10C34"/>
    <w:rsid w:val="00F12333"/>
    <w:rsid w:val="00F1273A"/>
    <w:rsid w:val="00F1285B"/>
    <w:rsid w:val="00F13965"/>
    <w:rsid w:val="00F14A80"/>
    <w:rsid w:val="00F1539B"/>
    <w:rsid w:val="00F1576D"/>
    <w:rsid w:val="00F16DB8"/>
    <w:rsid w:val="00F174A1"/>
    <w:rsid w:val="00F17B15"/>
    <w:rsid w:val="00F200FD"/>
    <w:rsid w:val="00F20597"/>
    <w:rsid w:val="00F206DD"/>
    <w:rsid w:val="00F21224"/>
    <w:rsid w:val="00F21566"/>
    <w:rsid w:val="00F21D5C"/>
    <w:rsid w:val="00F23275"/>
    <w:rsid w:val="00F23E3C"/>
    <w:rsid w:val="00F24C0D"/>
    <w:rsid w:val="00F25069"/>
    <w:rsid w:val="00F25274"/>
    <w:rsid w:val="00F26711"/>
    <w:rsid w:val="00F30959"/>
    <w:rsid w:val="00F3198F"/>
    <w:rsid w:val="00F31B10"/>
    <w:rsid w:val="00F35023"/>
    <w:rsid w:val="00F35656"/>
    <w:rsid w:val="00F374F0"/>
    <w:rsid w:val="00F40873"/>
    <w:rsid w:val="00F40F37"/>
    <w:rsid w:val="00F41417"/>
    <w:rsid w:val="00F421B4"/>
    <w:rsid w:val="00F42421"/>
    <w:rsid w:val="00F42EE0"/>
    <w:rsid w:val="00F43105"/>
    <w:rsid w:val="00F440F8"/>
    <w:rsid w:val="00F44972"/>
    <w:rsid w:val="00F44DEF"/>
    <w:rsid w:val="00F4563C"/>
    <w:rsid w:val="00F471CD"/>
    <w:rsid w:val="00F4743D"/>
    <w:rsid w:val="00F47D01"/>
    <w:rsid w:val="00F50A2C"/>
    <w:rsid w:val="00F50B42"/>
    <w:rsid w:val="00F51C19"/>
    <w:rsid w:val="00F5283E"/>
    <w:rsid w:val="00F53148"/>
    <w:rsid w:val="00F53358"/>
    <w:rsid w:val="00F61121"/>
    <w:rsid w:val="00F62C02"/>
    <w:rsid w:val="00F62E79"/>
    <w:rsid w:val="00F63506"/>
    <w:rsid w:val="00F63885"/>
    <w:rsid w:val="00F64603"/>
    <w:rsid w:val="00F64AE7"/>
    <w:rsid w:val="00F65C0B"/>
    <w:rsid w:val="00F666C5"/>
    <w:rsid w:val="00F668F9"/>
    <w:rsid w:val="00F70F53"/>
    <w:rsid w:val="00F742C1"/>
    <w:rsid w:val="00F7435F"/>
    <w:rsid w:val="00F74387"/>
    <w:rsid w:val="00F77FEA"/>
    <w:rsid w:val="00F801CA"/>
    <w:rsid w:val="00F81C13"/>
    <w:rsid w:val="00F829AD"/>
    <w:rsid w:val="00F82D2A"/>
    <w:rsid w:val="00F83DBC"/>
    <w:rsid w:val="00F84D7C"/>
    <w:rsid w:val="00F84E0E"/>
    <w:rsid w:val="00F92BA5"/>
    <w:rsid w:val="00F93E6E"/>
    <w:rsid w:val="00F94C9B"/>
    <w:rsid w:val="00F94E04"/>
    <w:rsid w:val="00F96BD8"/>
    <w:rsid w:val="00F96CBD"/>
    <w:rsid w:val="00FA0603"/>
    <w:rsid w:val="00FA0C1D"/>
    <w:rsid w:val="00FA13E5"/>
    <w:rsid w:val="00FA1454"/>
    <w:rsid w:val="00FA2D96"/>
    <w:rsid w:val="00FA2EF8"/>
    <w:rsid w:val="00FA3344"/>
    <w:rsid w:val="00FA3C1C"/>
    <w:rsid w:val="00FA3CC3"/>
    <w:rsid w:val="00FA4245"/>
    <w:rsid w:val="00FA479A"/>
    <w:rsid w:val="00FA6624"/>
    <w:rsid w:val="00FA7BCC"/>
    <w:rsid w:val="00FA7C3E"/>
    <w:rsid w:val="00FB2758"/>
    <w:rsid w:val="00FB4920"/>
    <w:rsid w:val="00FB4BA6"/>
    <w:rsid w:val="00FB50F4"/>
    <w:rsid w:val="00FB51CA"/>
    <w:rsid w:val="00FB544C"/>
    <w:rsid w:val="00FB63F0"/>
    <w:rsid w:val="00FB6CE3"/>
    <w:rsid w:val="00FC00DC"/>
    <w:rsid w:val="00FC059C"/>
    <w:rsid w:val="00FC0F02"/>
    <w:rsid w:val="00FC26AA"/>
    <w:rsid w:val="00FC286E"/>
    <w:rsid w:val="00FC40AF"/>
    <w:rsid w:val="00FC40BA"/>
    <w:rsid w:val="00FC4348"/>
    <w:rsid w:val="00FC47EC"/>
    <w:rsid w:val="00FC4C70"/>
    <w:rsid w:val="00FC55CE"/>
    <w:rsid w:val="00FC5C4E"/>
    <w:rsid w:val="00FC7DBB"/>
    <w:rsid w:val="00FD0549"/>
    <w:rsid w:val="00FD0E1F"/>
    <w:rsid w:val="00FD10D4"/>
    <w:rsid w:val="00FD1230"/>
    <w:rsid w:val="00FD13F2"/>
    <w:rsid w:val="00FD1998"/>
    <w:rsid w:val="00FD2A05"/>
    <w:rsid w:val="00FD3A51"/>
    <w:rsid w:val="00FD4C1C"/>
    <w:rsid w:val="00FD52AB"/>
    <w:rsid w:val="00FD79E3"/>
    <w:rsid w:val="00FD7DF9"/>
    <w:rsid w:val="00FD7E04"/>
    <w:rsid w:val="00FD7EC8"/>
    <w:rsid w:val="00FE116C"/>
    <w:rsid w:val="00FE12A1"/>
    <w:rsid w:val="00FE1C55"/>
    <w:rsid w:val="00FE2132"/>
    <w:rsid w:val="00FE3AEE"/>
    <w:rsid w:val="00FE4443"/>
    <w:rsid w:val="00FE4E85"/>
    <w:rsid w:val="00FE561C"/>
    <w:rsid w:val="00FE5BC1"/>
    <w:rsid w:val="00FE610B"/>
    <w:rsid w:val="00FE794E"/>
    <w:rsid w:val="00FF08F2"/>
    <w:rsid w:val="00FF16C4"/>
    <w:rsid w:val="00FF1ABF"/>
    <w:rsid w:val="00FF242E"/>
    <w:rsid w:val="00FF2F3E"/>
    <w:rsid w:val="00FF4617"/>
    <w:rsid w:val="00FF7646"/>
    <w:rsid w:val="00FF777E"/>
    <w:rsid w:val="00FF7AA8"/>
    <w:rsid w:val="00FF7C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4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1000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10000"/>
    <w:rPr>
      <w:rFonts w:cs="Times New Roman"/>
      <w:sz w:val="18"/>
      <w:szCs w:val="18"/>
    </w:rPr>
  </w:style>
  <w:style w:type="paragraph" w:styleId="Footer">
    <w:name w:val="footer"/>
    <w:basedOn w:val="Normal"/>
    <w:link w:val="FooterChar"/>
    <w:uiPriority w:val="99"/>
    <w:rsid w:val="00B1000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10000"/>
    <w:rPr>
      <w:rFonts w:cs="Times New Roman"/>
      <w:sz w:val="18"/>
      <w:szCs w:val="18"/>
    </w:rPr>
  </w:style>
  <w:style w:type="paragraph" w:customStyle="1" w:styleId="a">
    <w:name w:val="页眉报告名称"/>
    <w:link w:val="Char"/>
    <w:autoRedefine/>
    <w:uiPriority w:val="99"/>
    <w:rsid w:val="00B10000"/>
    <w:pPr>
      <w:spacing w:afterLines="100" w:line="240" w:lineRule="exact"/>
      <w:jc w:val="both"/>
    </w:pPr>
    <w:rPr>
      <w:rFonts w:eastAsia="华文新魏"/>
      <w:sz w:val="24"/>
    </w:rPr>
  </w:style>
  <w:style w:type="character" w:customStyle="1" w:styleId="Char">
    <w:name w:val="页眉报告名称 Char"/>
    <w:basedOn w:val="DefaultParagraphFont"/>
    <w:link w:val="a"/>
    <w:uiPriority w:val="99"/>
    <w:locked/>
    <w:rsid w:val="00B10000"/>
    <w:rPr>
      <w:rFonts w:ascii="Calibri" w:eastAsia="华文新魏" w:hAnsi="Calibri" w:cs="Times New Roman"/>
      <w:kern w:val="2"/>
      <w:sz w:val="22"/>
      <w:szCs w:val="22"/>
      <w:lang w:val="en-US" w:eastAsia="zh-CN" w:bidi="ar-SA"/>
    </w:rPr>
  </w:style>
  <w:style w:type="paragraph" w:customStyle="1" w:styleId="a0">
    <w:name w:val="页眉图片"/>
    <w:basedOn w:val="Header"/>
    <w:link w:val="Char0"/>
    <w:uiPriority w:val="99"/>
    <w:rsid w:val="00B10000"/>
    <w:pPr>
      <w:pBdr>
        <w:bottom w:val="none" w:sz="0" w:space="0" w:color="auto"/>
      </w:pBdr>
      <w:tabs>
        <w:tab w:val="clear" w:pos="4153"/>
        <w:tab w:val="clear" w:pos="8306"/>
        <w:tab w:val="right" w:pos="11424"/>
      </w:tabs>
      <w:jc w:val="left"/>
    </w:pPr>
    <w:rPr>
      <w:noProof/>
    </w:rPr>
  </w:style>
  <w:style w:type="character" w:customStyle="1" w:styleId="Char0">
    <w:name w:val="页眉图片 Char"/>
    <w:basedOn w:val="HeaderChar"/>
    <w:link w:val="a0"/>
    <w:uiPriority w:val="99"/>
    <w:locked/>
    <w:rsid w:val="00B10000"/>
    <w:rPr>
      <w:rFonts w:ascii="Calibri" w:eastAsia="宋体" w:hAnsi="Calibri"/>
      <w:noProof/>
    </w:rPr>
  </w:style>
  <w:style w:type="paragraph" w:customStyle="1" w:styleId="a1">
    <w:name w:val="页眉处日期"/>
    <w:basedOn w:val="Normal"/>
    <w:link w:val="Char1"/>
    <w:uiPriority w:val="99"/>
    <w:rsid w:val="00B10000"/>
    <w:pPr>
      <w:tabs>
        <w:tab w:val="right" w:pos="11424"/>
      </w:tabs>
      <w:snapToGrid w:val="0"/>
      <w:jc w:val="left"/>
    </w:pPr>
    <w:rPr>
      <w:rFonts w:ascii="华文隶书" w:eastAsia="华文隶书"/>
      <w:b/>
      <w:sz w:val="24"/>
      <w:szCs w:val="24"/>
    </w:rPr>
  </w:style>
  <w:style w:type="paragraph" w:customStyle="1" w:styleId="a2">
    <w:name w:val="页眉副标题"/>
    <w:basedOn w:val="Normal"/>
    <w:link w:val="Char2"/>
    <w:uiPriority w:val="99"/>
    <w:rsid w:val="00B10000"/>
    <w:pPr>
      <w:tabs>
        <w:tab w:val="right" w:pos="11424"/>
      </w:tabs>
      <w:snapToGrid w:val="0"/>
      <w:jc w:val="left"/>
    </w:pPr>
    <w:rPr>
      <w:rFonts w:ascii="华文隶书" w:eastAsia="华文隶书"/>
      <w:sz w:val="36"/>
      <w:szCs w:val="36"/>
    </w:rPr>
  </w:style>
  <w:style w:type="character" w:customStyle="1" w:styleId="Char1">
    <w:name w:val="页眉处日期 Char"/>
    <w:basedOn w:val="DefaultParagraphFont"/>
    <w:link w:val="a1"/>
    <w:uiPriority w:val="99"/>
    <w:locked/>
    <w:rsid w:val="00B10000"/>
    <w:rPr>
      <w:rFonts w:ascii="华文隶书" w:eastAsia="华文隶书" w:hAnsi="Calibri" w:cs="Times New Roman"/>
      <w:b/>
      <w:sz w:val="24"/>
      <w:szCs w:val="24"/>
    </w:rPr>
  </w:style>
  <w:style w:type="character" w:customStyle="1" w:styleId="Char2">
    <w:name w:val="页眉副标题 Char"/>
    <w:basedOn w:val="DefaultParagraphFont"/>
    <w:link w:val="a2"/>
    <w:uiPriority w:val="99"/>
    <w:locked/>
    <w:rsid w:val="00B10000"/>
    <w:rPr>
      <w:rFonts w:ascii="华文隶书" w:eastAsia="华文隶书" w:hAnsi="Calibri" w:cs="Times New Roman"/>
      <w:sz w:val="36"/>
      <w:szCs w:val="36"/>
    </w:rPr>
  </w:style>
  <w:style w:type="paragraph" w:customStyle="1" w:styleId="a3">
    <w:name w:val="页眉的分析师"/>
    <w:basedOn w:val="Normal"/>
    <w:link w:val="Char3"/>
    <w:uiPriority w:val="99"/>
    <w:rsid w:val="00B10000"/>
    <w:pPr>
      <w:tabs>
        <w:tab w:val="right" w:pos="11424"/>
      </w:tabs>
      <w:snapToGrid w:val="0"/>
      <w:spacing w:line="240" w:lineRule="exact"/>
      <w:jc w:val="right"/>
    </w:pPr>
    <w:rPr>
      <w:rFonts w:ascii="华文新魏" w:eastAsia="华文新魏"/>
      <w:szCs w:val="21"/>
    </w:rPr>
  </w:style>
  <w:style w:type="character" w:customStyle="1" w:styleId="Char3">
    <w:name w:val="页眉的分析师 Char"/>
    <w:basedOn w:val="DefaultParagraphFont"/>
    <w:link w:val="a3"/>
    <w:uiPriority w:val="99"/>
    <w:locked/>
    <w:rsid w:val="00B10000"/>
    <w:rPr>
      <w:rFonts w:ascii="华文新魏" w:eastAsia="华文新魏" w:hAnsi="Calibri" w:cs="Times New Roman"/>
      <w:sz w:val="21"/>
      <w:szCs w:val="21"/>
    </w:rPr>
  </w:style>
  <w:style w:type="paragraph" w:customStyle="1" w:styleId="12">
    <w:name w:val="页眉12"/>
    <w:basedOn w:val="Header"/>
    <w:link w:val="12Char"/>
    <w:uiPriority w:val="99"/>
    <w:rsid w:val="00B10000"/>
    <w:pPr>
      <w:pBdr>
        <w:bottom w:val="none" w:sz="0" w:space="0" w:color="auto"/>
      </w:pBdr>
      <w:tabs>
        <w:tab w:val="clear" w:pos="4153"/>
        <w:tab w:val="clear" w:pos="8306"/>
        <w:tab w:val="right" w:pos="11424"/>
      </w:tabs>
      <w:jc w:val="left"/>
    </w:pPr>
  </w:style>
  <w:style w:type="character" w:customStyle="1" w:styleId="12Char">
    <w:name w:val="页眉12 Char"/>
    <w:basedOn w:val="HeaderChar"/>
    <w:link w:val="12"/>
    <w:uiPriority w:val="99"/>
    <w:locked/>
    <w:rsid w:val="00B10000"/>
    <w:rPr>
      <w:rFonts w:ascii="Calibri" w:eastAsia="宋体" w:hAnsi="Calibri"/>
    </w:rPr>
  </w:style>
  <w:style w:type="paragraph" w:customStyle="1" w:styleId="2">
    <w:name w:val="页眉副标题2"/>
    <w:basedOn w:val="12"/>
    <w:link w:val="2Char"/>
    <w:uiPriority w:val="99"/>
    <w:rsid w:val="00B10000"/>
    <w:pPr>
      <w:jc w:val="right"/>
    </w:pPr>
    <w:rPr>
      <w:rFonts w:ascii="华文隶书" w:eastAsia="华文隶书"/>
      <w:sz w:val="21"/>
      <w:szCs w:val="21"/>
    </w:rPr>
  </w:style>
  <w:style w:type="character" w:customStyle="1" w:styleId="2Char">
    <w:name w:val="页眉副标题2 Char"/>
    <w:basedOn w:val="12Char"/>
    <w:link w:val="2"/>
    <w:uiPriority w:val="99"/>
    <w:locked/>
    <w:rsid w:val="00B10000"/>
    <w:rPr>
      <w:rFonts w:ascii="华文隶书" w:eastAsia="华文隶书"/>
      <w:sz w:val="21"/>
      <w:szCs w:val="21"/>
    </w:rPr>
  </w:style>
  <w:style w:type="paragraph" w:customStyle="1" w:styleId="a4">
    <w:name w:val="特别声明格式"/>
    <w:basedOn w:val="Normal"/>
    <w:link w:val="Char4"/>
    <w:uiPriority w:val="99"/>
    <w:rsid w:val="00B10000"/>
    <w:pPr>
      <w:spacing w:afterLines="100" w:line="240" w:lineRule="exact"/>
    </w:pPr>
    <w:rPr>
      <w:rFonts w:ascii="华文隶书" w:eastAsia="华文隶书"/>
      <w:sz w:val="28"/>
    </w:rPr>
  </w:style>
  <w:style w:type="character" w:customStyle="1" w:styleId="Char4">
    <w:name w:val="特别声明格式 Char"/>
    <w:basedOn w:val="DefaultParagraphFont"/>
    <w:link w:val="a4"/>
    <w:uiPriority w:val="99"/>
    <w:locked/>
    <w:rsid w:val="00B10000"/>
    <w:rPr>
      <w:rFonts w:ascii="华文隶书" w:eastAsia="华文隶书" w:hAnsi="Calibri" w:cs="Times New Roman"/>
      <w:sz w:val="28"/>
    </w:rPr>
  </w:style>
  <w:style w:type="paragraph" w:styleId="BodyText">
    <w:name w:val="Body Text"/>
    <w:basedOn w:val="Normal"/>
    <w:link w:val="BodyTextChar"/>
    <w:uiPriority w:val="99"/>
    <w:rsid w:val="00B10000"/>
    <w:pPr>
      <w:widowControl/>
      <w:spacing w:after="120" w:line="240" w:lineRule="exact"/>
      <w:ind w:left="3402"/>
    </w:pPr>
    <w:rPr>
      <w:rFonts w:ascii="Arial" w:eastAsia="KaiTi_GB2312" w:hAnsi="Arial"/>
      <w:color w:val="000000"/>
      <w:kern w:val="0"/>
      <w:szCs w:val="20"/>
      <w:lang w:val="en-GB"/>
    </w:rPr>
  </w:style>
  <w:style w:type="character" w:customStyle="1" w:styleId="BodyTextChar">
    <w:name w:val="Body Text Char"/>
    <w:basedOn w:val="DefaultParagraphFont"/>
    <w:link w:val="BodyText"/>
    <w:uiPriority w:val="99"/>
    <w:locked/>
    <w:rsid w:val="00B10000"/>
    <w:rPr>
      <w:rFonts w:ascii="Arial" w:eastAsia="KaiTi_GB2312" w:hAnsi="Arial" w:cs="Times New Roman"/>
      <w:color w:val="000000"/>
      <w:kern w:val="0"/>
      <w:sz w:val="20"/>
      <w:szCs w:val="20"/>
      <w:lang w:val="en-GB"/>
    </w:rPr>
  </w:style>
  <w:style w:type="paragraph" w:customStyle="1" w:styleId="FootnoteNoline">
    <w:name w:val="FootnoteNoline"/>
    <w:basedOn w:val="Normal"/>
    <w:next w:val="BodyText"/>
    <w:uiPriority w:val="99"/>
    <w:rsid w:val="008840A4"/>
    <w:pPr>
      <w:widowControl/>
      <w:tabs>
        <w:tab w:val="right" w:pos="10065"/>
      </w:tabs>
      <w:spacing w:before="40" w:after="160"/>
      <w:ind w:left="3402"/>
    </w:pPr>
    <w:rPr>
      <w:rFonts w:ascii="Arial" w:eastAsia="KaiTi_GB2312" w:hAnsi="Arial" w:cs="Arial"/>
      <w:color w:val="003765"/>
      <w:kern w:val="0"/>
      <w:sz w:val="15"/>
      <w:szCs w:val="14"/>
      <w:lang w:val="en-GB"/>
    </w:rPr>
  </w:style>
  <w:style w:type="paragraph" w:customStyle="1" w:styleId="SubTitleLargeTable">
    <w:name w:val="SubTitleLargeTable"/>
    <w:uiPriority w:val="99"/>
    <w:rsid w:val="008840A4"/>
    <w:pPr>
      <w:keepNext/>
      <w:pBdr>
        <w:top w:val="single" w:sz="6" w:space="1" w:color="666699"/>
      </w:pBdr>
      <w:suppressAutoHyphens/>
      <w:spacing w:after="40" w:line="240" w:lineRule="atLeast"/>
    </w:pPr>
    <w:rPr>
      <w:rFonts w:ascii="Arial" w:eastAsia="KaiTi_GB2312" w:hAnsi="Arial" w:cs="Arial"/>
      <w:b/>
      <w:bCs/>
      <w:i/>
      <w:iCs/>
      <w:color w:val="003765"/>
      <w:kern w:val="0"/>
      <w:szCs w:val="21"/>
      <w:lang w:val="en-GB"/>
    </w:rPr>
  </w:style>
  <w:style w:type="paragraph" w:styleId="BalloonText">
    <w:name w:val="Balloon Text"/>
    <w:basedOn w:val="Normal"/>
    <w:link w:val="BalloonTextChar"/>
    <w:uiPriority w:val="99"/>
    <w:semiHidden/>
    <w:rsid w:val="008840A4"/>
    <w:rPr>
      <w:sz w:val="18"/>
      <w:szCs w:val="18"/>
    </w:rPr>
  </w:style>
  <w:style w:type="character" w:customStyle="1" w:styleId="BalloonTextChar">
    <w:name w:val="Balloon Text Char"/>
    <w:basedOn w:val="DefaultParagraphFont"/>
    <w:link w:val="BalloonText"/>
    <w:uiPriority w:val="99"/>
    <w:semiHidden/>
    <w:locked/>
    <w:rsid w:val="008840A4"/>
    <w:rPr>
      <w:rFonts w:cs="Times New Roman"/>
      <w:sz w:val="18"/>
      <w:szCs w:val="18"/>
    </w:rPr>
  </w:style>
  <w:style w:type="paragraph" w:customStyle="1" w:styleId="CoverBullet">
    <w:name w:val="Cover Bullet"/>
    <w:uiPriority w:val="99"/>
    <w:rsid w:val="008840A4"/>
    <w:pPr>
      <w:numPr>
        <w:numId w:val="3"/>
      </w:numPr>
      <w:spacing w:before="120" w:after="120"/>
      <w:ind w:left="357" w:hanging="357"/>
    </w:pPr>
    <w:rPr>
      <w:rFonts w:ascii="LucidaSans" w:hAnsi="LucidaSans"/>
      <w:b/>
      <w:bCs/>
      <w:kern w:val="0"/>
      <w:sz w:val="20"/>
      <w:szCs w:val="20"/>
      <w:lang w:val="en-GB"/>
    </w:rPr>
  </w:style>
  <w:style w:type="paragraph" w:styleId="ListParagraph">
    <w:name w:val="List Paragraph"/>
    <w:basedOn w:val="Normal"/>
    <w:uiPriority w:val="99"/>
    <w:qFormat/>
    <w:rsid w:val="002630FB"/>
    <w:pPr>
      <w:ind w:firstLineChars="200" w:firstLine="420"/>
    </w:pPr>
  </w:style>
</w:styles>
</file>

<file path=word/webSettings.xml><?xml version="1.0" encoding="utf-8"?>
<w:webSettings xmlns:r="http://schemas.openxmlformats.org/officeDocument/2006/relationships" xmlns:w="http://schemas.openxmlformats.org/wordprocessingml/2006/main">
  <w:divs>
    <w:div w:id="1465077884">
      <w:marLeft w:val="0"/>
      <w:marRight w:val="0"/>
      <w:marTop w:val="0"/>
      <w:marBottom w:val="0"/>
      <w:divBdr>
        <w:top w:val="none" w:sz="0" w:space="0" w:color="auto"/>
        <w:left w:val="none" w:sz="0" w:space="0" w:color="auto"/>
        <w:bottom w:val="none" w:sz="0" w:space="0" w:color="auto"/>
        <w:right w:val="none" w:sz="0" w:space="0" w:color="auto"/>
      </w:divBdr>
    </w:div>
    <w:div w:id="1465077885">
      <w:marLeft w:val="0"/>
      <w:marRight w:val="0"/>
      <w:marTop w:val="0"/>
      <w:marBottom w:val="0"/>
      <w:divBdr>
        <w:top w:val="none" w:sz="0" w:space="0" w:color="auto"/>
        <w:left w:val="none" w:sz="0" w:space="0" w:color="auto"/>
        <w:bottom w:val="none" w:sz="0" w:space="0" w:color="auto"/>
        <w:right w:val="none" w:sz="0" w:space="0" w:color="auto"/>
      </w:divBdr>
    </w:div>
    <w:div w:id="1465077886">
      <w:marLeft w:val="0"/>
      <w:marRight w:val="0"/>
      <w:marTop w:val="0"/>
      <w:marBottom w:val="0"/>
      <w:divBdr>
        <w:top w:val="none" w:sz="0" w:space="0" w:color="auto"/>
        <w:left w:val="none" w:sz="0" w:space="0" w:color="auto"/>
        <w:bottom w:val="none" w:sz="0" w:space="0" w:color="auto"/>
        <w:right w:val="none" w:sz="0" w:space="0" w:color="auto"/>
      </w:divBdr>
    </w:div>
    <w:div w:id="1465077887">
      <w:marLeft w:val="0"/>
      <w:marRight w:val="0"/>
      <w:marTop w:val="0"/>
      <w:marBottom w:val="0"/>
      <w:divBdr>
        <w:top w:val="none" w:sz="0" w:space="0" w:color="auto"/>
        <w:left w:val="none" w:sz="0" w:space="0" w:color="auto"/>
        <w:bottom w:val="none" w:sz="0" w:space="0" w:color="auto"/>
        <w:right w:val="none" w:sz="0" w:space="0" w:color="auto"/>
      </w:divBdr>
    </w:div>
    <w:div w:id="1465077888">
      <w:marLeft w:val="0"/>
      <w:marRight w:val="0"/>
      <w:marTop w:val="0"/>
      <w:marBottom w:val="0"/>
      <w:divBdr>
        <w:top w:val="none" w:sz="0" w:space="0" w:color="auto"/>
        <w:left w:val="none" w:sz="0" w:space="0" w:color="auto"/>
        <w:bottom w:val="none" w:sz="0" w:space="0" w:color="auto"/>
        <w:right w:val="none" w:sz="0" w:space="0" w:color="auto"/>
      </w:divBdr>
    </w:div>
    <w:div w:id="1465077889">
      <w:marLeft w:val="0"/>
      <w:marRight w:val="0"/>
      <w:marTop w:val="0"/>
      <w:marBottom w:val="0"/>
      <w:divBdr>
        <w:top w:val="none" w:sz="0" w:space="0" w:color="auto"/>
        <w:left w:val="none" w:sz="0" w:space="0" w:color="auto"/>
        <w:bottom w:val="none" w:sz="0" w:space="0" w:color="auto"/>
        <w:right w:val="none" w:sz="0" w:space="0" w:color="auto"/>
      </w:divBdr>
    </w:div>
    <w:div w:id="1465077890">
      <w:marLeft w:val="0"/>
      <w:marRight w:val="0"/>
      <w:marTop w:val="0"/>
      <w:marBottom w:val="0"/>
      <w:divBdr>
        <w:top w:val="none" w:sz="0" w:space="0" w:color="auto"/>
        <w:left w:val="none" w:sz="0" w:space="0" w:color="auto"/>
        <w:bottom w:val="none" w:sz="0" w:space="0" w:color="auto"/>
        <w:right w:val="none" w:sz="0" w:space="0" w:color="auto"/>
      </w:divBdr>
    </w:div>
    <w:div w:id="1465077891">
      <w:marLeft w:val="0"/>
      <w:marRight w:val="0"/>
      <w:marTop w:val="0"/>
      <w:marBottom w:val="0"/>
      <w:divBdr>
        <w:top w:val="none" w:sz="0" w:space="0" w:color="auto"/>
        <w:left w:val="none" w:sz="0" w:space="0" w:color="auto"/>
        <w:bottom w:val="none" w:sz="0" w:space="0" w:color="auto"/>
        <w:right w:val="none" w:sz="0" w:space="0" w:color="auto"/>
      </w:divBdr>
    </w:div>
    <w:div w:id="1465077892">
      <w:marLeft w:val="0"/>
      <w:marRight w:val="0"/>
      <w:marTop w:val="0"/>
      <w:marBottom w:val="0"/>
      <w:divBdr>
        <w:top w:val="none" w:sz="0" w:space="0" w:color="auto"/>
        <w:left w:val="none" w:sz="0" w:space="0" w:color="auto"/>
        <w:bottom w:val="none" w:sz="0" w:space="0" w:color="auto"/>
        <w:right w:val="none" w:sz="0" w:space="0" w:color="auto"/>
      </w:divBdr>
    </w:div>
    <w:div w:id="1465077893">
      <w:marLeft w:val="0"/>
      <w:marRight w:val="0"/>
      <w:marTop w:val="0"/>
      <w:marBottom w:val="0"/>
      <w:divBdr>
        <w:top w:val="none" w:sz="0" w:space="0" w:color="auto"/>
        <w:left w:val="none" w:sz="0" w:space="0" w:color="auto"/>
        <w:bottom w:val="none" w:sz="0" w:space="0" w:color="auto"/>
        <w:right w:val="none" w:sz="0" w:space="0" w:color="auto"/>
      </w:divBdr>
    </w:div>
    <w:div w:id="1465077894">
      <w:marLeft w:val="0"/>
      <w:marRight w:val="0"/>
      <w:marTop w:val="0"/>
      <w:marBottom w:val="0"/>
      <w:divBdr>
        <w:top w:val="none" w:sz="0" w:space="0" w:color="auto"/>
        <w:left w:val="none" w:sz="0" w:space="0" w:color="auto"/>
        <w:bottom w:val="none" w:sz="0" w:space="0" w:color="auto"/>
        <w:right w:val="none" w:sz="0" w:space="0" w:color="auto"/>
      </w:divBdr>
    </w:div>
    <w:div w:id="1465077895">
      <w:marLeft w:val="0"/>
      <w:marRight w:val="0"/>
      <w:marTop w:val="0"/>
      <w:marBottom w:val="0"/>
      <w:divBdr>
        <w:top w:val="none" w:sz="0" w:space="0" w:color="auto"/>
        <w:left w:val="none" w:sz="0" w:space="0" w:color="auto"/>
        <w:bottom w:val="none" w:sz="0" w:space="0" w:color="auto"/>
        <w:right w:val="none" w:sz="0" w:space="0" w:color="auto"/>
      </w:divBdr>
    </w:div>
    <w:div w:id="1465077896">
      <w:marLeft w:val="0"/>
      <w:marRight w:val="0"/>
      <w:marTop w:val="0"/>
      <w:marBottom w:val="0"/>
      <w:divBdr>
        <w:top w:val="none" w:sz="0" w:space="0" w:color="auto"/>
        <w:left w:val="none" w:sz="0" w:space="0" w:color="auto"/>
        <w:bottom w:val="none" w:sz="0" w:space="0" w:color="auto"/>
        <w:right w:val="none" w:sz="0" w:space="0" w:color="auto"/>
      </w:divBdr>
    </w:div>
    <w:div w:id="1465077897">
      <w:marLeft w:val="0"/>
      <w:marRight w:val="0"/>
      <w:marTop w:val="0"/>
      <w:marBottom w:val="0"/>
      <w:divBdr>
        <w:top w:val="none" w:sz="0" w:space="0" w:color="auto"/>
        <w:left w:val="none" w:sz="0" w:space="0" w:color="auto"/>
        <w:bottom w:val="none" w:sz="0" w:space="0" w:color="auto"/>
        <w:right w:val="none" w:sz="0" w:space="0" w:color="auto"/>
      </w:divBdr>
    </w:div>
    <w:div w:id="1465077898">
      <w:marLeft w:val="0"/>
      <w:marRight w:val="0"/>
      <w:marTop w:val="0"/>
      <w:marBottom w:val="0"/>
      <w:divBdr>
        <w:top w:val="none" w:sz="0" w:space="0" w:color="auto"/>
        <w:left w:val="none" w:sz="0" w:space="0" w:color="auto"/>
        <w:bottom w:val="none" w:sz="0" w:space="0" w:color="auto"/>
        <w:right w:val="none" w:sz="0" w:space="0" w:color="auto"/>
      </w:divBdr>
    </w:div>
    <w:div w:id="1465077899">
      <w:marLeft w:val="0"/>
      <w:marRight w:val="0"/>
      <w:marTop w:val="0"/>
      <w:marBottom w:val="0"/>
      <w:divBdr>
        <w:top w:val="none" w:sz="0" w:space="0" w:color="auto"/>
        <w:left w:val="none" w:sz="0" w:space="0" w:color="auto"/>
        <w:bottom w:val="none" w:sz="0" w:space="0" w:color="auto"/>
        <w:right w:val="none" w:sz="0" w:space="0" w:color="auto"/>
      </w:divBdr>
    </w:div>
    <w:div w:id="1465077900">
      <w:marLeft w:val="0"/>
      <w:marRight w:val="0"/>
      <w:marTop w:val="0"/>
      <w:marBottom w:val="0"/>
      <w:divBdr>
        <w:top w:val="none" w:sz="0" w:space="0" w:color="auto"/>
        <w:left w:val="none" w:sz="0" w:space="0" w:color="auto"/>
        <w:bottom w:val="none" w:sz="0" w:space="0" w:color="auto"/>
        <w:right w:val="none" w:sz="0" w:space="0" w:color="auto"/>
      </w:divBdr>
    </w:div>
    <w:div w:id="1465077901">
      <w:marLeft w:val="0"/>
      <w:marRight w:val="0"/>
      <w:marTop w:val="0"/>
      <w:marBottom w:val="0"/>
      <w:divBdr>
        <w:top w:val="none" w:sz="0" w:space="0" w:color="auto"/>
        <w:left w:val="none" w:sz="0" w:space="0" w:color="auto"/>
        <w:bottom w:val="none" w:sz="0" w:space="0" w:color="auto"/>
        <w:right w:val="none" w:sz="0" w:space="0" w:color="auto"/>
      </w:divBdr>
    </w:div>
    <w:div w:id="1465077902">
      <w:marLeft w:val="0"/>
      <w:marRight w:val="0"/>
      <w:marTop w:val="0"/>
      <w:marBottom w:val="0"/>
      <w:divBdr>
        <w:top w:val="none" w:sz="0" w:space="0" w:color="auto"/>
        <w:left w:val="none" w:sz="0" w:space="0" w:color="auto"/>
        <w:bottom w:val="none" w:sz="0" w:space="0" w:color="auto"/>
        <w:right w:val="none" w:sz="0" w:space="0" w:color="auto"/>
      </w:divBdr>
    </w:div>
    <w:div w:id="1465077903">
      <w:marLeft w:val="0"/>
      <w:marRight w:val="0"/>
      <w:marTop w:val="0"/>
      <w:marBottom w:val="0"/>
      <w:divBdr>
        <w:top w:val="none" w:sz="0" w:space="0" w:color="auto"/>
        <w:left w:val="none" w:sz="0" w:space="0" w:color="auto"/>
        <w:bottom w:val="none" w:sz="0" w:space="0" w:color="auto"/>
        <w:right w:val="none" w:sz="0" w:space="0" w:color="auto"/>
      </w:divBdr>
    </w:div>
    <w:div w:id="1465077904">
      <w:marLeft w:val="0"/>
      <w:marRight w:val="0"/>
      <w:marTop w:val="0"/>
      <w:marBottom w:val="0"/>
      <w:divBdr>
        <w:top w:val="none" w:sz="0" w:space="0" w:color="auto"/>
        <w:left w:val="none" w:sz="0" w:space="0" w:color="auto"/>
        <w:bottom w:val="none" w:sz="0" w:space="0" w:color="auto"/>
        <w:right w:val="none" w:sz="0" w:space="0" w:color="auto"/>
      </w:divBdr>
    </w:div>
    <w:div w:id="1465077905">
      <w:marLeft w:val="0"/>
      <w:marRight w:val="0"/>
      <w:marTop w:val="0"/>
      <w:marBottom w:val="0"/>
      <w:divBdr>
        <w:top w:val="none" w:sz="0" w:space="0" w:color="auto"/>
        <w:left w:val="none" w:sz="0" w:space="0" w:color="auto"/>
        <w:bottom w:val="none" w:sz="0" w:space="0" w:color="auto"/>
        <w:right w:val="none" w:sz="0" w:space="0" w:color="auto"/>
      </w:divBdr>
    </w:div>
    <w:div w:id="1465077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774</Words>
  <Characters>4416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导语</dc:title>
  <dc:subject/>
  <dc:creator>shanghai vstone</dc:creator>
  <cp:keywords/>
  <dc:description/>
  <cp:lastModifiedBy>User</cp:lastModifiedBy>
  <cp:revision>2</cp:revision>
  <dcterms:created xsi:type="dcterms:W3CDTF">2014-09-10T03:16:00Z</dcterms:created>
  <dcterms:modified xsi:type="dcterms:W3CDTF">2014-09-10T03:16:00Z</dcterms:modified>
</cp:coreProperties>
</file>