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5B9" w:rsidRPr="00961E7F" w:rsidRDefault="000355B9" w:rsidP="007B3051">
      <w:pPr>
        <w:widowControl/>
        <w:spacing w:after="120" w:line="240" w:lineRule="exact"/>
        <w:ind w:left="3430"/>
        <w:rPr>
          <w:rFonts w:ascii="楷体" w:eastAsia="楷体" w:hAnsi="楷体"/>
          <w:b/>
          <w:bCs/>
          <w:color w:val="0070C0"/>
          <w:kern w:val="0"/>
          <w:sz w:val="24"/>
          <w:szCs w:val="20"/>
          <w:lang w:val="en-GB"/>
        </w:rPr>
      </w:pPr>
      <w:r>
        <w:rPr>
          <w:rFonts w:ascii="楷体" w:eastAsia="楷体" w:hAnsi="楷体" w:hint="eastAsia"/>
          <w:b/>
          <w:bCs/>
          <w:color w:val="0070C0"/>
          <w:kern w:val="0"/>
          <w:sz w:val="24"/>
          <w:szCs w:val="20"/>
          <w:lang w:val="en-GB"/>
        </w:rPr>
        <w:t>导语</w:t>
      </w:r>
    </w:p>
    <w:p w:rsidR="000355B9" w:rsidRPr="00747D5B" w:rsidRDefault="000355B9" w:rsidP="00C01486">
      <w:pPr>
        <w:pStyle w:val="BodyText"/>
        <w:numPr>
          <w:ilvl w:val="4"/>
          <w:numId w:val="1"/>
        </w:numPr>
        <w:spacing w:after="163"/>
        <w:rPr>
          <w:b/>
          <w:color w:val="auto"/>
        </w:rPr>
      </w:pPr>
      <w:r w:rsidRPr="003522D8">
        <w:rPr>
          <w:b/>
          <w:color w:val="auto"/>
        </w:rPr>
        <w:t>2014</w:t>
      </w:r>
      <w:r w:rsidRPr="003522D8">
        <w:rPr>
          <w:rFonts w:hint="eastAsia"/>
          <w:b/>
          <w:color w:val="auto"/>
        </w:rPr>
        <w:t>年</w:t>
      </w:r>
      <w:r w:rsidRPr="003522D8">
        <w:rPr>
          <w:b/>
          <w:color w:val="auto"/>
        </w:rPr>
        <w:t>8</w:t>
      </w:r>
      <w:r w:rsidRPr="003522D8">
        <w:rPr>
          <w:rFonts w:hint="eastAsia"/>
          <w:b/>
          <w:color w:val="auto"/>
        </w:rPr>
        <w:t>月下半月</w:t>
      </w:r>
      <w:r w:rsidRPr="003522D8">
        <w:rPr>
          <w:b/>
          <w:color w:val="auto"/>
        </w:rPr>
        <w:t>A</w:t>
      </w:r>
      <w:r w:rsidRPr="003522D8">
        <w:rPr>
          <w:rFonts w:hint="eastAsia"/>
          <w:b/>
          <w:color w:val="auto"/>
        </w:rPr>
        <w:t>股市场在经济数据放缓的影响下窄幅震荡，</w:t>
      </w:r>
      <w:r>
        <w:rPr>
          <w:rFonts w:hint="eastAsia"/>
          <w:b/>
          <w:color w:val="auto"/>
        </w:rPr>
        <w:t>市场</w:t>
      </w:r>
      <w:r w:rsidRPr="003522D8">
        <w:rPr>
          <w:rFonts w:hint="eastAsia"/>
          <w:b/>
          <w:color w:val="auto"/>
        </w:rPr>
        <w:t>指数</w:t>
      </w:r>
      <w:r>
        <w:rPr>
          <w:rFonts w:hint="eastAsia"/>
          <w:b/>
          <w:color w:val="auto"/>
        </w:rPr>
        <w:t>阶段涨跌幅基本持平</w:t>
      </w:r>
      <w:r w:rsidRPr="00747D5B">
        <w:rPr>
          <w:rFonts w:hint="eastAsia"/>
          <w:b/>
        </w:rPr>
        <w:t>。基金发行设立市场方面，延续</w:t>
      </w:r>
      <w:r>
        <w:rPr>
          <w:rFonts w:hint="eastAsia"/>
          <w:b/>
        </w:rPr>
        <w:t>了</w:t>
      </w:r>
      <w:r w:rsidRPr="009F6D34">
        <w:rPr>
          <w:b/>
        </w:rPr>
        <w:t>8</w:t>
      </w:r>
      <w:r w:rsidRPr="009F6D34">
        <w:rPr>
          <w:rFonts w:hint="eastAsia"/>
          <w:b/>
        </w:rPr>
        <w:t>月上半月的热情，新产品数量与前期</w:t>
      </w:r>
      <w:r>
        <w:rPr>
          <w:rFonts w:hint="eastAsia"/>
          <w:b/>
        </w:rPr>
        <w:t>维持同一水平。</w:t>
      </w:r>
      <w:r w:rsidRPr="009F6D34">
        <w:rPr>
          <w:rFonts w:hint="eastAsia"/>
          <w:b/>
        </w:rPr>
        <w:t>就种类而言，在发产品仍以权益类充斥市场，然而新设产品则主要以债券型和货币型这类固定收益品种为主。</w:t>
      </w:r>
      <w:r>
        <w:rPr>
          <w:rFonts w:hint="eastAsia"/>
          <w:b/>
        </w:rPr>
        <w:t>不过，从平均每只产品的募集规模来看，</w:t>
      </w:r>
      <w:r w:rsidRPr="009F6D34">
        <w:rPr>
          <w:rFonts w:hint="eastAsia"/>
          <w:b/>
        </w:rPr>
        <w:t>权益类品种</w:t>
      </w:r>
      <w:r>
        <w:rPr>
          <w:rFonts w:hint="eastAsia"/>
          <w:b/>
        </w:rPr>
        <w:t>仍然</w:t>
      </w:r>
      <w:r w:rsidRPr="009F6D34">
        <w:rPr>
          <w:rFonts w:hint="eastAsia"/>
          <w:b/>
        </w:rPr>
        <w:t>普遍更受欢迎</w:t>
      </w:r>
      <w:r>
        <w:rPr>
          <w:rFonts w:hint="eastAsia"/>
          <w:b/>
        </w:rPr>
        <w:t>。除产品设立外，</w:t>
      </w:r>
      <w:r>
        <w:rPr>
          <w:b/>
        </w:rPr>
        <w:t>8</w:t>
      </w:r>
      <w:r>
        <w:rPr>
          <w:rFonts w:hint="eastAsia"/>
          <w:b/>
        </w:rPr>
        <w:t>月中旬还诞生了第一只清盘基金</w:t>
      </w:r>
      <w:r>
        <w:rPr>
          <w:b/>
        </w:rPr>
        <w:t>——</w:t>
      </w:r>
      <w:r w:rsidRPr="00E8427C">
        <w:rPr>
          <w:rFonts w:ascii="楷体" w:eastAsia="楷体" w:hAnsi="楷体" w:hint="eastAsia"/>
          <w:b/>
          <w:color w:val="auto"/>
        </w:rPr>
        <w:t>汇添富理财</w:t>
      </w:r>
      <w:r w:rsidRPr="00E8427C">
        <w:rPr>
          <w:rFonts w:ascii="楷体" w:eastAsia="楷体" w:hAnsi="楷体"/>
          <w:b/>
          <w:color w:val="auto"/>
        </w:rPr>
        <w:t>28</w:t>
      </w:r>
      <w:r w:rsidRPr="00E8427C">
        <w:rPr>
          <w:rFonts w:ascii="楷体" w:eastAsia="楷体" w:hAnsi="楷体" w:hint="eastAsia"/>
          <w:b/>
          <w:color w:val="auto"/>
        </w:rPr>
        <w:t>天债基</w:t>
      </w:r>
      <w:r>
        <w:rPr>
          <w:rFonts w:ascii="楷体" w:eastAsia="楷体" w:hAnsi="楷体" w:hint="eastAsia"/>
          <w:b/>
          <w:color w:val="auto"/>
        </w:rPr>
        <w:t>，</w:t>
      </w:r>
      <w:r w:rsidRPr="00F43549">
        <w:rPr>
          <w:rFonts w:hint="eastAsia"/>
          <w:b/>
          <w:color w:val="auto"/>
        </w:rPr>
        <w:t>在基金数量不断增多的今天，合理健全的退出机制一直是监管层思考的方向，而此次汇添富首次主动清盘或将迎来新一轮小微基金的退市或合并转型浪潮。</w:t>
      </w:r>
    </w:p>
    <w:p w:rsidR="000355B9" w:rsidRDefault="000355B9" w:rsidP="00101C67">
      <w:pPr>
        <w:pStyle w:val="BodyText"/>
        <w:numPr>
          <w:ilvl w:val="4"/>
          <w:numId w:val="1"/>
        </w:numPr>
        <w:spacing w:after="163"/>
        <w:rPr>
          <w:b/>
          <w:color w:val="auto"/>
        </w:rPr>
      </w:pPr>
      <w:r w:rsidRPr="00D66666">
        <w:rPr>
          <w:rFonts w:hint="eastAsia"/>
          <w:b/>
          <w:color w:val="auto"/>
        </w:rPr>
        <w:t>具</w:t>
      </w:r>
      <w:r w:rsidRPr="00101C67">
        <w:rPr>
          <w:rFonts w:hint="eastAsia"/>
          <w:b/>
          <w:color w:val="auto"/>
        </w:rPr>
        <w:t>体产品方面，目前正在募集的新产品中，贴合当前</w:t>
      </w:r>
      <w:r>
        <w:rPr>
          <w:rFonts w:hint="eastAsia"/>
          <w:b/>
          <w:color w:val="auto"/>
        </w:rPr>
        <w:t>时代注重生态环境建设这一</w:t>
      </w:r>
      <w:r w:rsidRPr="00101C67">
        <w:rPr>
          <w:rFonts w:hint="eastAsia"/>
          <w:b/>
          <w:color w:val="auto"/>
        </w:rPr>
        <w:t>焦点的</w:t>
      </w:r>
      <w:r w:rsidRPr="00101C67">
        <w:rPr>
          <w:rFonts w:ascii="楷体" w:eastAsia="楷体" w:hAnsi="楷体" w:hint="eastAsia"/>
          <w:b/>
          <w:szCs w:val="21"/>
        </w:rPr>
        <w:t>长盛生态环境主题混合型基金，以及采用定期开放运作模式的</w:t>
      </w:r>
      <w:r w:rsidRPr="00101C67">
        <w:rPr>
          <w:rFonts w:hint="eastAsia"/>
          <w:b/>
          <w:color w:val="auto"/>
        </w:rPr>
        <w:t>易方达恒久添利</w:t>
      </w:r>
      <w:r w:rsidRPr="00101C67">
        <w:rPr>
          <w:b/>
          <w:color w:val="auto"/>
        </w:rPr>
        <w:t>1</w:t>
      </w:r>
      <w:r w:rsidRPr="00101C67">
        <w:rPr>
          <w:rFonts w:hint="eastAsia"/>
          <w:b/>
          <w:color w:val="auto"/>
        </w:rPr>
        <w:t>年定开债券型基金均比较有特色，投资者可以给与关注。</w:t>
      </w:r>
      <w:r>
        <w:rPr>
          <w:b/>
          <w:color w:val="auto"/>
        </w:rPr>
        <w:t xml:space="preserve"> </w:t>
      </w:r>
    </w:p>
    <w:p w:rsidR="000355B9" w:rsidRPr="00C01486" w:rsidRDefault="000355B9" w:rsidP="00C01486">
      <w:pPr>
        <w:widowControl/>
        <w:spacing w:after="120" w:line="240" w:lineRule="exact"/>
        <w:ind w:left="3430"/>
        <w:rPr>
          <w:rFonts w:ascii="楷体" w:eastAsia="楷体" w:hAnsi="楷体"/>
          <w:b/>
          <w:bCs/>
          <w:color w:val="0070C0"/>
          <w:kern w:val="0"/>
          <w:sz w:val="24"/>
          <w:szCs w:val="20"/>
          <w:lang w:val="en-GB"/>
        </w:rPr>
      </w:pPr>
      <w:r w:rsidRPr="00C01486">
        <w:rPr>
          <w:rFonts w:ascii="楷体" w:eastAsia="楷体" w:hAnsi="楷体" w:hint="eastAsia"/>
          <w:b/>
          <w:bCs/>
          <w:color w:val="0070C0"/>
          <w:kern w:val="0"/>
          <w:sz w:val="24"/>
          <w:szCs w:val="20"/>
          <w:lang w:val="en-GB"/>
        </w:rPr>
        <w:t>公募基金双周发行概况</w:t>
      </w:r>
    </w:p>
    <w:p w:rsidR="000355B9" w:rsidRDefault="000355B9" w:rsidP="00B10000">
      <w:pPr>
        <w:pStyle w:val="BodyText"/>
        <w:numPr>
          <w:ilvl w:val="4"/>
          <w:numId w:val="1"/>
        </w:numPr>
        <w:spacing w:after="163"/>
      </w:pPr>
      <w:r>
        <w:rPr>
          <w:noProof/>
          <w:lang w:val="en-US"/>
        </w:rPr>
        <w:pict>
          <v:shapetype id="_x0000_t202" coordsize="21600,21600" o:spt="202" path="m,l,21600r21600,l21600,xe">
            <v:stroke joinstyle="miter"/>
            <v:path gradientshapeok="t" o:connecttype="rect"/>
          </v:shapetype>
          <v:shape id="_x0000_s1035" type="#_x0000_t202" style="position:absolute;left:0;text-align:left;margin-left:0;margin-top:88.95pt;width:148.5pt;height:275.6pt;z-index:251658240" strokecolor="white" strokeweight="0">
            <v:stroke dashstyle="1 1" endcap="round"/>
            <v:textbox style="mso-next-textbox:#_x0000_s1035">
              <w:txbxContent>
                <w:p w:rsidR="000355B9" w:rsidRPr="00635482" w:rsidRDefault="000355B9" w:rsidP="00DD687B">
                  <w:pPr>
                    <w:rPr>
                      <w:rFonts w:ascii="楷体" w:eastAsia="楷体" w:hAnsi="楷体"/>
                      <w:b/>
                      <w:lang w:val="en-GB"/>
                    </w:rPr>
                  </w:pPr>
                  <w:r w:rsidRPr="00635482">
                    <w:rPr>
                      <w:rFonts w:ascii="楷体" w:eastAsia="楷体" w:hAnsi="楷体" w:hint="eastAsia"/>
                      <w:b/>
                    </w:rPr>
                    <w:t>凯石工场移动平台</w:t>
                  </w:r>
                  <w:r w:rsidRPr="00635482">
                    <w:rPr>
                      <w:rFonts w:ascii="楷体" w:eastAsia="楷体" w:hAnsi="楷体" w:hint="eastAsia"/>
                      <w:b/>
                      <w:lang w:val="en-GB"/>
                    </w:rPr>
                    <w:t>：</w:t>
                  </w:r>
                </w:p>
                <w:p w:rsidR="000355B9" w:rsidRPr="00635482" w:rsidRDefault="000355B9" w:rsidP="00DD687B">
                  <w:pPr>
                    <w:rPr>
                      <w:rFonts w:ascii="楷体" w:eastAsia="楷体" w:hAnsi="楷体"/>
                      <w:lang w:val="en-GB"/>
                    </w:rPr>
                  </w:pPr>
                </w:p>
                <w:p w:rsidR="000355B9" w:rsidRPr="00635482" w:rsidRDefault="000355B9" w:rsidP="00DD687B">
                  <w:r w:rsidRPr="00635482">
                    <w:rPr>
                      <w:rFonts w:ascii="楷体" w:eastAsia="楷体" w:hAnsi="楷体" w:hint="eastAsia"/>
                      <w:lang w:val="en-GB"/>
                    </w:rPr>
                    <w:t>官方微博：</w:t>
                  </w:r>
                </w:p>
                <w:p w:rsidR="000355B9" w:rsidRPr="00635482" w:rsidRDefault="000355B9" w:rsidP="00DD687B">
                  <w:pPr>
                    <w:rPr>
                      <w:rFonts w:ascii="楷体" w:eastAsia="楷体" w:hAnsi="楷体"/>
                      <w:lang w:val="en-GB"/>
                    </w:rPr>
                  </w:pPr>
                  <w:r w:rsidRPr="00635482">
                    <w:rPr>
                      <w:rFonts w:ascii="楷体" w:eastAsia="楷体" w:hAnsi="楷体" w:hint="eastAsia"/>
                      <w:lang w:val="en-GB"/>
                    </w:rPr>
                    <w:t>凯石财富工场</w:t>
                  </w:r>
                </w:p>
                <w:p w:rsidR="000355B9" w:rsidRDefault="000355B9" w:rsidP="00DD687B">
                  <w:r w:rsidRPr="00DD71F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i1043" type="#_x0000_t75" alt="66.jpg" style="width:73.5pt;height:73.5pt;visibility:visible">
                        <v:imagedata r:id="rId7" o:title=""/>
                      </v:shape>
                    </w:pict>
                  </w:r>
                </w:p>
                <w:p w:rsidR="000355B9" w:rsidRDefault="000355B9" w:rsidP="00DD687B">
                  <w:pPr>
                    <w:rPr>
                      <w:rFonts w:ascii="楷体" w:eastAsia="楷体" w:hAnsi="楷体"/>
                      <w:b/>
                      <w:lang w:val="en-GB"/>
                    </w:rPr>
                  </w:pPr>
                </w:p>
                <w:p w:rsidR="000355B9" w:rsidRPr="00635482" w:rsidRDefault="000355B9" w:rsidP="00DD687B">
                  <w:pPr>
                    <w:rPr>
                      <w:rFonts w:ascii="楷体" w:eastAsia="楷体" w:hAnsi="楷体"/>
                      <w:lang w:val="en-GB"/>
                    </w:rPr>
                  </w:pPr>
                  <w:r w:rsidRPr="00635482">
                    <w:rPr>
                      <w:rFonts w:ascii="楷体" w:eastAsia="楷体" w:hAnsi="楷体" w:hint="eastAsia"/>
                      <w:lang w:val="en-GB"/>
                    </w:rPr>
                    <w:t>官方微信：</w:t>
                  </w:r>
                </w:p>
                <w:p w:rsidR="000355B9" w:rsidRPr="00635482" w:rsidRDefault="000355B9" w:rsidP="00DD687B">
                  <w:pPr>
                    <w:rPr>
                      <w:rFonts w:ascii="楷体" w:eastAsia="楷体" w:hAnsi="楷体"/>
                      <w:lang w:val="en-GB"/>
                    </w:rPr>
                  </w:pPr>
                  <w:r w:rsidRPr="00635482">
                    <w:rPr>
                      <w:rFonts w:ascii="楷体" w:eastAsia="楷体" w:hAnsi="楷体" w:hint="eastAsia"/>
                      <w:lang w:val="en-GB"/>
                    </w:rPr>
                    <w:t>凯石财富知音订阅号</w:t>
                  </w:r>
                </w:p>
                <w:p w:rsidR="000355B9" w:rsidRDefault="000355B9" w:rsidP="00DD687B">
                  <w:r w:rsidRPr="0090327A">
                    <w:rPr>
                      <w:rFonts w:ascii="楷体" w:eastAsia="楷体" w:hAnsi="楷体"/>
                      <w:b/>
                      <w:noProof/>
                    </w:rPr>
                    <w:pict>
                      <v:shape id="图片 7" o:spid="_x0000_i1044" type="#_x0000_t75" alt="凯石财富知音订阅号3.jpg" style="width:75pt;height:75pt;visibility:visible">
                        <v:imagedata r:id="rId8" o:title=""/>
                      </v:shape>
                    </w:pict>
                  </w:r>
                </w:p>
              </w:txbxContent>
            </v:textbox>
          </v:shape>
        </w:pict>
      </w:r>
      <w:r w:rsidRPr="00CE42E6">
        <w:t>2014</w:t>
      </w:r>
      <w:r w:rsidRPr="00CE42E6">
        <w:rPr>
          <w:rFonts w:hint="eastAsia"/>
        </w:rPr>
        <w:t>年</w:t>
      </w:r>
      <w:r>
        <w:t>8</w:t>
      </w:r>
      <w:r>
        <w:rPr>
          <w:rFonts w:hint="eastAsia"/>
        </w:rPr>
        <w:t>月下</w:t>
      </w:r>
      <w:r w:rsidRPr="00CE42E6">
        <w:rPr>
          <w:rFonts w:hint="eastAsia"/>
        </w:rPr>
        <w:t>半月（</w:t>
      </w:r>
      <w:r w:rsidRPr="00CE42E6">
        <w:t>2014.</w:t>
      </w:r>
      <w:r>
        <w:t>8</w:t>
      </w:r>
      <w:r w:rsidRPr="00CE42E6">
        <w:t>.1</w:t>
      </w:r>
      <w:r>
        <w:t>6</w:t>
      </w:r>
      <w:r w:rsidRPr="00CE42E6">
        <w:rPr>
          <w:rFonts w:hint="eastAsia"/>
        </w:rPr>
        <w:t>至</w:t>
      </w:r>
      <w:r w:rsidRPr="00CE42E6">
        <w:t>2014.</w:t>
      </w:r>
      <w:r>
        <w:t>8.31</w:t>
      </w:r>
      <w:r w:rsidRPr="00CE42E6">
        <w:rPr>
          <w:rFonts w:hint="eastAsia"/>
        </w:rPr>
        <w:t>）</w:t>
      </w:r>
      <w:r>
        <w:t>A</w:t>
      </w:r>
      <w:r>
        <w:rPr>
          <w:rFonts w:hint="eastAsia"/>
        </w:rPr>
        <w:t>股市场在经济数据放缓的影响下窄幅震荡，沪深</w:t>
      </w:r>
      <w:r>
        <w:t>300</w:t>
      </w:r>
      <w:r>
        <w:rPr>
          <w:rFonts w:hint="eastAsia"/>
        </w:rPr>
        <w:t>指数阶段小幅下跌</w:t>
      </w:r>
      <w:r>
        <w:t>0.95%</w:t>
      </w:r>
      <w:r>
        <w:rPr>
          <w:rFonts w:hint="eastAsia"/>
        </w:rPr>
        <w:t>，中证</w:t>
      </w:r>
      <w:r>
        <w:t>500</w:t>
      </w:r>
      <w:r>
        <w:rPr>
          <w:rFonts w:hint="eastAsia"/>
        </w:rPr>
        <w:t>指数几乎持平，半月上涨</w:t>
      </w:r>
      <w:r>
        <w:t>0.10%</w:t>
      </w:r>
      <w:r>
        <w:rPr>
          <w:rFonts w:hint="eastAsia"/>
        </w:rPr>
        <w:t>。</w:t>
      </w:r>
      <w:r w:rsidRPr="00B13AFD">
        <w:rPr>
          <w:rFonts w:hint="eastAsia"/>
        </w:rPr>
        <w:t>基金发行设立市场方面，</w:t>
      </w:r>
      <w:r>
        <w:rPr>
          <w:rFonts w:hint="eastAsia"/>
        </w:rPr>
        <w:t>延续了</w:t>
      </w:r>
      <w:r>
        <w:t>8</w:t>
      </w:r>
      <w:r>
        <w:rPr>
          <w:rFonts w:hint="eastAsia"/>
        </w:rPr>
        <w:t>月上半月的热情，新产品数量与前期基本持平。就种类而言，在发产品仍以权益类充斥市场，然而新设产品则主要以债券型和货币型这类固定收益品种为主。</w:t>
      </w:r>
    </w:p>
    <w:p w:rsidR="000355B9" w:rsidRDefault="000355B9" w:rsidP="00507CBF">
      <w:pPr>
        <w:pStyle w:val="BodyText"/>
        <w:numPr>
          <w:ilvl w:val="5"/>
          <w:numId w:val="2"/>
        </w:numPr>
        <w:spacing w:after="163"/>
        <w:ind w:left="4140" w:hanging="369"/>
        <w:rPr>
          <w:color w:val="auto"/>
        </w:rPr>
      </w:pPr>
      <w:r w:rsidRPr="004A5E8A">
        <w:rPr>
          <w:rFonts w:hint="eastAsia"/>
          <w:color w:val="auto"/>
        </w:rPr>
        <w:t>截止</w:t>
      </w:r>
      <w:smartTag w:uri="urn:schemas-microsoft-com:office:smarttags" w:element="chsdate">
        <w:smartTagPr>
          <w:attr w:name="IsROCDate" w:val="False"/>
          <w:attr w:name="IsLunarDate" w:val="False"/>
          <w:attr w:name="Day" w:val="1"/>
          <w:attr w:name="Month" w:val="9"/>
          <w:attr w:name="Year" w:val="2014"/>
        </w:smartTagPr>
        <w:r>
          <w:rPr>
            <w:color w:val="auto"/>
          </w:rPr>
          <w:t>9</w:t>
        </w:r>
        <w:r w:rsidRPr="004A5E8A">
          <w:rPr>
            <w:rFonts w:hint="eastAsia"/>
            <w:color w:val="auto"/>
          </w:rPr>
          <w:t>月</w:t>
        </w:r>
        <w:r>
          <w:rPr>
            <w:color w:val="auto"/>
          </w:rPr>
          <w:t>1</w:t>
        </w:r>
        <w:r w:rsidRPr="004A5E8A">
          <w:rPr>
            <w:rFonts w:hint="eastAsia"/>
            <w:color w:val="auto"/>
          </w:rPr>
          <w:t>日</w:t>
        </w:r>
      </w:smartTag>
      <w:r w:rsidRPr="004A5E8A">
        <w:rPr>
          <w:rFonts w:hint="eastAsia"/>
          <w:color w:val="auto"/>
        </w:rPr>
        <w:t>，共有</w:t>
      </w:r>
      <w:r>
        <w:rPr>
          <w:color w:val="auto"/>
        </w:rPr>
        <w:t>24</w:t>
      </w:r>
      <w:r w:rsidRPr="004A5E8A">
        <w:rPr>
          <w:rFonts w:hint="eastAsia"/>
          <w:color w:val="auto"/>
        </w:rPr>
        <w:t>只产品正在发行，其中股票型基金</w:t>
      </w:r>
      <w:r>
        <w:rPr>
          <w:color w:val="auto"/>
        </w:rPr>
        <w:t>7</w:t>
      </w:r>
      <w:r w:rsidRPr="004A5E8A">
        <w:rPr>
          <w:rFonts w:hint="eastAsia"/>
          <w:color w:val="auto"/>
        </w:rPr>
        <w:t>只、混合型基金</w:t>
      </w:r>
      <w:r>
        <w:rPr>
          <w:color w:val="auto"/>
        </w:rPr>
        <w:t>9</w:t>
      </w:r>
      <w:r w:rsidRPr="004A5E8A">
        <w:rPr>
          <w:rFonts w:hint="eastAsia"/>
          <w:color w:val="auto"/>
        </w:rPr>
        <w:t>只</w:t>
      </w:r>
      <w:r>
        <w:rPr>
          <w:rFonts w:hint="eastAsia"/>
          <w:color w:val="auto"/>
        </w:rPr>
        <w:t>、</w:t>
      </w:r>
      <w:r w:rsidRPr="004A5E8A">
        <w:rPr>
          <w:rFonts w:hint="eastAsia"/>
          <w:color w:val="auto"/>
        </w:rPr>
        <w:t>债券型基金</w:t>
      </w:r>
      <w:r>
        <w:rPr>
          <w:color w:val="auto"/>
        </w:rPr>
        <w:t>5</w:t>
      </w:r>
      <w:r w:rsidRPr="004A5E8A">
        <w:rPr>
          <w:rFonts w:hint="eastAsia"/>
          <w:color w:val="auto"/>
        </w:rPr>
        <w:t>只</w:t>
      </w:r>
      <w:r>
        <w:rPr>
          <w:rFonts w:hint="eastAsia"/>
          <w:color w:val="auto"/>
        </w:rPr>
        <w:t>、货币市场基金</w:t>
      </w:r>
      <w:r>
        <w:rPr>
          <w:color w:val="auto"/>
        </w:rPr>
        <w:t>3</w:t>
      </w:r>
      <w:r>
        <w:rPr>
          <w:rFonts w:hint="eastAsia"/>
          <w:color w:val="auto"/>
        </w:rPr>
        <w:t>只</w:t>
      </w:r>
      <w:r w:rsidRPr="004A5E8A">
        <w:rPr>
          <w:rFonts w:hint="eastAsia"/>
          <w:color w:val="auto"/>
        </w:rPr>
        <w:t>，具体可参见图表</w:t>
      </w:r>
      <w:r w:rsidRPr="004A5E8A">
        <w:rPr>
          <w:color w:val="auto"/>
        </w:rPr>
        <w:t>1</w:t>
      </w:r>
      <w:r w:rsidRPr="004A5E8A">
        <w:rPr>
          <w:rFonts w:hint="eastAsia"/>
          <w:color w:val="auto"/>
        </w:rPr>
        <w:t>。</w:t>
      </w:r>
      <w:r>
        <w:rPr>
          <w:rFonts w:hint="eastAsia"/>
          <w:color w:val="auto"/>
        </w:rPr>
        <w:t>在发产品方面，总体来看所呈现的特征与上半月基本相同，</w:t>
      </w:r>
      <w:r>
        <w:rPr>
          <w:color w:val="auto"/>
        </w:rPr>
        <w:t>7</w:t>
      </w:r>
      <w:r>
        <w:rPr>
          <w:rFonts w:hint="eastAsia"/>
          <w:color w:val="auto"/>
        </w:rPr>
        <w:t>只在发的股票型基金投资方向分布比较分散，主要投向医疗保健、新兴产业、环保、地产等领域，以及蓝筹股票。而</w:t>
      </w:r>
      <w:r>
        <w:rPr>
          <w:color w:val="auto"/>
        </w:rPr>
        <w:t>9</w:t>
      </w:r>
      <w:r>
        <w:rPr>
          <w:rFonts w:hint="eastAsia"/>
          <w:color w:val="auto"/>
        </w:rPr>
        <w:t>只混合型基金中，</w:t>
      </w:r>
      <w:r>
        <w:rPr>
          <w:color w:val="auto"/>
        </w:rPr>
        <w:t>8</w:t>
      </w:r>
      <w:r>
        <w:rPr>
          <w:rFonts w:hint="eastAsia"/>
          <w:color w:val="auto"/>
        </w:rPr>
        <w:t>只为可灵活参与打新的灵活配置型基金品种，另有</w:t>
      </w:r>
      <w:r>
        <w:rPr>
          <w:color w:val="auto"/>
        </w:rPr>
        <w:t>1</w:t>
      </w:r>
      <w:r>
        <w:rPr>
          <w:rFonts w:hint="eastAsia"/>
          <w:color w:val="auto"/>
        </w:rPr>
        <w:t>只多空对冲策略产品</w:t>
      </w:r>
      <w:r>
        <w:rPr>
          <w:color w:val="auto"/>
        </w:rPr>
        <w:t>-</w:t>
      </w:r>
      <w:r w:rsidRPr="007F3D55">
        <w:rPr>
          <w:rFonts w:hint="eastAsia"/>
          <w:color w:val="auto"/>
        </w:rPr>
        <w:t>华宝兴业量化对冲混合</w:t>
      </w:r>
      <w:r>
        <w:rPr>
          <w:rFonts w:hint="eastAsia"/>
          <w:color w:val="auto"/>
        </w:rPr>
        <w:t>，该产品自</w:t>
      </w:r>
      <w:smartTag w:uri="urn:schemas-microsoft-com:office:smarttags" w:element="chsdate">
        <w:smartTagPr>
          <w:attr w:name="IsROCDate" w:val="False"/>
          <w:attr w:name="IsLunarDate" w:val="False"/>
          <w:attr w:name="Day" w:val="18"/>
          <w:attr w:name="Month" w:val="8"/>
          <w:attr w:name="Year" w:val="2014"/>
        </w:smartTagPr>
        <w:r>
          <w:rPr>
            <w:color w:val="auto"/>
          </w:rPr>
          <w:t>8</w:t>
        </w:r>
        <w:r>
          <w:rPr>
            <w:rFonts w:hint="eastAsia"/>
            <w:color w:val="auto"/>
          </w:rPr>
          <w:t>月</w:t>
        </w:r>
        <w:r>
          <w:rPr>
            <w:color w:val="auto"/>
          </w:rPr>
          <w:t>18</w:t>
        </w:r>
        <w:r>
          <w:rPr>
            <w:rFonts w:hint="eastAsia"/>
            <w:color w:val="auto"/>
          </w:rPr>
          <w:t>日起</w:t>
        </w:r>
      </w:smartTag>
      <w:r>
        <w:rPr>
          <w:rFonts w:hint="eastAsia"/>
          <w:color w:val="auto"/>
        </w:rPr>
        <w:t>开始募集，</w:t>
      </w:r>
      <w:r w:rsidRPr="007D21B0">
        <w:rPr>
          <w:rFonts w:hint="eastAsia"/>
          <w:color w:val="auto"/>
        </w:rPr>
        <w:t>主要运用股指期货等空头工具对持有的股票等权益类多头组合进行对冲操作，</w:t>
      </w:r>
      <w:r>
        <w:rPr>
          <w:rFonts w:hint="eastAsia"/>
          <w:color w:val="auto"/>
        </w:rPr>
        <w:t>从而实现灵活调整基金</w:t>
      </w:r>
      <w:r w:rsidRPr="007D21B0">
        <w:rPr>
          <w:rFonts w:hint="eastAsia"/>
          <w:color w:val="auto"/>
        </w:rPr>
        <w:t>系统性风险</w:t>
      </w:r>
      <w:r>
        <w:rPr>
          <w:rFonts w:hint="eastAsia"/>
          <w:color w:val="auto"/>
        </w:rPr>
        <w:t>敞口的目的。</w:t>
      </w:r>
    </w:p>
    <w:p w:rsidR="000355B9" w:rsidRDefault="000355B9" w:rsidP="00E17408">
      <w:pPr>
        <w:pStyle w:val="BodyText"/>
        <w:numPr>
          <w:ilvl w:val="5"/>
          <w:numId w:val="2"/>
        </w:numPr>
        <w:spacing w:after="163"/>
        <w:ind w:left="4140" w:hanging="369"/>
        <w:rPr>
          <w:color w:val="auto"/>
        </w:rPr>
      </w:pPr>
      <w:r w:rsidRPr="00EA040B">
        <w:rPr>
          <w:rFonts w:hint="eastAsia"/>
          <w:color w:val="auto"/>
        </w:rPr>
        <w:t>新成立的产品方面，</w:t>
      </w:r>
      <w:r>
        <w:rPr>
          <w:color w:val="auto"/>
        </w:rPr>
        <w:t>8</w:t>
      </w:r>
      <w:r w:rsidRPr="00EA040B">
        <w:rPr>
          <w:rFonts w:hint="eastAsia"/>
          <w:color w:val="auto"/>
        </w:rPr>
        <w:t>月</w:t>
      </w:r>
      <w:r>
        <w:rPr>
          <w:rFonts w:hint="eastAsia"/>
          <w:color w:val="auto"/>
        </w:rPr>
        <w:t>下半月共计</w:t>
      </w:r>
      <w:r>
        <w:rPr>
          <w:color w:val="auto"/>
        </w:rPr>
        <w:t>14</w:t>
      </w:r>
      <w:r w:rsidRPr="00EA040B">
        <w:rPr>
          <w:rFonts w:hint="eastAsia"/>
          <w:color w:val="auto"/>
        </w:rPr>
        <w:t>只基金完成募集并设立，其中股票型基金</w:t>
      </w:r>
      <w:r>
        <w:rPr>
          <w:color w:val="auto"/>
        </w:rPr>
        <w:t>3</w:t>
      </w:r>
      <w:r w:rsidRPr="00EA040B">
        <w:rPr>
          <w:rFonts w:hint="eastAsia"/>
          <w:color w:val="auto"/>
        </w:rPr>
        <w:t>只，募资规模</w:t>
      </w:r>
      <w:r>
        <w:rPr>
          <w:color w:val="auto"/>
        </w:rPr>
        <w:t>28.27</w:t>
      </w:r>
      <w:r w:rsidRPr="00EA040B">
        <w:rPr>
          <w:rFonts w:hint="eastAsia"/>
          <w:color w:val="auto"/>
        </w:rPr>
        <w:t>亿元</w:t>
      </w:r>
      <w:r>
        <w:rPr>
          <w:rFonts w:hint="eastAsia"/>
          <w:color w:val="auto"/>
        </w:rPr>
        <w:t>，平均单只募资</w:t>
      </w:r>
      <w:r>
        <w:rPr>
          <w:color w:val="auto"/>
        </w:rPr>
        <w:t>9.42</w:t>
      </w:r>
      <w:r>
        <w:rPr>
          <w:rFonts w:hint="eastAsia"/>
          <w:color w:val="auto"/>
        </w:rPr>
        <w:t>亿元</w:t>
      </w:r>
      <w:r w:rsidRPr="00EA040B">
        <w:rPr>
          <w:rFonts w:hint="eastAsia"/>
          <w:color w:val="auto"/>
        </w:rPr>
        <w:t>；混合型基金</w:t>
      </w:r>
      <w:r>
        <w:rPr>
          <w:color w:val="auto"/>
        </w:rPr>
        <w:t>2</w:t>
      </w:r>
      <w:r w:rsidRPr="00EA040B">
        <w:rPr>
          <w:rFonts w:hint="eastAsia"/>
          <w:color w:val="auto"/>
        </w:rPr>
        <w:t>只，合计募资规模</w:t>
      </w:r>
      <w:r>
        <w:rPr>
          <w:color w:val="auto"/>
        </w:rPr>
        <w:t>20.98</w:t>
      </w:r>
      <w:r w:rsidRPr="00EA040B">
        <w:rPr>
          <w:rFonts w:hint="eastAsia"/>
          <w:color w:val="auto"/>
        </w:rPr>
        <w:t>亿元</w:t>
      </w:r>
      <w:r>
        <w:rPr>
          <w:rFonts w:hint="eastAsia"/>
          <w:color w:val="auto"/>
        </w:rPr>
        <w:t>，平均单只募资</w:t>
      </w:r>
      <w:r>
        <w:rPr>
          <w:color w:val="auto"/>
        </w:rPr>
        <w:t>10.49</w:t>
      </w:r>
      <w:r>
        <w:rPr>
          <w:rFonts w:hint="eastAsia"/>
          <w:color w:val="auto"/>
        </w:rPr>
        <w:t>亿元</w:t>
      </w:r>
      <w:r w:rsidRPr="00EA040B">
        <w:rPr>
          <w:rFonts w:hint="eastAsia"/>
          <w:color w:val="auto"/>
        </w:rPr>
        <w:t>；债券型基金</w:t>
      </w:r>
      <w:r>
        <w:rPr>
          <w:color w:val="auto"/>
        </w:rPr>
        <w:t>4</w:t>
      </w:r>
      <w:r w:rsidRPr="00EA040B">
        <w:rPr>
          <w:rFonts w:hint="eastAsia"/>
          <w:color w:val="auto"/>
        </w:rPr>
        <w:t>只，募得资金</w:t>
      </w:r>
      <w:r>
        <w:rPr>
          <w:color w:val="auto"/>
        </w:rPr>
        <w:t>30.55</w:t>
      </w:r>
      <w:r w:rsidRPr="00EA040B">
        <w:rPr>
          <w:rFonts w:hint="eastAsia"/>
          <w:color w:val="auto"/>
        </w:rPr>
        <w:t>亿元</w:t>
      </w:r>
      <w:r>
        <w:rPr>
          <w:rFonts w:hint="eastAsia"/>
          <w:color w:val="auto"/>
        </w:rPr>
        <w:t>，平均单只募资</w:t>
      </w:r>
      <w:r>
        <w:rPr>
          <w:color w:val="auto"/>
        </w:rPr>
        <w:t>7.64</w:t>
      </w:r>
      <w:r>
        <w:rPr>
          <w:rFonts w:hint="eastAsia"/>
          <w:color w:val="auto"/>
        </w:rPr>
        <w:t>亿元；货币市场基金</w:t>
      </w:r>
      <w:r>
        <w:rPr>
          <w:color w:val="auto"/>
        </w:rPr>
        <w:t>5</w:t>
      </w:r>
      <w:r>
        <w:rPr>
          <w:rFonts w:hint="eastAsia"/>
          <w:color w:val="auto"/>
        </w:rPr>
        <w:t>只，</w:t>
      </w:r>
      <w:r w:rsidRPr="00EA040B">
        <w:rPr>
          <w:rFonts w:hint="eastAsia"/>
          <w:color w:val="auto"/>
        </w:rPr>
        <w:t>募得资金</w:t>
      </w:r>
      <w:r>
        <w:rPr>
          <w:color w:val="auto"/>
        </w:rPr>
        <w:t>33.28</w:t>
      </w:r>
      <w:r w:rsidRPr="00EA040B">
        <w:rPr>
          <w:rFonts w:hint="eastAsia"/>
          <w:color w:val="auto"/>
        </w:rPr>
        <w:t>亿元</w:t>
      </w:r>
      <w:r>
        <w:rPr>
          <w:rFonts w:hint="eastAsia"/>
          <w:color w:val="auto"/>
        </w:rPr>
        <w:t>，平均单只募资</w:t>
      </w:r>
      <w:r>
        <w:rPr>
          <w:color w:val="auto"/>
        </w:rPr>
        <w:t>6.66</w:t>
      </w:r>
      <w:r>
        <w:rPr>
          <w:rFonts w:hint="eastAsia"/>
          <w:color w:val="auto"/>
        </w:rPr>
        <w:t>亿元</w:t>
      </w:r>
      <w:r w:rsidRPr="00EA040B">
        <w:rPr>
          <w:rFonts w:hint="eastAsia"/>
          <w:color w:val="auto"/>
        </w:rPr>
        <w:t>。</w:t>
      </w:r>
      <w:r>
        <w:rPr>
          <w:rFonts w:hint="eastAsia"/>
          <w:color w:val="auto"/>
        </w:rPr>
        <w:t>从设立产品数量和总体募资规模来看，固定收益类品种具有一定优势，但从单只募集情况来看，权益类品种普遍更受欢迎。</w:t>
      </w:r>
    </w:p>
    <w:p w:rsidR="000355B9" w:rsidRPr="00F03286" w:rsidRDefault="000355B9" w:rsidP="00395250">
      <w:pPr>
        <w:pStyle w:val="BodyText"/>
        <w:numPr>
          <w:ilvl w:val="5"/>
          <w:numId w:val="2"/>
        </w:numPr>
        <w:spacing w:after="163"/>
        <w:ind w:left="4140" w:hanging="369"/>
        <w:rPr>
          <w:color w:val="auto"/>
        </w:rPr>
      </w:pPr>
      <w:r w:rsidRPr="00F03286">
        <w:rPr>
          <w:rFonts w:hint="eastAsia"/>
          <w:color w:val="auto"/>
        </w:rPr>
        <w:t>另外，据财汇数据库统计显示，</w:t>
      </w:r>
      <w:r w:rsidRPr="00F03286">
        <w:rPr>
          <w:color w:val="auto"/>
        </w:rPr>
        <w:t>8</w:t>
      </w:r>
      <w:r w:rsidRPr="00F03286">
        <w:rPr>
          <w:rFonts w:hint="eastAsia"/>
          <w:color w:val="auto"/>
        </w:rPr>
        <w:t>月下半月公告前期递交申请材料的共</w:t>
      </w:r>
      <w:r w:rsidRPr="00F03286">
        <w:rPr>
          <w:color w:val="auto"/>
        </w:rPr>
        <w:t>13</w:t>
      </w:r>
      <w:r w:rsidRPr="00F03286">
        <w:rPr>
          <w:rFonts w:hint="eastAsia"/>
          <w:color w:val="auto"/>
        </w:rPr>
        <w:t>只基金产品获得受理，欲发行产品数量持续回暖。其中股票型</w:t>
      </w:r>
      <w:r w:rsidRPr="00F03286">
        <w:rPr>
          <w:color w:val="auto"/>
        </w:rPr>
        <w:t>2</w:t>
      </w:r>
      <w:r w:rsidRPr="00F03286">
        <w:rPr>
          <w:rFonts w:hint="eastAsia"/>
          <w:color w:val="auto"/>
        </w:rPr>
        <w:t>只、混合型</w:t>
      </w:r>
      <w:r w:rsidRPr="00F03286">
        <w:rPr>
          <w:color w:val="auto"/>
        </w:rPr>
        <w:t>3</w:t>
      </w:r>
      <w:r w:rsidRPr="00F03286">
        <w:rPr>
          <w:rFonts w:hint="eastAsia"/>
          <w:color w:val="auto"/>
        </w:rPr>
        <w:t>只、保本型</w:t>
      </w:r>
      <w:r w:rsidRPr="00F03286">
        <w:rPr>
          <w:color w:val="auto"/>
        </w:rPr>
        <w:t>2</w:t>
      </w:r>
      <w:r w:rsidRPr="00F03286">
        <w:rPr>
          <w:rFonts w:hint="eastAsia"/>
          <w:color w:val="auto"/>
        </w:rPr>
        <w:t>只、货币型</w:t>
      </w:r>
      <w:r w:rsidRPr="00F03286">
        <w:rPr>
          <w:color w:val="auto"/>
        </w:rPr>
        <w:t>3</w:t>
      </w:r>
      <w:r w:rsidRPr="00F03286">
        <w:rPr>
          <w:rFonts w:hint="eastAsia"/>
          <w:color w:val="auto"/>
        </w:rPr>
        <w:t>只、债券型</w:t>
      </w:r>
      <w:r w:rsidRPr="00F03286">
        <w:rPr>
          <w:color w:val="auto"/>
        </w:rPr>
        <w:t>3</w:t>
      </w:r>
      <w:r w:rsidRPr="00F03286">
        <w:rPr>
          <w:rFonts w:hint="eastAsia"/>
          <w:color w:val="auto"/>
        </w:rPr>
        <w:t>只，风险相对较低的固定收益类品种实现赶超。其中，比较特别的产品当属广发基金旗下的中证百度百发策略</w:t>
      </w:r>
      <w:r w:rsidRPr="00F03286">
        <w:rPr>
          <w:color w:val="auto"/>
        </w:rPr>
        <w:t>100</w:t>
      </w:r>
      <w:r w:rsidRPr="00F03286">
        <w:rPr>
          <w:rFonts w:hint="eastAsia"/>
          <w:color w:val="auto"/>
        </w:rPr>
        <w:t>指数型基金，该产品</w:t>
      </w:r>
      <w:r w:rsidRPr="00F03286">
        <w:rPr>
          <w:rFonts w:ascii="楷体" w:eastAsia="楷体" w:hAnsi="楷体" w:hint="eastAsia"/>
          <w:color w:val="auto"/>
        </w:rPr>
        <w:t>所跟踪的中证百度百发策略</w:t>
      </w:r>
      <w:r w:rsidRPr="00F03286">
        <w:rPr>
          <w:rFonts w:ascii="楷体" w:eastAsia="楷体" w:hAnsi="楷体"/>
          <w:color w:val="auto"/>
        </w:rPr>
        <w:t>100</w:t>
      </w:r>
      <w:r w:rsidRPr="00F03286">
        <w:rPr>
          <w:rFonts w:ascii="楷体" w:eastAsia="楷体" w:hAnsi="楷体" w:hint="eastAsia"/>
          <w:color w:val="auto"/>
        </w:rPr>
        <w:t>指数是百度金融中心、中证指数公司、广发基金三方合作开发的互联网金融指数。该指数首次将互联网大数据技术引入指数编制方案中，将传统指数选样方法、百度金融大数据技术以及相应的量化策略进行融合，将成为互联网金融向纵深发展的创新标杆。</w:t>
      </w:r>
      <w:r w:rsidRPr="00F03286">
        <w:rPr>
          <w:rFonts w:hint="eastAsia"/>
          <w:color w:val="auto"/>
        </w:rPr>
        <w:t>从产品分布来看，</w:t>
      </w:r>
      <w:r w:rsidRPr="00F03286">
        <w:rPr>
          <w:color w:val="auto"/>
        </w:rPr>
        <w:t>13</w:t>
      </w:r>
      <w:r w:rsidRPr="00F03286">
        <w:rPr>
          <w:rFonts w:hint="eastAsia"/>
          <w:color w:val="auto"/>
        </w:rPr>
        <w:t>只基金分布于</w:t>
      </w:r>
      <w:r w:rsidRPr="00F03286">
        <w:rPr>
          <w:color w:val="auto"/>
        </w:rPr>
        <w:t>11</w:t>
      </w:r>
      <w:r w:rsidRPr="00F03286">
        <w:rPr>
          <w:rFonts w:hint="eastAsia"/>
          <w:color w:val="auto"/>
        </w:rPr>
        <w:t>家基金管理公司，它们分别是东海基金、广发基金、国投瑞银基金、嘉实基金、泰信基金、易方达基金、英大基金、圆信永丰基金、招商基金、中信建投基金、中银基金。</w:t>
      </w:r>
    </w:p>
    <w:tbl>
      <w:tblPr>
        <w:tblW w:w="11141" w:type="dxa"/>
        <w:jc w:val="center"/>
        <w:tblInd w:w="-84" w:type="dxa"/>
        <w:tblBorders>
          <w:top w:val="single" w:sz="6" w:space="0" w:color="FF6600"/>
          <w:bottom w:val="single" w:sz="6" w:space="0" w:color="FF6600"/>
          <w:insideH w:val="single" w:sz="6" w:space="0" w:color="FF6600"/>
        </w:tblBorders>
        <w:tblLayout w:type="fixed"/>
        <w:tblCellMar>
          <w:left w:w="0" w:type="dxa"/>
          <w:right w:w="0" w:type="dxa"/>
        </w:tblCellMar>
        <w:tblLook w:val="0000"/>
      </w:tblPr>
      <w:tblGrid>
        <w:gridCol w:w="568"/>
        <w:gridCol w:w="2210"/>
        <w:gridCol w:w="992"/>
        <w:gridCol w:w="850"/>
        <w:gridCol w:w="851"/>
        <w:gridCol w:w="142"/>
        <w:gridCol w:w="625"/>
        <w:gridCol w:w="2210"/>
        <w:gridCol w:w="992"/>
        <w:gridCol w:w="850"/>
        <w:gridCol w:w="851"/>
      </w:tblGrid>
      <w:tr w:rsidR="000355B9" w:rsidRPr="0090327A" w:rsidTr="008220BB">
        <w:trPr>
          <w:cantSplit/>
          <w:trHeight w:val="335"/>
          <w:jc w:val="center"/>
        </w:trPr>
        <w:tc>
          <w:tcPr>
            <w:tcW w:w="11141" w:type="dxa"/>
            <w:gridSpan w:val="11"/>
            <w:vAlign w:val="center"/>
          </w:tcPr>
          <w:p w:rsidR="000355B9" w:rsidRPr="0007259C" w:rsidRDefault="000355B9" w:rsidP="00E21E3A">
            <w:pPr>
              <w:pStyle w:val="SubTitleLargeTable"/>
              <w:pBdr>
                <w:top w:val="none" w:sz="0" w:space="0" w:color="auto"/>
              </w:pBdr>
              <w:rPr>
                <w:rFonts w:ascii="宋体" w:eastAsia="宋体" w:hAnsi="宋体"/>
                <w:b w:val="0"/>
              </w:rPr>
            </w:pPr>
            <w:r w:rsidRPr="00656031">
              <w:rPr>
                <w:rFonts w:hint="eastAsia"/>
                <w:color w:val="FF6600"/>
              </w:rPr>
              <w:t>图表</w:t>
            </w:r>
            <w:r w:rsidRPr="00656031">
              <w:rPr>
                <w:color w:val="FF6600"/>
              </w:rPr>
              <w:t>1</w:t>
            </w:r>
            <w:r w:rsidRPr="00656031">
              <w:rPr>
                <w:rFonts w:hint="eastAsia"/>
                <w:color w:val="FF6600"/>
              </w:rPr>
              <w:t>：</w:t>
            </w:r>
            <w:r w:rsidRPr="006967F1">
              <w:rPr>
                <w:rFonts w:hint="eastAsia"/>
                <w:color w:val="FF6600"/>
              </w:rPr>
              <w:t>在发基金产品列表（截止</w:t>
            </w:r>
            <w:r w:rsidRPr="006967F1">
              <w:rPr>
                <w:color w:val="FF6600"/>
              </w:rPr>
              <w:t>2014.</w:t>
            </w:r>
            <w:r>
              <w:rPr>
                <w:color w:val="FF6600"/>
              </w:rPr>
              <w:t>9</w:t>
            </w:r>
            <w:r w:rsidRPr="006967F1">
              <w:rPr>
                <w:color w:val="FF6600"/>
              </w:rPr>
              <w:t>.</w:t>
            </w:r>
            <w:r>
              <w:rPr>
                <w:color w:val="FF6600"/>
              </w:rPr>
              <w:t>1</w:t>
            </w:r>
            <w:r w:rsidRPr="006967F1">
              <w:rPr>
                <w:rFonts w:hint="eastAsia"/>
                <w:color w:val="FF6600"/>
              </w:rPr>
              <w:t>）</w:t>
            </w:r>
          </w:p>
        </w:tc>
      </w:tr>
      <w:tr w:rsidR="000355B9" w:rsidRPr="0090327A" w:rsidTr="008220BB">
        <w:trPr>
          <w:cantSplit/>
          <w:trHeight w:val="233"/>
          <w:jc w:val="center"/>
        </w:trPr>
        <w:tc>
          <w:tcPr>
            <w:tcW w:w="568" w:type="dxa"/>
            <w:tcBorders>
              <w:right w:val="single" w:sz="6" w:space="0" w:color="FF6600"/>
            </w:tcBorders>
            <w:vAlign w:val="center"/>
          </w:tcPr>
          <w:p w:rsidR="000355B9" w:rsidRPr="0090327A" w:rsidRDefault="000355B9" w:rsidP="00D92D8A">
            <w:pPr>
              <w:snapToGrid w:val="0"/>
              <w:spacing w:line="10" w:lineRule="atLeast"/>
              <w:jc w:val="center"/>
              <w:rPr>
                <w:rFonts w:ascii="宋体"/>
                <w:b/>
                <w:sz w:val="15"/>
                <w:szCs w:val="15"/>
              </w:rPr>
            </w:pPr>
            <w:r w:rsidRPr="0090327A">
              <w:rPr>
                <w:rFonts w:ascii="宋体" w:hAnsi="宋体" w:hint="eastAsia"/>
                <w:b/>
                <w:sz w:val="15"/>
                <w:szCs w:val="15"/>
              </w:rPr>
              <w:t>代码</w:t>
            </w:r>
          </w:p>
        </w:tc>
        <w:tc>
          <w:tcPr>
            <w:tcW w:w="2210" w:type="dxa"/>
            <w:tcBorders>
              <w:left w:val="single" w:sz="6" w:space="0" w:color="FF6600"/>
              <w:right w:val="single" w:sz="6" w:space="0" w:color="FF6600"/>
            </w:tcBorders>
            <w:vAlign w:val="center"/>
          </w:tcPr>
          <w:p w:rsidR="000355B9" w:rsidRPr="0090327A" w:rsidRDefault="000355B9" w:rsidP="00D92D8A">
            <w:pPr>
              <w:snapToGrid w:val="0"/>
              <w:spacing w:line="10" w:lineRule="atLeast"/>
              <w:jc w:val="center"/>
              <w:rPr>
                <w:rFonts w:ascii="宋体"/>
                <w:b/>
                <w:sz w:val="15"/>
                <w:szCs w:val="15"/>
              </w:rPr>
            </w:pPr>
            <w:r w:rsidRPr="0090327A">
              <w:rPr>
                <w:rFonts w:ascii="宋体" w:hAnsi="宋体" w:hint="eastAsia"/>
                <w:b/>
                <w:sz w:val="15"/>
                <w:szCs w:val="15"/>
              </w:rPr>
              <w:t>简称</w:t>
            </w:r>
          </w:p>
        </w:tc>
        <w:tc>
          <w:tcPr>
            <w:tcW w:w="992" w:type="dxa"/>
            <w:tcBorders>
              <w:left w:val="single" w:sz="6" w:space="0" w:color="FF6600"/>
              <w:right w:val="single" w:sz="6" w:space="0" w:color="FF6600"/>
            </w:tcBorders>
            <w:vAlign w:val="center"/>
          </w:tcPr>
          <w:p w:rsidR="000355B9" w:rsidRPr="0090327A" w:rsidRDefault="000355B9" w:rsidP="00D92D8A">
            <w:pPr>
              <w:snapToGrid w:val="0"/>
              <w:spacing w:line="10" w:lineRule="atLeast"/>
              <w:jc w:val="center"/>
              <w:rPr>
                <w:rFonts w:ascii="宋体"/>
                <w:b/>
                <w:sz w:val="15"/>
                <w:szCs w:val="15"/>
              </w:rPr>
            </w:pPr>
            <w:r w:rsidRPr="0090327A">
              <w:rPr>
                <w:rFonts w:ascii="宋体" w:hAnsi="宋体" w:hint="eastAsia"/>
                <w:b/>
                <w:sz w:val="15"/>
                <w:szCs w:val="15"/>
              </w:rPr>
              <w:t>凯石分类</w:t>
            </w:r>
          </w:p>
        </w:tc>
        <w:tc>
          <w:tcPr>
            <w:tcW w:w="850" w:type="dxa"/>
            <w:tcBorders>
              <w:left w:val="single" w:sz="6" w:space="0" w:color="FF6600"/>
              <w:right w:val="single" w:sz="6" w:space="0" w:color="FF6600"/>
            </w:tcBorders>
            <w:vAlign w:val="center"/>
          </w:tcPr>
          <w:p w:rsidR="000355B9" w:rsidRPr="0090327A" w:rsidRDefault="000355B9" w:rsidP="00D92D8A">
            <w:pPr>
              <w:snapToGrid w:val="0"/>
              <w:spacing w:line="10" w:lineRule="atLeast"/>
              <w:jc w:val="center"/>
              <w:rPr>
                <w:rFonts w:ascii="宋体"/>
                <w:b/>
                <w:sz w:val="15"/>
                <w:szCs w:val="15"/>
              </w:rPr>
            </w:pPr>
            <w:r w:rsidRPr="0090327A">
              <w:rPr>
                <w:rFonts w:ascii="宋体" w:hAnsi="宋体" w:hint="eastAsia"/>
                <w:b/>
                <w:sz w:val="15"/>
                <w:szCs w:val="15"/>
              </w:rPr>
              <w:t>募集起始日</w:t>
            </w:r>
          </w:p>
        </w:tc>
        <w:tc>
          <w:tcPr>
            <w:tcW w:w="851" w:type="dxa"/>
            <w:tcBorders>
              <w:left w:val="single" w:sz="6" w:space="0" w:color="FF6600"/>
              <w:right w:val="single" w:sz="6" w:space="0" w:color="FF6600"/>
            </w:tcBorders>
            <w:vAlign w:val="center"/>
          </w:tcPr>
          <w:p w:rsidR="000355B9" w:rsidRPr="0090327A" w:rsidRDefault="000355B9" w:rsidP="00D92D8A">
            <w:pPr>
              <w:snapToGrid w:val="0"/>
              <w:spacing w:line="10" w:lineRule="atLeast"/>
              <w:jc w:val="center"/>
              <w:rPr>
                <w:rFonts w:ascii="宋体"/>
                <w:b/>
                <w:sz w:val="15"/>
                <w:szCs w:val="15"/>
              </w:rPr>
            </w:pPr>
            <w:r w:rsidRPr="0090327A">
              <w:rPr>
                <w:rFonts w:ascii="宋体" w:hAnsi="宋体" w:hint="eastAsia"/>
                <w:b/>
                <w:sz w:val="15"/>
                <w:szCs w:val="15"/>
              </w:rPr>
              <w:t>计划截止日</w:t>
            </w:r>
          </w:p>
        </w:tc>
        <w:tc>
          <w:tcPr>
            <w:tcW w:w="142" w:type="dxa"/>
            <w:vMerge w:val="restart"/>
            <w:tcBorders>
              <w:left w:val="single" w:sz="6" w:space="0" w:color="FF6600"/>
              <w:right w:val="single" w:sz="6" w:space="0" w:color="FF6600"/>
            </w:tcBorders>
            <w:vAlign w:val="center"/>
          </w:tcPr>
          <w:p w:rsidR="000355B9" w:rsidRPr="0090327A" w:rsidRDefault="000355B9" w:rsidP="00D92D8A">
            <w:pPr>
              <w:jc w:val="center"/>
              <w:rPr>
                <w:rFonts w:ascii="宋体"/>
                <w:b/>
              </w:rPr>
            </w:pPr>
          </w:p>
        </w:tc>
        <w:tc>
          <w:tcPr>
            <w:tcW w:w="625" w:type="dxa"/>
            <w:tcBorders>
              <w:left w:val="single" w:sz="6" w:space="0" w:color="FF6600"/>
              <w:right w:val="single" w:sz="6" w:space="0" w:color="FF6600"/>
            </w:tcBorders>
            <w:vAlign w:val="center"/>
          </w:tcPr>
          <w:p w:rsidR="000355B9" w:rsidRPr="0090327A" w:rsidRDefault="000355B9" w:rsidP="00D92D8A">
            <w:pPr>
              <w:snapToGrid w:val="0"/>
              <w:spacing w:line="10" w:lineRule="atLeast"/>
              <w:jc w:val="center"/>
              <w:rPr>
                <w:rFonts w:ascii="宋体"/>
                <w:b/>
                <w:sz w:val="15"/>
                <w:szCs w:val="15"/>
              </w:rPr>
            </w:pPr>
            <w:r w:rsidRPr="0090327A">
              <w:rPr>
                <w:rFonts w:ascii="宋体" w:hAnsi="宋体" w:hint="eastAsia"/>
                <w:b/>
                <w:sz w:val="15"/>
                <w:szCs w:val="15"/>
              </w:rPr>
              <w:t>代码</w:t>
            </w:r>
          </w:p>
        </w:tc>
        <w:tc>
          <w:tcPr>
            <w:tcW w:w="2210" w:type="dxa"/>
            <w:tcBorders>
              <w:left w:val="single" w:sz="6" w:space="0" w:color="FF6600"/>
              <w:right w:val="single" w:sz="6" w:space="0" w:color="FF6600"/>
            </w:tcBorders>
            <w:vAlign w:val="center"/>
          </w:tcPr>
          <w:p w:rsidR="000355B9" w:rsidRPr="0090327A" w:rsidRDefault="000355B9" w:rsidP="00D92D8A">
            <w:pPr>
              <w:snapToGrid w:val="0"/>
              <w:spacing w:line="10" w:lineRule="atLeast"/>
              <w:jc w:val="center"/>
              <w:rPr>
                <w:rFonts w:ascii="宋体"/>
                <w:b/>
                <w:sz w:val="15"/>
                <w:szCs w:val="15"/>
              </w:rPr>
            </w:pPr>
            <w:r w:rsidRPr="0090327A">
              <w:rPr>
                <w:rFonts w:ascii="宋体" w:hAnsi="宋体" w:hint="eastAsia"/>
                <w:b/>
                <w:sz w:val="15"/>
                <w:szCs w:val="15"/>
              </w:rPr>
              <w:t>简称</w:t>
            </w:r>
          </w:p>
        </w:tc>
        <w:tc>
          <w:tcPr>
            <w:tcW w:w="992" w:type="dxa"/>
            <w:tcBorders>
              <w:left w:val="single" w:sz="6" w:space="0" w:color="FF6600"/>
              <w:right w:val="single" w:sz="6" w:space="0" w:color="FF6600"/>
            </w:tcBorders>
            <w:vAlign w:val="center"/>
          </w:tcPr>
          <w:p w:rsidR="000355B9" w:rsidRPr="0090327A" w:rsidRDefault="000355B9" w:rsidP="00D92D8A">
            <w:pPr>
              <w:snapToGrid w:val="0"/>
              <w:spacing w:line="10" w:lineRule="atLeast"/>
              <w:jc w:val="center"/>
              <w:rPr>
                <w:rFonts w:ascii="宋体"/>
                <w:b/>
                <w:sz w:val="15"/>
                <w:szCs w:val="15"/>
              </w:rPr>
            </w:pPr>
            <w:r w:rsidRPr="0090327A">
              <w:rPr>
                <w:rFonts w:ascii="宋体" w:hAnsi="宋体" w:hint="eastAsia"/>
                <w:b/>
                <w:sz w:val="15"/>
                <w:szCs w:val="15"/>
              </w:rPr>
              <w:t>凯石分类</w:t>
            </w:r>
          </w:p>
        </w:tc>
        <w:tc>
          <w:tcPr>
            <w:tcW w:w="850" w:type="dxa"/>
            <w:tcBorders>
              <w:left w:val="single" w:sz="6" w:space="0" w:color="FF6600"/>
              <w:right w:val="single" w:sz="6" w:space="0" w:color="FF6600"/>
            </w:tcBorders>
            <w:vAlign w:val="center"/>
          </w:tcPr>
          <w:p w:rsidR="000355B9" w:rsidRPr="0090327A" w:rsidRDefault="000355B9" w:rsidP="00D92D8A">
            <w:pPr>
              <w:snapToGrid w:val="0"/>
              <w:spacing w:line="10" w:lineRule="atLeast"/>
              <w:jc w:val="center"/>
              <w:rPr>
                <w:rFonts w:ascii="宋体"/>
                <w:b/>
                <w:sz w:val="15"/>
                <w:szCs w:val="15"/>
              </w:rPr>
            </w:pPr>
            <w:r w:rsidRPr="0090327A">
              <w:rPr>
                <w:rFonts w:ascii="宋体" w:hAnsi="宋体" w:hint="eastAsia"/>
                <w:b/>
                <w:sz w:val="15"/>
                <w:szCs w:val="15"/>
              </w:rPr>
              <w:t>募集起始日</w:t>
            </w:r>
          </w:p>
        </w:tc>
        <w:tc>
          <w:tcPr>
            <w:tcW w:w="851" w:type="dxa"/>
            <w:tcBorders>
              <w:left w:val="single" w:sz="6" w:space="0" w:color="FF6600"/>
            </w:tcBorders>
            <w:vAlign w:val="center"/>
          </w:tcPr>
          <w:p w:rsidR="000355B9" w:rsidRPr="0090327A" w:rsidRDefault="000355B9" w:rsidP="00D92D8A">
            <w:pPr>
              <w:snapToGrid w:val="0"/>
              <w:spacing w:line="10" w:lineRule="atLeast"/>
              <w:jc w:val="center"/>
              <w:rPr>
                <w:rFonts w:ascii="宋体"/>
                <w:b/>
                <w:sz w:val="15"/>
                <w:szCs w:val="15"/>
              </w:rPr>
            </w:pPr>
            <w:r w:rsidRPr="0090327A">
              <w:rPr>
                <w:rFonts w:ascii="宋体" w:hAnsi="宋体" w:hint="eastAsia"/>
                <w:b/>
                <w:sz w:val="15"/>
                <w:szCs w:val="15"/>
              </w:rPr>
              <w:t>计划截止日</w:t>
            </w:r>
          </w:p>
        </w:tc>
      </w:tr>
      <w:tr w:rsidR="000355B9" w:rsidRPr="0090327A" w:rsidTr="008220BB">
        <w:trPr>
          <w:cantSplit/>
          <w:trHeight w:val="232"/>
          <w:jc w:val="center"/>
        </w:trPr>
        <w:tc>
          <w:tcPr>
            <w:tcW w:w="568" w:type="dxa"/>
            <w:tcBorders>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color w:val="000000"/>
                <w:sz w:val="15"/>
                <w:szCs w:val="15"/>
              </w:rPr>
              <w:t>000785</w:t>
            </w:r>
          </w:p>
        </w:tc>
        <w:tc>
          <w:tcPr>
            <w:tcW w:w="2210"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rFonts w:hint="eastAsia"/>
                <w:color w:val="000000"/>
                <w:sz w:val="15"/>
                <w:szCs w:val="15"/>
              </w:rPr>
              <w:t>华融现金增利货币</w:t>
            </w:r>
            <w:r w:rsidRPr="0090327A">
              <w:rPr>
                <w:color w:val="000000"/>
                <w:sz w:val="15"/>
                <w:szCs w:val="15"/>
              </w:rPr>
              <w:t>A</w:t>
            </w:r>
          </w:p>
        </w:tc>
        <w:tc>
          <w:tcPr>
            <w:tcW w:w="992"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rFonts w:hint="eastAsia"/>
                <w:color w:val="000000"/>
                <w:sz w:val="15"/>
                <w:szCs w:val="15"/>
              </w:rPr>
              <w:t>货币市场基金</w:t>
            </w:r>
          </w:p>
        </w:tc>
        <w:tc>
          <w:tcPr>
            <w:tcW w:w="850"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smartTag w:uri="urn:schemas-microsoft-com:office:smarttags" w:element="chsdate">
              <w:smartTagPr>
                <w:attr w:name="IsROCDate" w:val="False"/>
                <w:attr w:name="IsLunarDate" w:val="False"/>
                <w:attr w:name="Day" w:val="1"/>
                <w:attr w:name="Month" w:val="9"/>
                <w:attr w:name="Year" w:val="2014"/>
              </w:smartTagPr>
              <w:r w:rsidRPr="0090327A">
                <w:rPr>
                  <w:color w:val="000000"/>
                  <w:sz w:val="15"/>
                  <w:szCs w:val="15"/>
                </w:rPr>
                <w:t>2014/9/1</w:t>
              </w:r>
            </w:smartTag>
          </w:p>
        </w:tc>
        <w:tc>
          <w:tcPr>
            <w:tcW w:w="851"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smartTag w:uri="urn:schemas-microsoft-com:office:smarttags" w:element="chsdate">
              <w:smartTagPr>
                <w:attr w:name="IsROCDate" w:val="False"/>
                <w:attr w:name="IsLunarDate" w:val="False"/>
                <w:attr w:name="Day" w:val="30"/>
                <w:attr w:name="Month" w:val="9"/>
                <w:attr w:name="Year" w:val="2014"/>
              </w:smartTagPr>
              <w:r w:rsidRPr="0090327A">
                <w:rPr>
                  <w:color w:val="000000"/>
                  <w:sz w:val="15"/>
                  <w:szCs w:val="15"/>
                </w:rPr>
                <w:t>2014/9/30</w:t>
              </w:r>
            </w:smartTag>
          </w:p>
        </w:tc>
        <w:tc>
          <w:tcPr>
            <w:tcW w:w="142" w:type="dxa"/>
            <w:vMerge/>
            <w:tcBorders>
              <w:left w:val="single" w:sz="6" w:space="0" w:color="FF6600"/>
              <w:right w:val="single" w:sz="6" w:space="0" w:color="FF6600"/>
            </w:tcBorders>
            <w:vAlign w:val="center"/>
          </w:tcPr>
          <w:p w:rsidR="000355B9" w:rsidRPr="0090327A" w:rsidRDefault="000355B9" w:rsidP="00D92D8A">
            <w:pPr>
              <w:jc w:val="center"/>
              <w:rPr>
                <w:rFonts w:ascii="宋体"/>
                <w:b/>
                <w:sz w:val="15"/>
                <w:szCs w:val="15"/>
              </w:rPr>
            </w:pPr>
          </w:p>
        </w:tc>
        <w:tc>
          <w:tcPr>
            <w:tcW w:w="625"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color w:val="000000"/>
                <w:sz w:val="15"/>
                <w:szCs w:val="15"/>
              </w:rPr>
              <w:t>000751</w:t>
            </w:r>
          </w:p>
        </w:tc>
        <w:tc>
          <w:tcPr>
            <w:tcW w:w="2210"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rFonts w:hint="eastAsia"/>
                <w:color w:val="000000"/>
                <w:sz w:val="15"/>
                <w:szCs w:val="15"/>
              </w:rPr>
              <w:t>嘉实新兴产业股票</w:t>
            </w:r>
          </w:p>
        </w:tc>
        <w:tc>
          <w:tcPr>
            <w:tcW w:w="992"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rFonts w:hint="eastAsia"/>
                <w:color w:val="000000"/>
                <w:sz w:val="15"/>
                <w:szCs w:val="15"/>
              </w:rPr>
              <w:t>股票</w:t>
            </w:r>
            <w:r w:rsidRPr="0090327A">
              <w:rPr>
                <w:color w:val="000000"/>
                <w:sz w:val="15"/>
                <w:szCs w:val="15"/>
              </w:rPr>
              <w:t>-</w:t>
            </w:r>
            <w:r w:rsidRPr="0090327A">
              <w:rPr>
                <w:rFonts w:hint="eastAsia"/>
                <w:color w:val="000000"/>
                <w:sz w:val="15"/>
                <w:szCs w:val="15"/>
              </w:rPr>
              <w:t>主动型</w:t>
            </w:r>
          </w:p>
        </w:tc>
        <w:tc>
          <w:tcPr>
            <w:tcW w:w="850"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smartTag w:uri="urn:schemas-microsoft-com:office:smarttags" w:element="chsdate">
              <w:smartTagPr>
                <w:attr w:name="IsROCDate" w:val="False"/>
                <w:attr w:name="IsLunarDate" w:val="False"/>
                <w:attr w:name="Day" w:val="18"/>
                <w:attr w:name="Month" w:val="8"/>
                <w:attr w:name="Year" w:val="2014"/>
              </w:smartTagPr>
              <w:r w:rsidRPr="0090327A">
                <w:rPr>
                  <w:color w:val="000000"/>
                  <w:sz w:val="15"/>
                  <w:szCs w:val="15"/>
                </w:rPr>
                <w:t>2014/8/18</w:t>
              </w:r>
            </w:smartTag>
          </w:p>
        </w:tc>
        <w:tc>
          <w:tcPr>
            <w:tcW w:w="851" w:type="dxa"/>
            <w:tcBorders>
              <w:left w:val="single" w:sz="6" w:space="0" w:color="FF6600"/>
            </w:tcBorders>
            <w:vAlign w:val="center"/>
          </w:tcPr>
          <w:p w:rsidR="000355B9" w:rsidRPr="00E21E3A" w:rsidRDefault="000355B9" w:rsidP="00E21E3A">
            <w:pPr>
              <w:jc w:val="center"/>
              <w:rPr>
                <w:rFonts w:ascii="宋体" w:cs="宋体"/>
                <w:color w:val="000000"/>
                <w:sz w:val="15"/>
                <w:szCs w:val="15"/>
              </w:rPr>
            </w:pPr>
            <w:smartTag w:uri="urn:schemas-microsoft-com:office:smarttags" w:element="chsdate">
              <w:smartTagPr>
                <w:attr w:name="IsROCDate" w:val="False"/>
                <w:attr w:name="IsLunarDate" w:val="False"/>
                <w:attr w:name="Day" w:val="12"/>
                <w:attr w:name="Month" w:val="9"/>
                <w:attr w:name="Year" w:val="2014"/>
              </w:smartTagPr>
              <w:r w:rsidRPr="0090327A">
                <w:rPr>
                  <w:color w:val="000000"/>
                  <w:sz w:val="15"/>
                  <w:szCs w:val="15"/>
                </w:rPr>
                <w:t>2014/9/12</w:t>
              </w:r>
            </w:smartTag>
          </w:p>
        </w:tc>
      </w:tr>
      <w:tr w:rsidR="000355B9" w:rsidRPr="0090327A" w:rsidTr="008220BB">
        <w:trPr>
          <w:cantSplit/>
          <w:trHeight w:val="232"/>
          <w:jc w:val="center"/>
        </w:trPr>
        <w:tc>
          <w:tcPr>
            <w:tcW w:w="568" w:type="dxa"/>
            <w:tcBorders>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color w:val="000000"/>
                <w:sz w:val="15"/>
                <w:szCs w:val="15"/>
              </w:rPr>
              <w:t>000788</w:t>
            </w:r>
          </w:p>
        </w:tc>
        <w:tc>
          <w:tcPr>
            <w:tcW w:w="2210"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rFonts w:hint="eastAsia"/>
                <w:color w:val="000000"/>
                <w:sz w:val="15"/>
                <w:szCs w:val="15"/>
              </w:rPr>
              <w:t>前海开源中国成长混合</w:t>
            </w:r>
          </w:p>
        </w:tc>
        <w:tc>
          <w:tcPr>
            <w:tcW w:w="992"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rFonts w:hint="eastAsia"/>
                <w:color w:val="000000"/>
                <w:sz w:val="15"/>
                <w:szCs w:val="15"/>
              </w:rPr>
              <w:t>混合</w:t>
            </w:r>
            <w:r w:rsidRPr="0090327A">
              <w:rPr>
                <w:color w:val="000000"/>
                <w:sz w:val="15"/>
                <w:szCs w:val="15"/>
              </w:rPr>
              <w:t>-</w:t>
            </w:r>
            <w:r w:rsidRPr="0090327A">
              <w:rPr>
                <w:rFonts w:hint="eastAsia"/>
                <w:color w:val="000000"/>
                <w:sz w:val="15"/>
                <w:szCs w:val="15"/>
              </w:rPr>
              <w:t>灵活型</w:t>
            </w:r>
          </w:p>
        </w:tc>
        <w:tc>
          <w:tcPr>
            <w:tcW w:w="850"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smartTag w:uri="urn:schemas-microsoft-com:office:smarttags" w:element="chsdate">
              <w:smartTagPr>
                <w:attr w:name="IsROCDate" w:val="False"/>
                <w:attr w:name="IsLunarDate" w:val="False"/>
                <w:attr w:name="Day" w:val="1"/>
                <w:attr w:name="Month" w:val="9"/>
                <w:attr w:name="Year" w:val="2014"/>
              </w:smartTagPr>
              <w:r w:rsidRPr="0090327A">
                <w:rPr>
                  <w:color w:val="000000"/>
                  <w:sz w:val="15"/>
                  <w:szCs w:val="15"/>
                </w:rPr>
                <w:t>2014/9/1</w:t>
              </w:r>
            </w:smartTag>
          </w:p>
        </w:tc>
        <w:tc>
          <w:tcPr>
            <w:tcW w:w="851"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smartTag w:uri="urn:schemas-microsoft-com:office:smarttags" w:element="chsdate">
              <w:smartTagPr>
                <w:attr w:name="IsROCDate" w:val="False"/>
                <w:attr w:name="IsLunarDate" w:val="False"/>
                <w:attr w:name="Day" w:val="25"/>
                <w:attr w:name="Month" w:val="9"/>
                <w:attr w:name="Year" w:val="2014"/>
              </w:smartTagPr>
              <w:r w:rsidRPr="0090327A">
                <w:rPr>
                  <w:color w:val="000000"/>
                  <w:sz w:val="15"/>
                  <w:szCs w:val="15"/>
                </w:rPr>
                <w:t>2014/9/25</w:t>
              </w:r>
            </w:smartTag>
          </w:p>
        </w:tc>
        <w:tc>
          <w:tcPr>
            <w:tcW w:w="142" w:type="dxa"/>
            <w:vMerge/>
            <w:tcBorders>
              <w:left w:val="single" w:sz="6" w:space="0" w:color="FF6600"/>
              <w:right w:val="single" w:sz="6" w:space="0" w:color="FF6600"/>
            </w:tcBorders>
            <w:vAlign w:val="center"/>
          </w:tcPr>
          <w:p w:rsidR="000355B9" w:rsidRPr="0090327A" w:rsidRDefault="000355B9" w:rsidP="00D92D8A">
            <w:pPr>
              <w:jc w:val="center"/>
              <w:rPr>
                <w:rFonts w:ascii="宋体"/>
                <w:b/>
                <w:sz w:val="15"/>
                <w:szCs w:val="15"/>
              </w:rPr>
            </w:pPr>
          </w:p>
        </w:tc>
        <w:tc>
          <w:tcPr>
            <w:tcW w:w="625"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color w:val="000000"/>
                <w:sz w:val="15"/>
                <w:szCs w:val="15"/>
              </w:rPr>
              <w:t>000742</w:t>
            </w:r>
          </w:p>
        </w:tc>
        <w:tc>
          <w:tcPr>
            <w:tcW w:w="2210"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rFonts w:hint="eastAsia"/>
                <w:color w:val="000000"/>
                <w:sz w:val="15"/>
                <w:szCs w:val="15"/>
              </w:rPr>
              <w:t>国泰新经济灵活配置混合</w:t>
            </w:r>
          </w:p>
        </w:tc>
        <w:tc>
          <w:tcPr>
            <w:tcW w:w="992"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rFonts w:hint="eastAsia"/>
                <w:color w:val="000000"/>
                <w:sz w:val="15"/>
                <w:szCs w:val="15"/>
              </w:rPr>
              <w:t>混合</w:t>
            </w:r>
            <w:r w:rsidRPr="0090327A">
              <w:rPr>
                <w:color w:val="000000"/>
                <w:sz w:val="15"/>
                <w:szCs w:val="15"/>
              </w:rPr>
              <w:t>-</w:t>
            </w:r>
            <w:r w:rsidRPr="0090327A">
              <w:rPr>
                <w:rFonts w:hint="eastAsia"/>
                <w:color w:val="000000"/>
                <w:sz w:val="15"/>
                <w:szCs w:val="15"/>
              </w:rPr>
              <w:t>灵活型</w:t>
            </w:r>
          </w:p>
        </w:tc>
        <w:tc>
          <w:tcPr>
            <w:tcW w:w="850"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smartTag w:uri="urn:schemas-microsoft-com:office:smarttags" w:element="chsdate">
              <w:smartTagPr>
                <w:attr w:name="IsROCDate" w:val="False"/>
                <w:attr w:name="IsLunarDate" w:val="False"/>
                <w:attr w:name="Day" w:val="18"/>
                <w:attr w:name="Month" w:val="8"/>
                <w:attr w:name="Year" w:val="2014"/>
              </w:smartTagPr>
              <w:r w:rsidRPr="0090327A">
                <w:rPr>
                  <w:color w:val="000000"/>
                  <w:sz w:val="15"/>
                  <w:szCs w:val="15"/>
                </w:rPr>
                <w:t>2014/8/18</w:t>
              </w:r>
            </w:smartTag>
          </w:p>
        </w:tc>
        <w:tc>
          <w:tcPr>
            <w:tcW w:w="851" w:type="dxa"/>
            <w:tcBorders>
              <w:left w:val="single" w:sz="6" w:space="0" w:color="FF6600"/>
            </w:tcBorders>
            <w:vAlign w:val="center"/>
          </w:tcPr>
          <w:p w:rsidR="000355B9" w:rsidRPr="00E21E3A" w:rsidRDefault="000355B9" w:rsidP="00E21E3A">
            <w:pPr>
              <w:jc w:val="center"/>
              <w:rPr>
                <w:rFonts w:ascii="宋体" w:cs="宋体"/>
                <w:color w:val="000000"/>
                <w:sz w:val="15"/>
                <w:szCs w:val="15"/>
              </w:rPr>
            </w:pPr>
            <w:smartTag w:uri="urn:schemas-microsoft-com:office:smarttags" w:element="chsdate">
              <w:smartTagPr>
                <w:attr w:name="IsROCDate" w:val="False"/>
                <w:attr w:name="IsLunarDate" w:val="False"/>
                <w:attr w:name="Day" w:val="12"/>
                <w:attr w:name="Month" w:val="9"/>
                <w:attr w:name="Year" w:val="2014"/>
              </w:smartTagPr>
              <w:r w:rsidRPr="0090327A">
                <w:rPr>
                  <w:color w:val="000000"/>
                  <w:sz w:val="15"/>
                  <w:szCs w:val="15"/>
                </w:rPr>
                <w:t>2014/9/12</w:t>
              </w:r>
            </w:smartTag>
          </w:p>
        </w:tc>
      </w:tr>
      <w:tr w:rsidR="000355B9" w:rsidRPr="0090327A" w:rsidTr="008220BB">
        <w:trPr>
          <w:cantSplit/>
          <w:trHeight w:val="232"/>
          <w:jc w:val="center"/>
        </w:trPr>
        <w:tc>
          <w:tcPr>
            <w:tcW w:w="568" w:type="dxa"/>
            <w:tcBorders>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color w:val="000000"/>
                <w:sz w:val="15"/>
                <w:szCs w:val="15"/>
              </w:rPr>
              <w:t>000781</w:t>
            </w:r>
          </w:p>
        </w:tc>
        <w:tc>
          <w:tcPr>
            <w:tcW w:w="2210"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rFonts w:hint="eastAsia"/>
                <w:color w:val="000000"/>
                <w:sz w:val="15"/>
                <w:szCs w:val="15"/>
              </w:rPr>
              <w:t>国投岁增利一年定开债券</w:t>
            </w:r>
            <w:r w:rsidRPr="0090327A">
              <w:rPr>
                <w:color w:val="000000"/>
                <w:sz w:val="15"/>
                <w:szCs w:val="15"/>
              </w:rPr>
              <w:t>A</w:t>
            </w:r>
          </w:p>
        </w:tc>
        <w:tc>
          <w:tcPr>
            <w:tcW w:w="992"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rFonts w:hint="eastAsia"/>
                <w:color w:val="000000"/>
                <w:sz w:val="15"/>
                <w:szCs w:val="15"/>
              </w:rPr>
              <w:t>债券</w:t>
            </w:r>
            <w:r w:rsidRPr="0090327A">
              <w:rPr>
                <w:color w:val="000000"/>
                <w:sz w:val="15"/>
                <w:szCs w:val="15"/>
              </w:rPr>
              <w:t>-</w:t>
            </w:r>
            <w:r w:rsidRPr="0090327A">
              <w:rPr>
                <w:rFonts w:hint="eastAsia"/>
                <w:color w:val="000000"/>
                <w:sz w:val="15"/>
                <w:szCs w:val="15"/>
              </w:rPr>
              <w:t>纯债基金</w:t>
            </w:r>
          </w:p>
        </w:tc>
        <w:tc>
          <w:tcPr>
            <w:tcW w:w="850"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smartTag w:uri="urn:schemas-microsoft-com:office:smarttags" w:element="chsdate">
              <w:smartTagPr>
                <w:attr w:name="IsROCDate" w:val="False"/>
                <w:attr w:name="IsLunarDate" w:val="False"/>
                <w:attr w:name="Day" w:val="1"/>
                <w:attr w:name="Month" w:val="9"/>
                <w:attr w:name="Year" w:val="2014"/>
              </w:smartTagPr>
              <w:r w:rsidRPr="0090327A">
                <w:rPr>
                  <w:color w:val="000000"/>
                  <w:sz w:val="15"/>
                  <w:szCs w:val="15"/>
                </w:rPr>
                <w:t>2014/9/1</w:t>
              </w:r>
            </w:smartTag>
          </w:p>
        </w:tc>
        <w:tc>
          <w:tcPr>
            <w:tcW w:w="851"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smartTag w:uri="urn:schemas-microsoft-com:office:smarttags" w:element="chsdate">
              <w:smartTagPr>
                <w:attr w:name="IsROCDate" w:val="False"/>
                <w:attr w:name="IsLunarDate" w:val="False"/>
                <w:attr w:name="Day" w:val="23"/>
                <w:attr w:name="Month" w:val="9"/>
                <w:attr w:name="Year" w:val="2014"/>
              </w:smartTagPr>
              <w:r w:rsidRPr="0090327A">
                <w:rPr>
                  <w:color w:val="000000"/>
                  <w:sz w:val="15"/>
                  <w:szCs w:val="15"/>
                </w:rPr>
                <w:t>2014/9/23</w:t>
              </w:r>
            </w:smartTag>
          </w:p>
        </w:tc>
        <w:tc>
          <w:tcPr>
            <w:tcW w:w="142" w:type="dxa"/>
            <w:vMerge/>
            <w:tcBorders>
              <w:left w:val="single" w:sz="6" w:space="0" w:color="FF6600"/>
              <w:right w:val="single" w:sz="6" w:space="0" w:color="FF6600"/>
            </w:tcBorders>
            <w:vAlign w:val="center"/>
          </w:tcPr>
          <w:p w:rsidR="000355B9" w:rsidRPr="0090327A" w:rsidRDefault="000355B9" w:rsidP="00D92D8A">
            <w:pPr>
              <w:jc w:val="center"/>
              <w:rPr>
                <w:rFonts w:ascii="宋体"/>
                <w:b/>
                <w:sz w:val="15"/>
                <w:szCs w:val="15"/>
              </w:rPr>
            </w:pPr>
          </w:p>
        </w:tc>
        <w:tc>
          <w:tcPr>
            <w:tcW w:w="625"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color w:val="000000"/>
                <w:sz w:val="15"/>
                <w:szCs w:val="15"/>
              </w:rPr>
              <w:t>000696</w:t>
            </w:r>
          </w:p>
        </w:tc>
        <w:tc>
          <w:tcPr>
            <w:tcW w:w="2210"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rFonts w:hint="eastAsia"/>
                <w:color w:val="000000"/>
                <w:sz w:val="15"/>
                <w:szCs w:val="15"/>
              </w:rPr>
              <w:t>汇添富环保行业股票</w:t>
            </w:r>
          </w:p>
        </w:tc>
        <w:tc>
          <w:tcPr>
            <w:tcW w:w="992"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rFonts w:hint="eastAsia"/>
                <w:color w:val="000000"/>
                <w:sz w:val="15"/>
                <w:szCs w:val="15"/>
              </w:rPr>
              <w:t>股票</w:t>
            </w:r>
            <w:r w:rsidRPr="0090327A">
              <w:rPr>
                <w:color w:val="000000"/>
                <w:sz w:val="15"/>
                <w:szCs w:val="15"/>
              </w:rPr>
              <w:t>-</w:t>
            </w:r>
            <w:r w:rsidRPr="0090327A">
              <w:rPr>
                <w:rFonts w:hint="eastAsia"/>
                <w:color w:val="000000"/>
                <w:sz w:val="15"/>
                <w:szCs w:val="15"/>
              </w:rPr>
              <w:t>主动型</w:t>
            </w:r>
          </w:p>
        </w:tc>
        <w:tc>
          <w:tcPr>
            <w:tcW w:w="850"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smartTag w:uri="urn:schemas-microsoft-com:office:smarttags" w:element="chsdate">
              <w:smartTagPr>
                <w:attr w:name="IsROCDate" w:val="False"/>
                <w:attr w:name="IsLunarDate" w:val="False"/>
                <w:attr w:name="Day" w:val="18"/>
                <w:attr w:name="Month" w:val="8"/>
                <w:attr w:name="Year" w:val="2014"/>
              </w:smartTagPr>
              <w:r w:rsidRPr="0090327A">
                <w:rPr>
                  <w:color w:val="000000"/>
                  <w:sz w:val="15"/>
                  <w:szCs w:val="15"/>
                </w:rPr>
                <w:t>2014/8/18</w:t>
              </w:r>
            </w:smartTag>
          </w:p>
        </w:tc>
        <w:tc>
          <w:tcPr>
            <w:tcW w:w="851" w:type="dxa"/>
            <w:tcBorders>
              <w:left w:val="single" w:sz="6" w:space="0" w:color="FF6600"/>
            </w:tcBorders>
            <w:vAlign w:val="center"/>
          </w:tcPr>
          <w:p w:rsidR="000355B9" w:rsidRPr="00E21E3A" w:rsidRDefault="000355B9" w:rsidP="00E21E3A">
            <w:pPr>
              <w:jc w:val="center"/>
              <w:rPr>
                <w:rFonts w:ascii="宋体" w:cs="宋体"/>
                <w:color w:val="000000"/>
                <w:sz w:val="15"/>
                <w:szCs w:val="15"/>
              </w:rPr>
            </w:pPr>
            <w:smartTag w:uri="urn:schemas-microsoft-com:office:smarttags" w:element="chsdate">
              <w:smartTagPr>
                <w:attr w:name="IsROCDate" w:val="False"/>
                <w:attr w:name="IsLunarDate" w:val="False"/>
                <w:attr w:name="Day" w:val="12"/>
                <w:attr w:name="Month" w:val="9"/>
                <w:attr w:name="Year" w:val="2014"/>
              </w:smartTagPr>
              <w:r w:rsidRPr="0090327A">
                <w:rPr>
                  <w:color w:val="000000"/>
                  <w:sz w:val="15"/>
                  <w:szCs w:val="15"/>
                </w:rPr>
                <w:t>2014/9/12</w:t>
              </w:r>
            </w:smartTag>
          </w:p>
        </w:tc>
      </w:tr>
      <w:tr w:rsidR="000355B9" w:rsidRPr="0090327A" w:rsidTr="008220BB">
        <w:trPr>
          <w:cantSplit/>
          <w:trHeight w:val="232"/>
          <w:jc w:val="center"/>
        </w:trPr>
        <w:tc>
          <w:tcPr>
            <w:tcW w:w="568" w:type="dxa"/>
            <w:tcBorders>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color w:val="000000"/>
                <w:sz w:val="15"/>
                <w:szCs w:val="15"/>
              </w:rPr>
              <w:t>400027</w:t>
            </w:r>
          </w:p>
        </w:tc>
        <w:tc>
          <w:tcPr>
            <w:tcW w:w="2210"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rFonts w:hint="eastAsia"/>
                <w:color w:val="000000"/>
                <w:sz w:val="15"/>
                <w:szCs w:val="15"/>
              </w:rPr>
              <w:t>东方双债添利债券</w:t>
            </w:r>
            <w:r w:rsidRPr="0090327A">
              <w:rPr>
                <w:color w:val="000000"/>
                <w:sz w:val="15"/>
                <w:szCs w:val="15"/>
              </w:rPr>
              <w:t>A</w:t>
            </w:r>
          </w:p>
        </w:tc>
        <w:tc>
          <w:tcPr>
            <w:tcW w:w="992"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rFonts w:hint="eastAsia"/>
                <w:color w:val="000000"/>
                <w:sz w:val="15"/>
                <w:szCs w:val="15"/>
              </w:rPr>
              <w:t>债券</w:t>
            </w:r>
            <w:r w:rsidRPr="0090327A">
              <w:rPr>
                <w:color w:val="000000"/>
                <w:sz w:val="15"/>
                <w:szCs w:val="15"/>
              </w:rPr>
              <w:t>-</w:t>
            </w:r>
            <w:r w:rsidRPr="0090327A">
              <w:rPr>
                <w:rFonts w:hint="eastAsia"/>
                <w:color w:val="000000"/>
                <w:sz w:val="15"/>
                <w:szCs w:val="15"/>
              </w:rPr>
              <w:t>二级债基</w:t>
            </w:r>
          </w:p>
        </w:tc>
        <w:tc>
          <w:tcPr>
            <w:tcW w:w="850"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smartTag w:uri="urn:schemas-microsoft-com:office:smarttags" w:element="chsdate">
              <w:smartTagPr>
                <w:attr w:name="IsROCDate" w:val="False"/>
                <w:attr w:name="IsLunarDate" w:val="False"/>
                <w:attr w:name="Day" w:val="1"/>
                <w:attr w:name="Month" w:val="9"/>
                <w:attr w:name="Year" w:val="2014"/>
              </w:smartTagPr>
              <w:r w:rsidRPr="0090327A">
                <w:rPr>
                  <w:color w:val="000000"/>
                  <w:sz w:val="15"/>
                  <w:szCs w:val="15"/>
                </w:rPr>
                <w:t>2014/9/1</w:t>
              </w:r>
            </w:smartTag>
          </w:p>
        </w:tc>
        <w:tc>
          <w:tcPr>
            <w:tcW w:w="851"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smartTag w:uri="urn:schemas-microsoft-com:office:smarttags" w:element="chsdate">
              <w:smartTagPr>
                <w:attr w:name="IsROCDate" w:val="False"/>
                <w:attr w:name="IsLunarDate" w:val="False"/>
                <w:attr w:name="Day" w:val="19"/>
                <w:attr w:name="Month" w:val="9"/>
                <w:attr w:name="Year" w:val="2014"/>
              </w:smartTagPr>
              <w:r w:rsidRPr="0090327A">
                <w:rPr>
                  <w:color w:val="000000"/>
                  <w:sz w:val="15"/>
                  <w:szCs w:val="15"/>
                </w:rPr>
                <w:t>2014/9/19</w:t>
              </w:r>
            </w:smartTag>
          </w:p>
        </w:tc>
        <w:tc>
          <w:tcPr>
            <w:tcW w:w="142" w:type="dxa"/>
            <w:vMerge/>
            <w:tcBorders>
              <w:left w:val="single" w:sz="6" w:space="0" w:color="FF6600"/>
              <w:right w:val="single" w:sz="6" w:space="0" w:color="FF6600"/>
            </w:tcBorders>
            <w:vAlign w:val="center"/>
          </w:tcPr>
          <w:p w:rsidR="000355B9" w:rsidRPr="0090327A" w:rsidRDefault="000355B9" w:rsidP="00D92D8A">
            <w:pPr>
              <w:jc w:val="center"/>
              <w:rPr>
                <w:rFonts w:ascii="宋体"/>
                <w:b/>
                <w:sz w:val="15"/>
                <w:szCs w:val="15"/>
              </w:rPr>
            </w:pPr>
          </w:p>
        </w:tc>
        <w:tc>
          <w:tcPr>
            <w:tcW w:w="625"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color w:val="000000"/>
                <w:sz w:val="15"/>
                <w:szCs w:val="15"/>
              </w:rPr>
              <w:t>000710</w:t>
            </w:r>
          </w:p>
        </w:tc>
        <w:tc>
          <w:tcPr>
            <w:tcW w:w="2210"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rFonts w:hint="eastAsia"/>
                <w:color w:val="000000"/>
                <w:sz w:val="15"/>
                <w:szCs w:val="15"/>
              </w:rPr>
              <w:t>交银现金宝货币</w:t>
            </w:r>
          </w:p>
        </w:tc>
        <w:tc>
          <w:tcPr>
            <w:tcW w:w="992"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rFonts w:hint="eastAsia"/>
                <w:color w:val="000000"/>
                <w:sz w:val="15"/>
                <w:szCs w:val="15"/>
              </w:rPr>
              <w:t>货币市场基金</w:t>
            </w:r>
          </w:p>
        </w:tc>
        <w:tc>
          <w:tcPr>
            <w:tcW w:w="850"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smartTag w:uri="urn:schemas-microsoft-com:office:smarttags" w:element="chsdate">
              <w:smartTagPr>
                <w:attr w:name="IsROCDate" w:val="False"/>
                <w:attr w:name="IsLunarDate" w:val="False"/>
                <w:attr w:name="Day" w:val="18"/>
                <w:attr w:name="Month" w:val="8"/>
                <w:attr w:name="Year" w:val="2014"/>
              </w:smartTagPr>
              <w:r w:rsidRPr="0090327A">
                <w:rPr>
                  <w:color w:val="000000"/>
                  <w:sz w:val="15"/>
                  <w:szCs w:val="15"/>
                </w:rPr>
                <w:t>2014/8/18</w:t>
              </w:r>
            </w:smartTag>
          </w:p>
        </w:tc>
        <w:tc>
          <w:tcPr>
            <w:tcW w:w="851" w:type="dxa"/>
            <w:tcBorders>
              <w:left w:val="single" w:sz="6" w:space="0" w:color="FF6600"/>
            </w:tcBorders>
            <w:vAlign w:val="center"/>
          </w:tcPr>
          <w:p w:rsidR="000355B9" w:rsidRPr="00E21E3A" w:rsidRDefault="000355B9" w:rsidP="00E21E3A">
            <w:pPr>
              <w:jc w:val="center"/>
              <w:rPr>
                <w:rFonts w:ascii="宋体" w:cs="宋体"/>
                <w:color w:val="000000"/>
                <w:sz w:val="15"/>
                <w:szCs w:val="15"/>
              </w:rPr>
            </w:pPr>
            <w:smartTag w:uri="urn:schemas-microsoft-com:office:smarttags" w:element="chsdate">
              <w:smartTagPr>
                <w:attr w:name="IsROCDate" w:val="False"/>
                <w:attr w:name="IsLunarDate" w:val="False"/>
                <w:attr w:name="Day" w:val="5"/>
                <w:attr w:name="Month" w:val="9"/>
                <w:attr w:name="Year" w:val="2014"/>
              </w:smartTagPr>
              <w:r w:rsidRPr="0090327A">
                <w:rPr>
                  <w:color w:val="000000"/>
                  <w:sz w:val="15"/>
                  <w:szCs w:val="15"/>
                </w:rPr>
                <w:t>2014/9/5</w:t>
              </w:r>
            </w:smartTag>
          </w:p>
        </w:tc>
      </w:tr>
      <w:tr w:rsidR="000355B9" w:rsidRPr="0090327A" w:rsidTr="008220BB">
        <w:trPr>
          <w:cantSplit/>
          <w:trHeight w:val="232"/>
          <w:jc w:val="center"/>
        </w:trPr>
        <w:tc>
          <w:tcPr>
            <w:tcW w:w="568" w:type="dxa"/>
            <w:tcBorders>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color w:val="000000"/>
                <w:sz w:val="15"/>
                <w:szCs w:val="15"/>
              </w:rPr>
              <w:t>000791</w:t>
            </w:r>
          </w:p>
        </w:tc>
        <w:tc>
          <w:tcPr>
            <w:tcW w:w="2210"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rFonts w:hint="eastAsia"/>
                <w:color w:val="000000"/>
                <w:sz w:val="15"/>
                <w:szCs w:val="15"/>
              </w:rPr>
              <w:t>银华双月定期理财债券</w:t>
            </w:r>
          </w:p>
        </w:tc>
        <w:tc>
          <w:tcPr>
            <w:tcW w:w="992"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rFonts w:hint="eastAsia"/>
                <w:color w:val="000000"/>
                <w:sz w:val="15"/>
                <w:szCs w:val="15"/>
              </w:rPr>
              <w:t>债券</w:t>
            </w:r>
            <w:r w:rsidRPr="0090327A">
              <w:rPr>
                <w:color w:val="000000"/>
                <w:sz w:val="15"/>
                <w:szCs w:val="15"/>
              </w:rPr>
              <w:t>-</w:t>
            </w:r>
            <w:r w:rsidRPr="0090327A">
              <w:rPr>
                <w:rFonts w:hint="eastAsia"/>
                <w:color w:val="000000"/>
                <w:sz w:val="15"/>
                <w:szCs w:val="15"/>
              </w:rPr>
              <w:t>理财债基</w:t>
            </w:r>
          </w:p>
        </w:tc>
        <w:tc>
          <w:tcPr>
            <w:tcW w:w="850"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smartTag w:uri="urn:schemas-microsoft-com:office:smarttags" w:element="chsdate">
              <w:smartTagPr>
                <w:attr w:name="IsROCDate" w:val="False"/>
                <w:attr w:name="IsLunarDate" w:val="False"/>
                <w:attr w:name="Day" w:val="1"/>
                <w:attr w:name="Month" w:val="9"/>
                <w:attr w:name="Year" w:val="2014"/>
              </w:smartTagPr>
              <w:r w:rsidRPr="0090327A">
                <w:rPr>
                  <w:color w:val="000000"/>
                  <w:sz w:val="15"/>
                  <w:szCs w:val="15"/>
                </w:rPr>
                <w:t>2014/9/1</w:t>
              </w:r>
            </w:smartTag>
          </w:p>
        </w:tc>
        <w:tc>
          <w:tcPr>
            <w:tcW w:w="851"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smartTag w:uri="urn:schemas-microsoft-com:office:smarttags" w:element="chsdate">
              <w:smartTagPr>
                <w:attr w:name="IsROCDate" w:val="False"/>
                <w:attr w:name="IsLunarDate" w:val="False"/>
                <w:attr w:name="Day" w:val="2"/>
                <w:attr w:name="Month" w:val="9"/>
                <w:attr w:name="Year" w:val="2014"/>
              </w:smartTagPr>
              <w:r w:rsidRPr="0090327A">
                <w:rPr>
                  <w:color w:val="000000"/>
                  <w:sz w:val="15"/>
                  <w:szCs w:val="15"/>
                </w:rPr>
                <w:t>2014/9/2</w:t>
              </w:r>
            </w:smartTag>
          </w:p>
        </w:tc>
        <w:tc>
          <w:tcPr>
            <w:tcW w:w="142" w:type="dxa"/>
            <w:tcBorders>
              <w:left w:val="single" w:sz="6" w:space="0" w:color="FF6600"/>
              <w:right w:val="single" w:sz="6" w:space="0" w:color="FF6600"/>
            </w:tcBorders>
            <w:vAlign w:val="center"/>
          </w:tcPr>
          <w:p w:rsidR="000355B9" w:rsidRPr="0090327A" w:rsidRDefault="000355B9" w:rsidP="00D92D8A">
            <w:pPr>
              <w:jc w:val="center"/>
              <w:rPr>
                <w:rFonts w:ascii="宋体"/>
                <w:b/>
                <w:sz w:val="15"/>
                <w:szCs w:val="15"/>
              </w:rPr>
            </w:pPr>
          </w:p>
        </w:tc>
        <w:tc>
          <w:tcPr>
            <w:tcW w:w="625"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color w:val="000000"/>
                <w:sz w:val="15"/>
                <w:szCs w:val="15"/>
              </w:rPr>
              <w:t>000265</w:t>
            </w:r>
          </w:p>
        </w:tc>
        <w:tc>
          <w:tcPr>
            <w:tcW w:w="2210"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rFonts w:hint="eastAsia"/>
                <w:color w:val="000000"/>
                <w:sz w:val="15"/>
                <w:szCs w:val="15"/>
              </w:rPr>
              <w:t>易方达恒久添利</w:t>
            </w:r>
            <w:r w:rsidRPr="0090327A">
              <w:rPr>
                <w:color w:val="000000"/>
                <w:sz w:val="15"/>
                <w:szCs w:val="15"/>
              </w:rPr>
              <w:t>1</w:t>
            </w:r>
            <w:r w:rsidRPr="0090327A">
              <w:rPr>
                <w:rFonts w:hint="eastAsia"/>
                <w:color w:val="000000"/>
                <w:sz w:val="15"/>
                <w:szCs w:val="15"/>
              </w:rPr>
              <w:t>年定开债券</w:t>
            </w:r>
            <w:r w:rsidRPr="0090327A">
              <w:rPr>
                <w:color w:val="000000"/>
                <w:sz w:val="15"/>
                <w:szCs w:val="15"/>
              </w:rPr>
              <w:t>A</w:t>
            </w:r>
          </w:p>
        </w:tc>
        <w:tc>
          <w:tcPr>
            <w:tcW w:w="992"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rFonts w:hint="eastAsia"/>
                <w:color w:val="000000"/>
                <w:sz w:val="15"/>
                <w:szCs w:val="15"/>
              </w:rPr>
              <w:t>债券</w:t>
            </w:r>
            <w:r w:rsidRPr="0090327A">
              <w:rPr>
                <w:color w:val="000000"/>
                <w:sz w:val="15"/>
                <w:szCs w:val="15"/>
              </w:rPr>
              <w:t>-</w:t>
            </w:r>
            <w:r w:rsidRPr="0090327A">
              <w:rPr>
                <w:rFonts w:hint="eastAsia"/>
                <w:color w:val="000000"/>
                <w:sz w:val="15"/>
                <w:szCs w:val="15"/>
              </w:rPr>
              <w:t>纯债基金</w:t>
            </w:r>
          </w:p>
        </w:tc>
        <w:tc>
          <w:tcPr>
            <w:tcW w:w="850"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smartTag w:uri="urn:schemas-microsoft-com:office:smarttags" w:element="chsdate">
              <w:smartTagPr>
                <w:attr w:name="IsROCDate" w:val="False"/>
                <w:attr w:name="IsLunarDate" w:val="False"/>
                <w:attr w:name="Day" w:val="18"/>
                <w:attr w:name="Month" w:val="8"/>
                <w:attr w:name="Year" w:val="2014"/>
              </w:smartTagPr>
              <w:r w:rsidRPr="0090327A">
                <w:rPr>
                  <w:color w:val="000000"/>
                  <w:sz w:val="15"/>
                  <w:szCs w:val="15"/>
                </w:rPr>
                <w:t>2014/8/18</w:t>
              </w:r>
            </w:smartTag>
          </w:p>
        </w:tc>
        <w:tc>
          <w:tcPr>
            <w:tcW w:w="851" w:type="dxa"/>
            <w:tcBorders>
              <w:left w:val="single" w:sz="6" w:space="0" w:color="FF6600"/>
            </w:tcBorders>
            <w:vAlign w:val="center"/>
          </w:tcPr>
          <w:p w:rsidR="000355B9" w:rsidRPr="00E21E3A" w:rsidRDefault="000355B9" w:rsidP="00E21E3A">
            <w:pPr>
              <w:jc w:val="center"/>
              <w:rPr>
                <w:rFonts w:ascii="宋体" w:cs="宋体"/>
                <w:color w:val="000000"/>
                <w:sz w:val="15"/>
                <w:szCs w:val="15"/>
              </w:rPr>
            </w:pPr>
            <w:smartTag w:uri="urn:schemas-microsoft-com:office:smarttags" w:element="chsdate">
              <w:smartTagPr>
                <w:attr w:name="IsROCDate" w:val="False"/>
                <w:attr w:name="IsLunarDate" w:val="False"/>
                <w:attr w:name="Day" w:val="5"/>
                <w:attr w:name="Month" w:val="9"/>
                <w:attr w:name="Year" w:val="2014"/>
              </w:smartTagPr>
              <w:r w:rsidRPr="0090327A">
                <w:rPr>
                  <w:color w:val="000000"/>
                  <w:sz w:val="15"/>
                  <w:szCs w:val="15"/>
                </w:rPr>
                <w:t>2014/9/5</w:t>
              </w:r>
            </w:smartTag>
          </w:p>
        </w:tc>
      </w:tr>
      <w:tr w:rsidR="000355B9" w:rsidRPr="0090327A" w:rsidTr="008220BB">
        <w:trPr>
          <w:cantSplit/>
          <w:trHeight w:val="232"/>
          <w:jc w:val="center"/>
        </w:trPr>
        <w:tc>
          <w:tcPr>
            <w:tcW w:w="568" w:type="dxa"/>
            <w:tcBorders>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color w:val="000000"/>
                <w:sz w:val="15"/>
                <w:szCs w:val="15"/>
              </w:rPr>
              <w:t>000761</w:t>
            </w:r>
          </w:p>
        </w:tc>
        <w:tc>
          <w:tcPr>
            <w:tcW w:w="2210"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rFonts w:hint="eastAsia"/>
                <w:color w:val="000000"/>
                <w:sz w:val="15"/>
                <w:szCs w:val="15"/>
              </w:rPr>
              <w:t>国富健康优质生活股票</w:t>
            </w:r>
          </w:p>
        </w:tc>
        <w:tc>
          <w:tcPr>
            <w:tcW w:w="992"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rFonts w:hint="eastAsia"/>
                <w:color w:val="000000"/>
                <w:sz w:val="15"/>
                <w:szCs w:val="15"/>
              </w:rPr>
              <w:t>股票</w:t>
            </w:r>
            <w:r w:rsidRPr="0090327A">
              <w:rPr>
                <w:color w:val="000000"/>
                <w:sz w:val="15"/>
                <w:szCs w:val="15"/>
              </w:rPr>
              <w:t>-</w:t>
            </w:r>
            <w:r w:rsidRPr="0090327A">
              <w:rPr>
                <w:rFonts w:hint="eastAsia"/>
                <w:color w:val="000000"/>
                <w:sz w:val="15"/>
                <w:szCs w:val="15"/>
              </w:rPr>
              <w:t>主动型</w:t>
            </w:r>
          </w:p>
        </w:tc>
        <w:tc>
          <w:tcPr>
            <w:tcW w:w="850"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smartTag w:uri="urn:schemas-microsoft-com:office:smarttags" w:element="chsdate">
              <w:smartTagPr>
                <w:attr w:name="IsROCDate" w:val="False"/>
                <w:attr w:name="IsLunarDate" w:val="False"/>
                <w:attr w:name="Day" w:val="25"/>
                <w:attr w:name="Month" w:val="8"/>
                <w:attr w:name="Year" w:val="2014"/>
              </w:smartTagPr>
              <w:r w:rsidRPr="0090327A">
                <w:rPr>
                  <w:color w:val="000000"/>
                  <w:sz w:val="15"/>
                  <w:szCs w:val="15"/>
                </w:rPr>
                <w:t>2014/8/25</w:t>
              </w:r>
            </w:smartTag>
          </w:p>
        </w:tc>
        <w:tc>
          <w:tcPr>
            <w:tcW w:w="851"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smartTag w:uri="urn:schemas-microsoft-com:office:smarttags" w:element="chsdate">
              <w:smartTagPr>
                <w:attr w:name="IsROCDate" w:val="False"/>
                <w:attr w:name="IsLunarDate" w:val="False"/>
                <w:attr w:name="Day" w:val="19"/>
                <w:attr w:name="Month" w:val="9"/>
                <w:attr w:name="Year" w:val="2014"/>
              </w:smartTagPr>
              <w:r w:rsidRPr="0090327A">
                <w:rPr>
                  <w:color w:val="000000"/>
                  <w:sz w:val="15"/>
                  <w:szCs w:val="15"/>
                </w:rPr>
                <w:t>2014/9/19</w:t>
              </w:r>
            </w:smartTag>
          </w:p>
        </w:tc>
        <w:tc>
          <w:tcPr>
            <w:tcW w:w="142" w:type="dxa"/>
            <w:tcBorders>
              <w:left w:val="single" w:sz="6" w:space="0" w:color="FF6600"/>
              <w:right w:val="single" w:sz="6" w:space="0" w:color="FF6600"/>
            </w:tcBorders>
            <w:vAlign w:val="center"/>
          </w:tcPr>
          <w:p w:rsidR="000355B9" w:rsidRPr="0090327A" w:rsidRDefault="000355B9" w:rsidP="00D92D8A">
            <w:pPr>
              <w:jc w:val="center"/>
              <w:rPr>
                <w:rFonts w:ascii="宋体"/>
                <w:b/>
                <w:sz w:val="15"/>
                <w:szCs w:val="15"/>
              </w:rPr>
            </w:pPr>
          </w:p>
        </w:tc>
        <w:tc>
          <w:tcPr>
            <w:tcW w:w="625"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color w:val="000000"/>
                <w:sz w:val="15"/>
                <w:szCs w:val="15"/>
              </w:rPr>
              <w:t>000756</w:t>
            </w:r>
          </w:p>
        </w:tc>
        <w:tc>
          <w:tcPr>
            <w:tcW w:w="2210"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rFonts w:hint="eastAsia"/>
                <w:color w:val="000000"/>
                <w:sz w:val="15"/>
                <w:szCs w:val="15"/>
              </w:rPr>
              <w:t>建信潜力新蓝筹股票</w:t>
            </w:r>
          </w:p>
        </w:tc>
        <w:tc>
          <w:tcPr>
            <w:tcW w:w="992"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rFonts w:hint="eastAsia"/>
                <w:color w:val="000000"/>
                <w:sz w:val="15"/>
                <w:szCs w:val="15"/>
              </w:rPr>
              <w:t>股票</w:t>
            </w:r>
            <w:r w:rsidRPr="0090327A">
              <w:rPr>
                <w:color w:val="000000"/>
                <w:sz w:val="15"/>
                <w:szCs w:val="15"/>
              </w:rPr>
              <w:t>-</w:t>
            </w:r>
            <w:r w:rsidRPr="0090327A">
              <w:rPr>
                <w:rFonts w:hint="eastAsia"/>
                <w:color w:val="000000"/>
                <w:sz w:val="15"/>
                <w:szCs w:val="15"/>
              </w:rPr>
              <w:t>主动型</w:t>
            </w:r>
          </w:p>
        </w:tc>
        <w:tc>
          <w:tcPr>
            <w:tcW w:w="850"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smartTag w:uri="urn:schemas-microsoft-com:office:smarttags" w:element="chsdate">
              <w:smartTagPr>
                <w:attr w:name="IsROCDate" w:val="False"/>
                <w:attr w:name="IsLunarDate" w:val="False"/>
                <w:attr w:name="Day" w:val="13"/>
                <w:attr w:name="Month" w:val="8"/>
                <w:attr w:name="Year" w:val="2014"/>
              </w:smartTagPr>
              <w:r w:rsidRPr="0090327A">
                <w:rPr>
                  <w:color w:val="000000"/>
                  <w:sz w:val="15"/>
                  <w:szCs w:val="15"/>
                </w:rPr>
                <w:t>2014/8/13</w:t>
              </w:r>
            </w:smartTag>
          </w:p>
        </w:tc>
        <w:tc>
          <w:tcPr>
            <w:tcW w:w="851" w:type="dxa"/>
            <w:tcBorders>
              <w:left w:val="single" w:sz="6" w:space="0" w:color="FF6600"/>
            </w:tcBorders>
            <w:vAlign w:val="center"/>
          </w:tcPr>
          <w:p w:rsidR="000355B9" w:rsidRPr="00E21E3A" w:rsidRDefault="000355B9" w:rsidP="00E21E3A">
            <w:pPr>
              <w:jc w:val="center"/>
              <w:rPr>
                <w:rFonts w:ascii="宋体" w:cs="宋体"/>
                <w:color w:val="000000"/>
                <w:sz w:val="15"/>
                <w:szCs w:val="15"/>
              </w:rPr>
            </w:pPr>
            <w:smartTag w:uri="urn:schemas-microsoft-com:office:smarttags" w:element="chsdate">
              <w:smartTagPr>
                <w:attr w:name="IsROCDate" w:val="False"/>
                <w:attr w:name="IsLunarDate" w:val="False"/>
                <w:attr w:name="Day" w:val="5"/>
                <w:attr w:name="Month" w:val="9"/>
                <w:attr w:name="Year" w:val="2014"/>
              </w:smartTagPr>
              <w:r w:rsidRPr="0090327A">
                <w:rPr>
                  <w:color w:val="000000"/>
                  <w:sz w:val="15"/>
                  <w:szCs w:val="15"/>
                </w:rPr>
                <w:t>2014/9/5</w:t>
              </w:r>
            </w:smartTag>
          </w:p>
        </w:tc>
      </w:tr>
      <w:tr w:rsidR="000355B9" w:rsidRPr="0090327A" w:rsidTr="008220BB">
        <w:trPr>
          <w:cantSplit/>
          <w:trHeight w:val="232"/>
          <w:jc w:val="center"/>
        </w:trPr>
        <w:tc>
          <w:tcPr>
            <w:tcW w:w="568" w:type="dxa"/>
            <w:tcBorders>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color w:val="000000"/>
                <w:sz w:val="15"/>
                <w:szCs w:val="15"/>
              </w:rPr>
              <w:t>000780</w:t>
            </w:r>
          </w:p>
        </w:tc>
        <w:tc>
          <w:tcPr>
            <w:tcW w:w="2210"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rFonts w:hint="eastAsia"/>
                <w:color w:val="000000"/>
                <w:sz w:val="15"/>
                <w:szCs w:val="15"/>
              </w:rPr>
              <w:t>鹏华医疗保健股票</w:t>
            </w:r>
          </w:p>
        </w:tc>
        <w:tc>
          <w:tcPr>
            <w:tcW w:w="992"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rFonts w:hint="eastAsia"/>
                <w:color w:val="000000"/>
                <w:sz w:val="15"/>
                <w:szCs w:val="15"/>
              </w:rPr>
              <w:t>股票</w:t>
            </w:r>
            <w:r w:rsidRPr="0090327A">
              <w:rPr>
                <w:color w:val="000000"/>
                <w:sz w:val="15"/>
                <w:szCs w:val="15"/>
              </w:rPr>
              <w:t>-</w:t>
            </w:r>
            <w:r w:rsidRPr="0090327A">
              <w:rPr>
                <w:rFonts w:hint="eastAsia"/>
                <w:color w:val="000000"/>
                <w:sz w:val="15"/>
                <w:szCs w:val="15"/>
              </w:rPr>
              <w:t>主动型</w:t>
            </w:r>
          </w:p>
        </w:tc>
        <w:tc>
          <w:tcPr>
            <w:tcW w:w="850"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smartTag w:uri="urn:schemas-microsoft-com:office:smarttags" w:element="chsdate">
              <w:smartTagPr>
                <w:attr w:name="IsROCDate" w:val="False"/>
                <w:attr w:name="IsLunarDate" w:val="False"/>
                <w:attr w:name="Day" w:val="25"/>
                <w:attr w:name="Month" w:val="8"/>
                <w:attr w:name="Year" w:val="2014"/>
              </w:smartTagPr>
              <w:r w:rsidRPr="0090327A">
                <w:rPr>
                  <w:color w:val="000000"/>
                  <w:sz w:val="15"/>
                  <w:szCs w:val="15"/>
                </w:rPr>
                <w:t>2014/8/25</w:t>
              </w:r>
            </w:smartTag>
          </w:p>
        </w:tc>
        <w:tc>
          <w:tcPr>
            <w:tcW w:w="851"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smartTag w:uri="urn:schemas-microsoft-com:office:smarttags" w:element="chsdate">
              <w:smartTagPr>
                <w:attr w:name="IsROCDate" w:val="False"/>
                <w:attr w:name="IsLunarDate" w:val="False"/>
                <w:attr w:name="Day" w:val="19"/>
                <w:attr w:name="Month" w:val="9"/>
                <w:attr w:name="Year" w:val="2014"/>
              </w:smartTagPr>
              <w:r w:rsidRPr="0090327A">
                <w:rPr>
                  <w:color w:val="000000"/>
                  <w:sz w:val="15"/>
                  <w:szCs w:val="15"/>
                </w:rPr>
                <w:t>2014/9/19</w:t>
              </w:r>
            </w:smartTag>
          </w:p>
        </w:tc>
        <w:tc>
          <w:tcPr>
            <w:tcW w:w="142" w:type="dxa"/>
            <w:tcBorders>
              <w:left w:val="single" w:sz="6" w:space="0" w:color="FF6600"/>
              <w:right w:val="single" w:sz="6" w:space="0" w:color="FF6600"/>
            </w:tcBorders>
            <w:vAlign w:val="center"/>
          </w:tcPr>
          <w:p w:rsidR="000355B9" w:rsidRPr="0090327A" w:rsidRDefault="000355B9" w:rsidP="00D92D8A">
            <w:pPr>
              <w:jc w:val="center"/>
              <w:rPr>
                <w:rFonts w:ascii="宋体"/>
                <w:b/>
                <w:sz w:val="15"/>
                <w:szCs w:val="15"/>
              </w:rPr>
            </w:pPr>
          </w:p>
        </w:tc>
        <w:tc>
          <w:tcPr>
            <w:tcW w:w="625"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color w:val="000000"/>
                <w:sz w:val="15"/>
                <w:szCs w:val="15"/>
              </w:rPr>
              <w:t>000752</w:t>
            </w:r>
          </w:p>
        </w:tc>
        <w:tc>
          <w:tcPr>
            <w:tcW w:w="2210"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rFonts w:hint="eastAsia"/>
                <w:color w:val="000000"/>
                <w:sz w:val="15"/>
                <w:szCs w:val="15"/>
              </w:rPr>
              <w:t>博时优势收益信用债债券</w:t>
            </w:r>
          </w:p>
        </w:tc>
        <w:tc>
          <w:tcPr>
            <w:tcW w:w="992"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rFonts w:hint="eastAsia"/>
                <w:color w:val="000000"/>
                <w:sz w:val="15"/>
                <w:szCs w:val="15"/>
              </w:rPr>
              <w:t>债券</w:t>
            </w:r>
            <w:r w:rsidRPr="0090327A">
              <w:rPr>
                <w:color w:val="000000"/>
                <w:sz w:val="15"/>
                <w:szCs w:val="15"/>
              </w:rPr>
              <w:t>-</w:t>
            </w:r>
            <w:r w:rsidRPr="0090327A">
              <w:rPr>
                <w:rFonts w:hint="eastAsia"/>
                <w:color w:val="000000"/>
                <w:sz w:val="15"/>
                <w:szCs w:val="15"/>
              </w:rPr>
              <w:t>纯债基金</w:t>
            </w:r>
          </w:p>
        </w:tc>
        <w:tc>
          <w:tcPr>
            <w:tcW w:w="850"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smartTag w:uri="urn:schemas-microsoft-com:office:smarttags" w:element="chsdate">
              <w:smartTagPr>
                <w:attr w:name="IsROCDate" w:val="False"/>
                <w:attr w:name="IsLunarDate" w:val="False"/>
                <w:attr w:name="Day" w:val="14"/>
                <w:attr w:name="Month" w:val="8"/>
                <w:attr w:name="Year" w:val="2014"/>
              </w:smartTagPr>
              <w:r w:rsidRPr="0090327A">
                <w:rPr>
                  <w:color w:val="000000"/>
                  <w:sz w:val="15"/>
                  <w:szCs w:val="15"/>
                </w:rPr>
                <w:t>2014/8/14</w:t>
              </w:r>
            </w:smartTag>
          </w:p>
        </w:tc>
        <w:tc>
          <w:tcPr>
            <w:tcW w:w="851" w:type="dxa"/>
            <w:tcBorders>
              <w:left w:val="single" w:sz="6" w:space="0" w:color="FF6600"/>
            </w:tcBorders>
            <w:vAlign w:val="center"/>
          </w:tcPr>
          <w:p w:rsidR="000355B9" w:rsidRPr="00E21E3A" w:rsidRDefault="000355B9" w:rsidP="00E21E3A">
            <w:pPr>
              <w:jc w:val="center"/>
              <w:rPr>
                <w:rFonts w:ascii="宋体" w:cs="宋体"/>
                <w:color w:val="000000"/>
                <w:sz w:val="15"/>
                <w:szCs w:val="15"/>
              </w:rPr>
            </w:pPr>
            <w:smartTag w:uri="urn:schemas-microsoft-com:office:smarttags" w:element="chsdate">
              <w:smartTagPr>
                <w:attr w:name="IsROCDate" w:val="False"/>
                <w:attr w:name="IsLunarDate" w:val="False"/>
                <w:attr w:name="Day" w:val="10"/>
                <w:attr w:name="Month" w:val="9"/>
                <w:attr w:name="Year" w:val="2014"/>
              </w:smartTagPr>
              <w:r w:rsidRPr="0090327A">
                <w:rPr>
                  <w:color w:val="000000"/>
                  <w:sz w:val="15"/>
                  <w:szCs w:val="15"/>
                </w:rPr>
                <w:t>2014/9/10</w:t>
              </w:r>
            </w:smartTag>
          </w:p>
        </w:tc>
      </w:tr>
      <w:tr w:rsidR="000355B9" w:rsidRPr="0090327A" w:rsidTr="008220BB">
        <w:trPr>
          <w:cantSplit/>
          <w:trHeight w:val="232"/>
          <w:jc w:val="center"/>
        </w:trPr>
        <w:tc>
          <w:tcPr>
            <w:tcW w:w="568" w:type="dxa"/>
            <w:tcBorders>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color w:val="000000"/>
                <w:sz w:val="15"/>
                <w:szCs w:val="15"/>
              </w:rPr>
              <w:t>000732</w:t>
            </w:r>
          </w:p>
        </w:tc>
        <w:tc>
          <w:tcPr>
            <w:tcW w:w="2210"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rFonts w:hint="eastAsia"/>
                <w:color w:val="000000"/>
                <w:sz w:val="15"/>
                <w:szCs w:val="15"/>
              </w:rPr>
              <w:t>中原英石货币</w:t>
            </w:r>
            <w:r w:rsidRPr="0090327A">
              <w:rPr>
                <w:color w:val="000000"/>
                <w:sz w:val="15"/>
                <w:szCs w:val="15"/>
              </w:rPr>
              <w:t>A</w:t>
            </w:r>
          </w:p>
        </w:tc>
        <w:tc>
          <w:tcPr>
            <w:tcW w:w="992"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rFonts w:hint="eastAsia"/>
                <w:color w:val="000000"/>
                <w:sz w:val="15"/>
                <w:szCs w:val="15"/>
              </w:rPr>
              <w:t>货币市场基金</w:t>
            </w:r>
          </w:p>
        </w:tc>
        <w:tc>
          <w:tcPr>
            <w:tcW w:w="850"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smartTag w:uri="urn:schemas-microsoft-com:office:smarttags" w:element="chsdate">
              <w:smartTagPr>
                <w:attr w:name="IsROCDate" w:val="False"/>
                <w:attr w:name="IsLunarDate" w:val="False"/>
                <w:attr w:name="Day" w:val="25"/>
                <w:attr w:name="Month" w:val="8"/>
                <w:attr w:name="Year" w:val="2014"/>
              </w:smartTagPr>
              <w:r w:rsidRPr="0090327A">
                <w:rPr>
                  <w:color w:val="000000"/>
                  <w:sz w:val="15"/>
                  <w:szCs w:val="15"/>
                </w:rPr>
                <w:t>2014/8/25</w:t>
              </w:r>
            </w:smartTag>
          </w:p>
        </w:tc>
        <w:tc>
          <w:tcPr>
            <w:tcW w:w="851"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smartTag w:uri="urn:schemas-microsoft-com:office:smarttags" w:element="chsdate">
              <w:smartTagPr>
                <w:attr w:name="IsROCDate" w:val="False"/>
                <w:attr w:name="IsLunarDate" w:val="False"/>
                <w:attr w:name="Day" w:val="5"/>
                <w:attr w:name="Month" w:val="9"/>
                <w:attr w:name="Year" w:val="2014"/>
              </w:smartTagPr>
              <w:r w:rsidRPr="0090327A">
                <w:rPr>
                  <w:color w:val="000000"/>
                  <w:sz w:val="15"/>
                  <w:szCs w:val="15"/>
                </w:rPr>
                <w:t>2014/9/5</w:t>
              </w:r>
            </w:smartTag>
          </w:p>
        </w:tc>
        <w:tc>
          <w:tcPr>
            <w:tcW w:w="142" w:type="dxa"/>
            <w:tcBorders>
              <w:left w:val="single" w:sz="6" w:space="0" w:color="FF6600"/>
              <w:right w:val="single" w:sz="6" w:space="0" w:color="FF6600"/>
            </w:tcBorders>
            <w:vAlign w:val="center"/>
          </w:tcPr>
          <w:p w:rsidR="000355B9" w:rsidRPr="0090327A" w:rsidRDefault="000355B9" w:rsidP="00D92D8A">
            <w:pPr>
              <w:jc w:val="center"/>
              <w:rPr>
                <w:rFonts w:ascii="宋体"/>
                <w:b/>
                <w:sz w:val="15"/>
                <w:szCs w:val="15"/>
              </w:rPr>
            </w:pPr>
          </w:p>
        </w:tc>
        <w:tc>
          <w:tcPr>
            <w:tcW w:w="625"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color w:val="000000"/>
                <w:sz w:val="15"/>
                <w:szCs w:val="15"/>
              </w:rPr>
              <w:t>000753</w:t>
            </w:r>
          </w:p>
        </w:tc>
        <w:tc>
          <w:tcPr>
            <w:tcW w:w="2210"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rFonts w:hint="eastAsia"/>
                <w:color w:val="000000"/>
                <w:sz w:val="15"/>
                <w:szCs w:val="15"/>
              </w:rPr>
              <w:t>华宝兴业量化对冲混合</w:t>
            </w:r>
            <w:r w:rsidRPr="0090327A">
              <w:rPr>
                <w:color w:val="000000"/>
                <w:sz w:val="15"/>
                <w:szCs w:val="15"/>
              </w:rPr>
              <w:t>A</w:t>
            </w:r>
          </w:p>
        </w:tc>
        <w:tc>
          <w:tcPr>
            <w:tcW w:w="992"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rFonts w:hint="eastAsia"/>
                <w:color w:val="000000"/>
                <w:sz w:val="15"/>
                <w:szCs w:val="15"/>
              </w:rPr>
              <w:t>混合</w:t>
            </w:r>
            <w:r w:rsidRPr="0090327A">
              <w:rPr>
                <w:color w:val="000000"/>
                <w:sz w:val="15"/>
                <w:szCs w:val="15"/>
              </w:rPr>
              <w:t>-</w:t>
            </w:r>
            <w:r w:rsidRPr="0090327A">
              <w:rPr>
                <w:rFonts w:hint="eastAsia"/>
                <w:color w:val="000000"/>
                <w:sz w:val="15"/>
                <w:szCs w:val="15"/>
              </w:rPr>
              <w:t>多空对冲策略</w:t>
            </w:r>
          </w:p>
        </w:tc>
        <w:tc>
          <w:tcPr>
            <w:tcW w:w="850"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smartTag w:uri="urn:schemas-microsoft-com:office:smarttags" w:element="chsdate">
              <w:smartTagPr>
                <w:attr w:name="IsROCDate" w:val="False"/>
                <w:attr w:name="IsLunarDate" w:val="False"/>
                <w:attr w:name="Day" w:val="18"/>
                <w:attr w:name="Month" w:val="8"/>
                <w:attr w:name="Year" w:val="2014"/>
              </w:smartTagPr>
              <w:r w:rsidRPr="0090327A">
                <w:rPr>
                  <w:color w:val="000000"/>
                  <w:sz w:val="15"/>
                  <w:szCs w:val="15"/>
                </w:rPr>
                <w:t>2014/8/18</w:t>
              </w:r>
            </w:smartTag>
          </w:p>
        </w:tc>
        <w:tc>
          <w:tcPr>
            <w:tcW w:w="851" w:type="dxa"/>
            <w:tcBorders>
              <w:left w:val="single" w:sz="6" w:space="0" w:color="FF6600"/>
            </w:tcBorders>
            <w:vAlign w:val="center"/>
          </w:tcPr>
          <w:p w:rsidR="000355B9" w:rsidRPr="00E21E3A" w:rsidRDefault="000355B9" w:rsidP="00E21E3A">
            <w:pPr>
              <w:jc w:val="center"/>
              <w:rPr>
                <w:rFonts w:ascii="宋体" w:cs="宋体"/>
                <w:color w:val="000000"/>
                <w:sz w:val="15"/>
                <w:szCs w:val="15"/>
              </w:rPr>
            </w:pPr>
            <w:smartTag w:uri="urn:schemas-microsoft-com:office:smarttags" w:element="chsdate">
              <w:smartTagPr>
                <w:attr w:name="IsROCDate" w:val="False"/>
                <w:attr w:name="IsLunarDate" w:val="False"/>
                <w:attr w:name="Day" w:val="12"/>
                <w:attr w:name="Month" w:val="9"/>
                <w:attr w:name="Year" w:val="2014"/>
              </w:smartTagPr>
              <w:r w:rsidRPr="0090327A">
                <w:rPr>
                  <w:color w:val="000000"/>
                  <w:sz w:val="15"/>
                  <w:szCs w:val="15"/>
                </w:rPr>
                <w:t>2014/9/12</w:t>
              </w:r>
            </w:smartTag>
          </w:p>
        </w:tc>
      </w:tr>
      <w:tr w:rsidR="000355B9" w:rsidRPr="0090327A" w:rsidTr="008220BB">
        <w:trPr>
          <w:cantSplit/>
          <w:trHeight w:val="232"/>
          <w:jc w:val="center"/>
        </w:trPr>
        <w:tc>
          <w:tcPr>
            <w:tcW w:w="568" w:type="dxa"/>
            <w:tcBorders>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color w:val="000000"/>
                <w:sz w:val="15"/>
                <w:szCs w:val="15"/>
              </w:rPr>
              <w:t>169101</w:t>
            </w:r>
          </w:p>
        </w:tc>
        <w:tc>
          <w:tcPr>
            <w:tcW w:w="2210"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rFonts w:hint="eastAsia"/>
                <w:color w:val="000000"/>
                <w:sz w:val="15"/>
                <w:szCs w:val="15"/>
              </w:rPr>
              <w:t>东方红睿丰混合</w:t>
            </w:r>
          </w:p>
        </w:tc>
        <w:tc>
          <w:tcPr>
            <w:tcW w:w="992"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rFonts w:hint="eastAsia"/>
                <w:color w:val="000000"/>
                <w:sz w:val="15"/>
                <w:szCs w:val="15"/>
              </w:rPr>
              <w:t>混合</w:t>
            </w:r>
            <w:r w:rsidRPr="0090327A">
              <w:rPr>
                <w:color w:val="000000"/>
                <w:sz w:val="15"/>
                <w:szCs w:val="15"/>
              </w:rPr>
              <w:t>-</w:t>
            </w:r>
            <w:r w:rsidRPr="0090327A">
              <w:rPr>
                <w:rFonts w:hint="eastAsia"/>
                <w:color w:val="000000"/>
                <w:sz w:val="15"/>
                <w:szCs w:val="15"/>
              </w:rPr>
              <w:t>灵活型</w:t>
            </w:r>
          </w:p>
        </w:tc>
        <w:tc>
          <w:tcPr>
            <w:tcW w:w="850"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smartTag w:uri="urn:schemas-microsoft-com:office:smarttags" w:element="chsdate">
              <w:smartTagPr>
                <w:attr w:name="IsROCDate" w:val="False"/>
                <w:attr w:name="IsLunarDate" w:val="False"/>
                <w:attr w:name="Day" w:val="25"/>
                <w:attr w:name="Month" w:val="8"/>
                <w:attr w:name="Year" w:val="2014"/>
              </w:smartTagPr>
              <w:r w:rsidRPr="0090327A">
                <w:rPr>
                  <w:color w:val="000000"/>
                  <w:sz w:val="15"/>
                  <w:szCs w:val="15"/>
                </w:rPr>
                <w:t>2014/8/25</w:t>
              </w:r>
            </w:smartTag>
          </w:p>
        </w:tc>
        <w:tc>
          <w:tcPr>
            <w:tcW w:w="851"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smartTag w:uri="urn:schemas-microsoft-com:office:smarttags" w:element="chsdate">
              <w:smartTagPr>
                <w:attr w:name="IsROCDate" w:val="False"/>
                <w:attr w:name="IsLunarDate" w:val="False"/>
                <w:attr w:name="Day" w:val="23"/>
                <w:attr w:name="Month" w:val="9"/>
                <w:attr w:name="Year" w:val="2014"/>
              </w:smartTagPr>
              <w:r w:rsidRPr="0090327A">
                <w:rPr>
                  <w:color w:val="000000"/>
                  <w:sz w:val="15"/>
                  <w:szCs w:val="15"/>
                </w:rPr>
                <w:t>2014/9/23</w:t>
              </w:r>
            </w:smartTag>
          </w:p>
        </w:tc>
        <w:tc>
          <w:tcPr>
            <w:tcW w:w="142" w:type="dxa"/>
            <w:tcBorders>
              <w:left w:val="single" w:sz="6" w:space="0" w:color="FF6600"/>
              <w:right w:val="single" w:sz="6" w:space="0" w:color="FF6600"/>
            </w:tcBorders>
            <w:vAlign w:val="center"/>
          </w:tcPr>
          <w:p w:rsidR="000355B9" w:rsidRPr="0090327A" w:rsidRDefault="000355B9" w:rsidP="00D92D8A">
            <w:pPr>
              <w:jc w:val="center"/>
              <w:rPr>
                <w:rFonts w:ascii="宋体"/>
                <w:b/>
                <w:sz w:val="15"/>
                <w:szCs w:val="15"/>
              </w:rPr>
            </w:pPr>
          </w:p>
        </w:tc>
        <w:tc>
          <w:tcPr>
            <w:tcW w:w="625"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color w:val="000000"/>
                <w:sz w:val="15"/>
                <w:szCs w:val="15"/>
              </w:rPr>
              <w:t>000714</w:t>
            </w:r>
          </w:p>
        </w:tc>
        <w:tc>
          <w:tcPr>
            <w:tcW w:w="2210"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rFonts w:hint="eastAsia"/>
                <w:color w:val="000000"/>
                <w:sz w:val="15"/>
                <w:szCs w:val="15"/>
              </w:rPr>
              <w:t>诺安稳健回报混合</w:t>
            </w:r>
          </w:p>
        </w:tc>
        <w:tc>
          <w:tcPr>
            <w:tcW w:w="992"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rFonts w:hint="eastAsia"/>
                <w:color w:val="000000"/>
                <w:sz w:val="15"/>
                <w:szCs w:val="15"/>
              </w:rPr>
              <w:t>混合</w:t>
            </w:r>
            <w:r w:rsidRPr="0090327A">
              <w:rPr>
                <w:color w:val="000000"/>
                <w:sz w:val="15"/>
                <w:szCs w:val="15"/>
              </w:rPr>
              <w:t>-</w:t>
            </w:r>
            <w:r w:rsidRPr="0090327A">
              <w:rPr>
                <w:rFonts w:hint="eastAsia"/>
                <w:color w:val="000000"/>
                <w:sz w:val="15"/>
                <w:szCs w:val="15"/>
              </w:rPr>
              <w:t>灵活型</w:t>
            </w:r>
          </w:p>
        </w:tc>
        <w:tc>
          <w:tcPr>
            <w:tcW w:w="850"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smartTag w:uri="urn:schemas-microsoft-com:office:smarttags" w:element="chsdate">
              <w:smartTagPr>
                <w:attr w:name="IsROCDate" w:val="False"/>
                <w:attr w:name="IsLunarDate" w:val="False"/>
                <w:attr w:name="Day" w:val="13"/>
                <w:attr w:name="Month" w:val="8"/>
                <w:attr w:name="Year" w:val="2014"/>
              </w:smartTagPr>
              <w:r w:rsidRPr="0090327A">
                <w:rPr>
                  <w:color w:val="000000"/>
                  <w:sz w:val="15"/>
                  <w:szCs w:val="15"/>
                </w:rPr>
                <w:t>2014/8/13</w:t>
              </w:r>
            </w:smartTag>
          </w:p>
        </w:tc>
        <w:tc>
          <w:tcPr>
            <w:tcW w:w="851" w:type="dxa"/>
            <w:tcBorders>
              <w:left w:val="single" w:sz="6" w:space="0" w:color="FF6600"/>
            </w:tcBorders>
            <w:vAlign w:val="center"/>
          </w:tcPr>
          <w:p w:rsidR="000355B9" w:rsidRPr="00E21E3A" w:rsidRDefault="000355B9" w:rsidP="00E21E3A">
            <w:pPr>
              <w:jc w:val="center"/>
              <w:rPr>
                <w:rFonts w:ascii="宋体" w:cs="宋体"/>
                <w:color w:val="000000"/>
                <w:sz w:val="15"/>
                <w:szCs w:val="15"/>
              </w:rPr>
            </w:pPr>
            <w:smartTag w:uri="urn:schemas-microsoft-com:office:smarttags" w:element="chsdate">
              <w:smartTagPr>
                <w:attr w:name="IsROCDate" w:val="False"/>
                <w:attr w:name="IsLunarDate" w:val="False"/>
                <w:attr w:name="Day" w:val="10"/>
                <w:attr w:name="Month" w:val="9"/>
                <w:attr w:name="Year" w:val="2014"/>
              </w:smartTagPr>
              <w:r w:rsidRPr="0090327A">
                <w:rPr>
                  <w:color w:val="000000"/>
                  <w:sz w:val="15"/>
                  <w:szCs w:val="15"/>
                </w:rPr>
                <w:t>2014/9/10</w:t>
              </w:r>
            </w:smartTag>
          </w:p>
        </w:tc>
      </w:tr>
      <w:tr w:rsidR="000355B9" w:rsidRPr="0090327A" w:rsidTr="008220BB">
        <w:trPr>
          <w:cantSplit/>
          <w:trHeight w:val="232"/>
          <w:jc w:val="center"/>
        </w:trPr>
        <w:tc>
          <w:tcPr>
            <w:tcW w:w="568" w:type="dxa"/>
            <w:tcBorders>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color w:val="000000"/>
                <w:sz w:val="15"/>
                <w:szCs w:val="15"/>
              </w:rPr>
              <w:t>160628</w:t>
            </w:r>
          </w:p>
        </w:tc>
        <w:tc>
          <w:tcPr>
            <w:tcW w:w="2210"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rFonts w:hint="eastAsia"/>
                <w:color w:val="000000"/>
                <w:sz w:val="15"/>
                <w:szCs w:val="15"/>
              </w:rPr>
              <w:t>鹏华地产分级</w:t>
            </w:r>
          </w:p>
        </w:tc>
        <w:tc>
          <w:tcPr>
            <w:tcW w:w="992"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rFonts w:hint="eastAsia"/>
                <w:color w:val="000000"/>
                <w:sz w:val="15"/>
                <w:szCs w:val="15"/>
              </w:rPr>
              <w:t>股票</w:t>
            </w:r>
            <w:r w:rsidRPr="0090327A">
              <w:rPr>
                <w:color w:val="000000"/>
                <w:sz w:val="15"/>
                <w:szCs w:val="15"/>
              </w:rPr>
              <w:t>-</w:t>
            </w:r>
            <w:r w:rsidRPr="0090327A">
              <w:rPr>
                <w:rFonts w:hint="eastAsia"/>
                <w:color w:val="000000"/>
                <w:sz w:val="15"/>
                <w:szCs w:val="15"/>
              </w:rPr>
              <w:t>指数型</w:t>
            </w:r>
          </w:p>
        </w:tc>
        <w:tc>
          <w:tcPr>
            <w:tcW w:w="850"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smartTag w:uri="urn:schemas-microsoft-com:office:smarttags" w:element="chsdate">
              <w:smartTagPr>
                <w:attr w:name="IsROCDate" w:val="False"/>
                <w:attr w:name="IsLunarDate" w:val="False"/>
                <w:attr w:name="Day" w:val="21"/>
                <w:attr w:name="Month" w:val="8"/>
                <w:attr w:name="Year" w:val="2014"/>
              </w:smartTagPr>
              <w:r w:rsidRPr="0090327A">
                <w:rPr>
                  <w:color w:val="000000"/>
                  <w:sz w:val="15"/>
                  <w:szCs w:val="15"/>
                </w:rPr>
                <w:t>2014/8/21</w:t>
              </w:r>
            </w:smartTag>
          </w:p>
        </w:tc>
        <w:tc>
          <w:tcPr>
            <w:tcW w:w="851"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smartTag w:uri="urn:schemas-microsoft-com:office:smarttags" w:element="chsdate">
              <w:smartTagPr>
                <w:attr w:name="IsROCDate" w:val="False"/>
                <w:attr w:name="IsLunarDate" w:val="False"/>
                <w:attr w:name="Day" w:val="5"/>
                <w:attr w:name="Month" w:val="9"/>
                <w:attr w:name="Year" w:val="2014"/>
              </w:smartTagPr>
              <w:r w:rsidRPr="0090327A">
                <w:rPr>
                  <w:color w:val="000000"/>
                  <w:sz w:val="15"/>
                  <w:szCs w:val="15"/>
                </w:rPr>
                <w:t>2014/9/5</w:t>
              </w:r>
            </w:smartTag>
          </w:p>
        </w:tc>
        <w:tc>
          <w:tcPr>
            <w:tcW w:w="142" w:type="dxa"/>
            <w:tcBorders>
              <w:left w:val="single" w:sz="6" w:space="0" w:color="FF6600"/>
              <w:right w:val="single" w:sz="6" w:space="0" w:color="FF6600"/>
            </w:tcBorders>
            <w:vAlign w:val="center"/>
          </w:tcPr>
          <w:p w:rsidR="000355B9" w:rsidRPr="0090327A" w:rsidRDefault="000355B9" w:rsidP="00D92D8A">
            <w:pPr>
              <w:jc w:val="center"/>
              <w:rPr>
                <w:rFonts w:ascii="宋体"/>
                <w:b/>
                <w:sz w:val="15"/>
                <w:szCs w:val="15"/>
              </w:rPr>
            </w:pPr>
          </w:p>
        </w:tc>
        <w:tc>
          <w:tcPr>
            <w:tcW w:w="625"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color w:val="000000"/>
                <w:sz w:val="15"/>
                <w:szCs w:val="15"/>
              </w:rPr>
              <w:t>000598</w:t>
            </w:r>
          </w:p>
        </w:tc>
        <w:tc>
          <w:tcPr>
            <w:tcW w:w="2210"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rFonts w:hint="eastAsia"/>
                <w:color w:val="000000"/>
                <w:sz w:val="15"/>
                <w:szCs w:val="15"/>
              </w:rPr>
              <w:t>长盛生态环境主题混合</w:t>
            </w:r>
          </w:p>
        </w:tc>
        <w:tc>
          <w:tcPr>
            <w:tcW w:w="992"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rFonts w:hint="eastAsia"/>
                <w:color w:val="000000"/>
                <w:sz w:val="15"/>
                <w:szCs w:val="15"/>
              </w:rPr>
              <w:t>混合</w:t>
            </w:r>
            <w:r w:rsidRPr="0090327A">
              <w:rPr>
                <w:color w:val="000000"/>
                <w:sz w:val="15"/>
                <w:szCs w:val="15"/>
              </w:rPr>
              <w:t>-</w:t>
            </w:r>
            <w:r w:rsidRPr="0090327A">
              <w:rPr>
                <w:rFonts w:hint="eastAsia"/>
                <w:color w:val="000000"/>
                <w:sz w:val="15"/>
                <w:szCs w:val="15"/>
              </w:rPr>
              <w:t>灵活型</w:t>
            </w:r>
          </w:p>
        </w:tc>
        <w:tc>
          <w:tcPr>
            <w:tcW w:w="850"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smartTag w:uri="urn:schemas-microsoft-com:office:smarttags" w:element="chsdate">
              <w:smartTagPr>
                <w:attr w:name="IsROCDate" w:val="False"/>
                <w:attr w:name="IsLunarDate" w:val="False"/>
                <w:attr w:name="Day" w:val="11"/>
                <w:attr w:name="Month" w:val="8"/>
                <w:attr w:name="Year" w:val="2014"/>
              </w:smartTagPr>
              <w:r w:rsidRPr="0090327A">
                <w:rPr>
                  <w:color w:val="000000"/>
                  <w:sz w:val="15"/>
                  <w:szCs w:val="15"/>
                </w:rPr>
                <w:t>2014/8/11</w:t>
              </w:r>
            </w:smartTag>
          </w:p>
        </w:tc>
        <w:tc>
          <w:tcPr>
            <w:tcW w:w="851" w:type="dxa"/>
            <w:tcBorders>
              <w:left w:val="single" w:sz="6" w:space="0" w:color="FF6600"/>
            </w:tcBorders>
            <w:vAlign w:val="center"/>
          </w:tcPr>
          <w:p w:rsidR="000355B9" w:rsidRPr="00E21E3A" w:rsidRDefault="000355B9" w:rsidP="00E21E3A">
            <w:pPr>
              <w:jc w:val="center"/>
              <w:rPr>
                <w:rFonts w:ascii="宋体" w:cs="宋体"/>
                <w:color w:val="000000"/>
                <w:sz w:val="15"/>
                <w:szCs w:val="15"/>
              </w:rPr>
            </w:pPr>
            <w:smartTag w:uri="urn:schemas-microsoft-com:office:smarttags" w:element="chsdate">
              <w:smartTagPr>
                <w:attr w:name="IsROCDate" w:val="False"/>
                <w:attr w:name="IsLunarDate" w:val="False"/>
                <w:attr w:name="Day" w:val="5"/>
                <w:attr w:name="Month" w:val="9"/>
                <w:attr w:name="Year" w:val="2014"/>
              </w:smartTagPr>
              <w:r w:rsidRPr="0090327A">
                <w:rPr>
                  <w:color w:val="000000"/>
                  <w:sz w:val="15"/>
                  <w:szCs w:val="15"/>
                </w:rPr>
                <w:t>2014/9/5</w:t>
              </w:r>
            </w:smartTag>
          </w:p>
        </w:tc>
      </w:tr>
      <w:tr w:rsidR="000355B9" w:rsidRPr="0090327A" w:rsidTr="008220BB">
        <w:trPr>
          <w:cantSplit/>
          <w:trHeight w:val="232"/>
          <w:jc w:val="center"/>
        </w:trPr>
        <w:tc>
          <w:tcPr>
            <w:tcW w:w="568" w:type="dxa"/>
            <w:tcBorders>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color w:val="000000"/>
                <w:sz w:val="15"/>
                <w:szCs w:val="15"/>
              </w:rPr>
              <w:t>000763</w:t>
            </w:r>
          </w:p>
        </w:tc>
        <w:tc>
          <w:tcPr>
            <w:tcW w:w="2210"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rFonts w:hint="eastAsia"/>
                <w:color w:val="000000"/>
                <w:sz w:val="15"/>
                <w:szCs w:val="15"/>
              </w:rPr>
              <w:t>工银新财富灵活配置混合</w:t>
            </w:r>
          </w:p>
        </w:tc>
        <w:tc>
          <w:tcPr>
            <w:tcW w:w="992"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rFonts w:hint="eastAsia"/>
                <w:color w:val="000000"/>
                <w:sz w:val="15"/>
                <w:szCs w:val="15"/>
              </w:rPr>
              <w:t>混合</w:t>
            </w:r>
            <w:r w:rsidRPr="0090327A">
              <w:rPr>
                <w:color w:val="000000"/>
                <w:sz w:val="15"/>
                <w:szCs w:val="15"/>
              </w:rPr>
              <w:t>-</w:t>
            </w:r>
            <w:r w:rsidRPr="0090327A">
              <w:rPr>
                <w:rFonts w:hint="eastAsia"/>
                <w:color w:val="000000"/>
                <w:sz w:val="15"/>
                <w:szCs w:val="15"/>
              </w:rPr>
              <w:t>灵活型</w:t>
            </w:r>
          </w:p>
        </w:tc>
        <w:tc>
          <w:tcPr>
            <w:tcW w:w="850"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smartTag w:uri="urn:schemas-microsoft-com:office:smarttags" w:element="chsdate">
              <w:smartTagPr>
                <w:attr w:name="IsROCDate" w:val="False"/>
                <w:attr w:name="IsLunarDate" w:val="False"/>
                <w:attr w:name="Day" w:val="18"/>
                <w:attr w:name="Month" w:val="8"/>
                <w:attr w:name="Year" w:val="2014"/>
              </w:smartTagPr>
              <w:r w:rsidRPr="0090327A">
                <w:rPr>
                  <w:color w:val="000000"/>
                  <w:sz w:val="15"/>
                  <w:szCs w:val="15"/>
                </w:rPr>
                <w:t>2014/8/18</w:t>
              </w:r>
            </w:smartTag>
          </w:p>
        </w:tc>
        <w:tc>
          <w:tcPr>
            <w:tcW w:w="851"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smartTag w:uri="urn:schemas-microsoft-com:office:smarttags" w:element="chsdate">
              <w:smartTagPr>
                <w:attr w:name="IsROCDate" w:val="False"/>
                <w:attr w:name="IsLunarDate" w:val="False"/>
                <w:attr w:name="Day" w:val="16"/>
                <w:attr w:name="Month" w:val="9"/>
                <w:attr w:name="Year" w:val="2014"/>
              </w:smartTagPr>
              <w:r w:rsidRPr="0090327A">
                <w:rPr>
                  <w:color w:val="000000"/>
                  <w:sz w:val="15"/>
                  <w:szCs w:val="15"/>
                </w:rPr>
                <w:t>2014/9/16</w:t>
              </w:r>
            </w:smartTag>
          </w:p>
        </w:tc>
        <w:tc>
          <w:tcPr>
            <w:tcW w:w="142" w:type="dxa"/>
            <w:tcBorders>
              <w:left w:val="single" w:sz="6" w:space="0" w:color="FF6600"/>
              <w:right w:val="single" w:sz="6" w:space="0" w:color="FF6600"/>
            </w:tcBorders>
            <w:vAlign w:val="center"/>
          </w:tcPr>
          <w:p w:rsidR="000355B9" w:rsidRPr="0090327A" w:rsidRDefault="000355B9" w:rsidP="00D92D8A">
            <w:pPr>
              <w:jc w:val="center"/>
              <w:rPr>
                <w:rFonts w:ascii="宋体"/>
                <w:b/>
                <w:sz w:val="15"/>
                <w:szCs w:val="15"/>
              </w:rPr>
            </w:pPr>
          </w:p>
        </w:tc>
        <w:tc>
          <w:tcPr>
            <w:tcW w:w="625"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color w:val="000000"/>
                <w:sz w:val="15"/>
                <w:szCs w:val="15"/>
              </w:rPr>
              <w:t>000755</w:t>
            </w:r>
          </w:p>
        </w:tc>
        <w:tc>
          <w:tcPr>
            <w:tcW w:w="2210"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rFonts w:hint="eastAsia"/>
                <w:color w:val="000000"/>
                <w:sz w:val="15"/>
                <w:szCs w:val="15"/>
              </w:rPr>
              <w:t>富安达新兴成长混合</w:t>
            </w:r>
          </w:p>
        </w:tc>
        <w:tc>
          <w:tcPr>
            <w:tcW w:w="992"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rFonts w:hint="eastAsia"/>
                <w:color w:val="000000"/>
                <w:sz w:val="15"/>
                <w:szCs w:val="15"/>
              </w:rPr>
              <w:t>混合</w:t>
            </w:r>
            <w:r w:rsidRPr="0090327A">
              <w:rPr>
                <w:color w:val="000000"/>
                <w:sz w:val="15"/>
                <w:szCs w:val="15"/>
              </w:rPr>
              <w:t>-</w:t>
            </w:r>
            <w:r w:rsidRPr="0090327A">
              <w:rPr>
                <w:rFonts w:hint="eastAsia"/>
                <w:color w:val="000000"/>
                <w:sz w:val="15"/>
                <w:szCs w:val="15"/>
              </w:rPr>
              <w:t>灵活型</w:t>
            </w:r>
          </w:p>
        </w:tc>
        <w:tc>
          <w:tcPr>
            <w:tcW w:w="850"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smartTag w:uri="urn:schemas-microsoft-com:office:smarttags" w:element="chsdate">
              <w:smartTagPr>
                <w:attr w:name="IsROCDate" w:val="False"/>
                <w:attr w:name="IsLunarDate" w:val="False"/>
                <w:attr w:name="Day" w:val="11"/>
                <w:attr w:name="Month" w:val="8"/>
                <w:attr w:name="Year" w:val="2014"/>
              </w:smartTagPr>
              <w:r w:rsidRPr="0090327A">
                <w:rPr>
                  <w:color w:val="000000"/>
                  <w:sz w:val="15"/>
                  <w:szCs w:val="15"/>
                </w:rPr>
                <w:t>2014/8/11</w:t>
              </w:r>
            </w:smartTag>
          </w:p>
        </w:tc>
        <w:tc>
          <w:tcPr>
            <w:tcW w:w="851" w:type="dxa"/>
            <w:tcBorders>
              <w:left w:val="single" w:sz="6" w:space="0" w:color="FF6600"/>
            </w:tcBorders>
            <w:vAlign w:val="center"/>
          </w:tcPr>
          <w:p w:rsidR="000355B9" w:rsidRPr="00E21E3A" w:rsidRDefault="000355B9" w:rsidP="00E21E3A">
            <w:pPr>
              <w:jc w:val="center"/>
              <w:rPr>
                <w:rFonts w:ascii="宋体" w:cs="宋体"/>
                <w:color w:val="000000"/>
                <w:sz w:val="15"/>
                <w:szCs w:val="15"/>
              </w:rPr>
            </w:pPr>
            <w:smartTag w:uri="urn:schemas-microsoft-com:office:smarttags" w:element="chsdate">
              <w:smartTagPr>
                <w:attr w:name="IsROCDate" w:val="False"/>
                <w:attr w:name="IsLunarDate" w:val="False"/>
                <w:attr w:name="Day" w:val="5"/>
                <w:attr w:name="Month" w:val="9"/>
                <w:attr w:name="Year" w:val="2014"/>
              </w:smartTagPr>
              <w:r w:rsidRPr="0090327A">
                <w:rPr>
                  <w:color w:val="000000"/>
                  <w:sz w:val="15"/>
                  <w:szCs w:val="15"/>
                </w:rPr>
                <w:t>2014/9/5</w:t>
              </w:r>
            </w:smartTag>
          </w:p>
        </w:tc>
      </w:tr>
      <w:tr w:rsidR="000355B9" w:rsidRPr="0090327A" w:rsidTr="008220BB">
        <w:trPr>
          <w:cantSplit/>
          <w:trHeight w:val="232"/>
          <w:jc w:val="center"/>
        </w:trPr>
        <w:tc>
          <w:tcPr>
            <w:tcW w:w="568" w:type="dxa"/>
            <w:tcBorders>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color w:val="000000"/>
                <w:sz w:val="15"/>
                <w:szCs w:val="15"/>
              </w:rPr>
              <w:t>000743</w:t>
            </w:r>
          </w:p>
        </w:tc>
        <w:tc>
          <w:tcPr>
            <w:tcW w:w="2210"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rFonts w:hint="eastAsia"/>
                <w:color w:val="000000"/>
                <w:sz w:val="15"/>
                <w:szCs w:val="15"/>
              </w:rPr>
              <w:t>红塔红土盛世普益混合发起式</w:t>
            </w:r>
          </w:p>
        </w:tc>
        <w:tc>
          <w:tcPr>
            <w:tcW w:w="992"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rFonts w:hint="eastAsia"/>
                <w:color w:val="000000"/>
                <w:sz w:val="15"/>
                <w:szCs w:val="15"/>
              </w:rPr>
              <w:t>混合</w:t>
            </w:r>
            <w:r w:rsidRPr="0090327A">
              <w:rPr>
                <w:color w:val="000000"/>
                <w:sz w:val="15"/>
                <w:szCs w:val="15"/>
              </w:rPr>
              <w:t>-</w:t>
            </w:r>
            <w:r w:rsidRPr="0090327A">
              <w:rPr>
                <w:rFonts w:hint="eastAsia"/>
                <w:color w:val="000000"/>
                <w:sz w:val="15"/>
                <w:szCs w:val="15"/>
              </w:rPr>
              <w:t>灵活型</w:t>
            </w:r>
          </w:p>
        </w:tc>
        <w:tc>
          <w:tcPr>
            <w:tcW w:w="850"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smartTag w:uri="urn:schemas-microsoft-com:office:smarttags" w:element="chsdate">
              <w:smartTagPr>
                <w:attr w:name="IsROCDate" w:val="False"/>
                <w:attr w:name="IsLunarDate" w:val="False"/>
                <w:attr w:name="Day" w:val="18"/>
                <w:attr w:name="Month" w:val="8"/>
                <w:attr w:name="Year" w:val="2014"/>
              </w:smartTagPr>
              <w:r w:rsidRPr="0090327A">
                <w:rPr>
                  <w:color w:val="000000"/>
                  <w:sz w:val="15"/>
                  <w:szCs w:val="15"/>
                </w:rPr>
                <w:t>2014/8/18</w:t>
              </w:r>
            </w:smartTag>
          </w:p>
        </w:tc>
        <w:tc>
          <w:tcPr>
            <w:tcW w:w="851"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smartTag w:uri="urn:schemas-microsoft-com:office:smarttags" w:element="chsdate">
              <w:smartTagPr>
                <w:attr w:name="IsROCDate" w:val="False"/>
                <w:attr w:name="IsLunarDate" w:val="False"/>
                <w:attr w:name="Day" w:val="12"/>
                <w:attr w:name="Month" w:val="9"/>
                <w:attr w:name="Year" w:val="2014"/>
              </w:smartTagPr>
              <w:r w:rsidRPr="0090327A">
                <w:rPr>
                  <w:color w:val="000000"/>
                  <w:sz w:val="15"/>
                  <w:szCs w:val="15"/>
                </w:rPr>
                <w:t>2014/9/12</w:t>
              </w:r>
            </w:smartTag>
          </w:p>
        </w:tc>
        <w:tc>
          <w:tcPr>
            <w:tcW w:w="142" w:type="dxa"/>
            <w:tcBorders>
              <w:left w:val="single" w:sz="6" w:space="0" w:color="FF6600"/>
              <w:right w:val="single" w:sz="6" w:space="0" w:color="FF6600"/>
            </w:tcBorders>
            <w:vAlign w:val="center"/>
          </w:tcPr>
          <w:p w:rsidR="000355B9" w:rsidRPr="0090327A" w:rsidRDefault="000355B9" w:rsidP="00D92D8A">
            <w:pPr>
              <w:jc w:val="center"/>
              <w:rPr>
                <w:rFonts w:ascii="宋体"/>
                <w:b/>
                <w:sz w:val="15"/>
                <w:szCs w:val="15"/>
              </w:rPr>
            </w:pPr>
          </w:p>
        </w:tc>
        <w:tc>
          <w:tcPr>
            <w:tcW w:w="625"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color w:val="000000"/>
                <w:sz w:val="15"/>
                <w:szCs w:val="15"/>
              </w:rPr>
              <w:t>164304</w:t>
            </w:r>
          </w:p>
        </w:tc>
        <w:tc>
          <w:tcPr>
            <w:tcW w:w="2210"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rFonts w:hint="eastAsia"/>
                <w:color w:val="000000"/>
                <w:sz w:val="15"/>
                <w:szCs w:val="15"/>
              </w:rPr>
              <w:t>新华中证环保产业指数分级</w:t>
            </w:r>
          </w:p>
        </w:tc>
        <w:tc>
          <w:tcPr>
            <w:tcW w:w="992"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r w:rsidRPr="0090327A">
              <w:rPr>
                <w:rFonts w:hint="eastAsia"/>
                <w:color w:val="000000"/>
                <w:sz w:val="15"/>
                <w:szCs w:val="15"/>
              </w:rPr>
              <w:t>股票</w:t>
            </w:r>
            <w:r w:rsidRPr="0090327A">
              <w:rPr>
                <w:color w:val="000000"/>
                <w:sz w:val="15"/>
                <w:szCs w:val="15"/>
              </w:rPr>
              <w:t>-</w:t>
            </w:r>
            <w:r w:rsidRPr="0090327A">
              <w:rPr>
                <w:rFonts w:hint="eastAsia"/>
                <w:color w:val="000000"/>
                <w:sz w:val="15"/>
                <w:szCs w:val="15"/>
              </w:rPr>
              <w:t>指数型</w:t>
            </w:r>
          </w:p>
        </w:tc>
        <w:tc>
          <w:tcPr>
            <w:tcW w:w="850" w:type="dxa"/>
            <w:tcBorders>
              <w:left w:val="single" w:sz="6" w:space="0" w:color="FF6600"/>
              <w:right w:val="single" w:sz="6" w:space="0" w:color="FF6600"/>
            </w:tcBorders>
            <w:vAlign w:val="center"/>
          </w:tcPr>
          <w:p w:rsidR="000355B9" w:rsidRPr="00E21E3A" w:rsidRDefault="000355B9" w:rsidP="00E21E3A">
            <w:pPr>
              <w:jc w:val="center"/>
              <w:rPr>
                <w:rFonts w:ascii="宋体" w:cs="宋体"/>
                <w:color w:val="000000"/>
                <w:sz w:val="15"/>
                <w:szCs w:val="15"/>
              </w:rPr>
            </w:pPr>
            <w:smartTag w:uri="urn:schemas-microsoft-com:office:smarttags" w:element="chsdate">
              <w:smartTagPr>
                <w:attr w:name="IsROCDate" w:val="False"/>
                <w:attr w:name="IsLunarDate" w:val="False"/>
                <w:attr w:name="Day" w:val="11"/>
                <w:attr w:name="Month" w:val="8"/>
                <w:attr w:name="Year" w:val="2014"/>
              </w:smartTagPr>
              <w:r w:rsidRPr="0090327A">
                <w:rPr>
                  <w:color w:val="000000"/>
                  <w:sz w:val="15"/>
                  <w:szCs w:val="15"/>
                </w:rPr>
                <w:t>2014/8/11</w:t>
              </w:r>
            </w:smartTag>
          </w:p>
        </w:tc>
        <w:tc>
          <w:tcPr>
            <w:tcW w:w="851" w:type="dxa"/>
            <w:tcBorders>
              <w:left w:val="single" w:sz="6" w:space="0" w:color="FF6600"/>
            </w:tcBorders>
            <w:vAlign w:val="center"/>
          </w:tcPr>
          <w:p w:rsidR="000355B9" w:rsidRPr="00E21E3A" w:rsidRDefault="000355B9" w:rsidP="00E21E3A">
            <w:pPr>
              <w:jc w:val="center"/>
              <w:rPr>
                <w:rFonts w:ascii="宋体" w:cs="宋体"/>
                <w:color w:val="000000"/>
                <w:sz w:val="15"/>
                <w:szCs w:val="15"/>
              </w:rPr>
            </w:pPr>
            <w:smartTag w:uri="urn:schemas-microsoft-com:office:smarttags" w:element="chsdate">
              <w:smartTagPr>
                <w:attr w:name="IsROCDate" w:val="False"/>
                <w:attr w:name="IsLunarDate" w:val="False"/>
                <w:attr w:name="Day" w:val="5"/>
                <w:attr w:name="Month" w:val="9"/>
                <w:attr w:name="Year" w:val="2014"/>
              </w:smartTagPr>
              <w:r w:rsidRPr="0090327A">
                <w:rPr>
                  <w:color w:val="000000"/>
                  <w:sz w:val="15"/>
                  <w:szCs w:val="15"/>
                </w:rPr>
                <w:t>2014/9/5</w:t>
              </w:r>
            </w:smartTag>
          </w:p>
        </w:tc>
      </w:tr>
      <w:tr w:rsidR="000355B9" w:rsidRPr="0090327A" w:rsidTr="008220BB">
        <w:trPr>
          <w:cantSplit/>
          <w:trHeight w:val="232"/>
          <w:jc w:val="center"/>
        </w:trPr>
        <w:tc>
          <w:tcPr>
            <w:tcW w:w="11141" w:type="dxa"/>
            <w:gridSpan w:val="11"/>
            <w:vAlign w:val="center"/>
          </w:tcPr>
          <w:p w:rsidR="000355B9" w:rsidRPr="0090327A" w:rsidRDefault="000355B9" w:rsidP="00D92D8A">
            <w:pPr>
              <w:jc w:val="left"/>
              <w:rPr>
                <w:rFonts w:ascii="宋体"/>
                <w:b/>
                <w:sz w:val="15"/>
                <w:szCs w:val="15"/>
              </w:rPr>
            </w:pPr>
            <w:r w:rsidRPr="0090327A">
              <w:rPr>
                <w:rFonts w:ascii="宋体" w:hAnsi="宋体" w:hint="eastAsia"/>
                <w:b/>
                <w:sz w:val="15"/>
                <w:szCs w:val="15"/>
              </w:rPr>
              <w:t>注：</w:t>
            </w:r>
            <w:r w:rsidRPr="0090327A">
              <w:rPr>
                <w:rFonts w:ascii="宋体" w:hAnsi="宋体"/>
                <w:sz w:val="15"/>
                <w:szCs w:val="15"/>
              </w:rPr>
              <w:t>A/B/C</w:t>
            </w:r>
            <w:r w:rsidRPr="0090327A">
              <w:rPr>
                <w:rFonts w:ascii="宋体" w:hAnsi="宋体" w:hint="eastAsia"/>
                <w:sz w:val="15"/>
                <w:szCs w:val="15"/>
              </w:rPr>
              <w:t>类仅列举</w:t>
            </w:r>
            <w:r w:rsidRPr="0090327A">
              <w:rPr>
                <w:rFonts w:ascii="宋体" w:hAnsi="宋体"/>
                <w:sz w:val="15"/>
                <w:szCs w:val="15"/>
              </w:rPr>
              <w:t>A</w:t>
            </w:r>
            <w:r w:rsidRPr="0090327A">
              <w:rPr>
                <w:rFonts w:ascii="宋体" w:hAnsi="宋体" w:hint="eastAsia"/>
                <w:sz w:val="15"/>
                <w:szCs w:val="15"/>
              </w:rPr>
              <w:t>类。</w:t>
            </w:r>
          </w:p>
        </w:tc>
      </w:tr>
    </w:tbl>
    <w:p w:rsidR="000355B9" w:rsidRPr="003629A1" w:rsidRDefault="000355B9" w:rsidP="00C01486">
      <w:pPr>
        <w:pStyle w:val="FootnoteNoline"/>
        <w:ind w:left="0"/>
        <w:rPr>
          <w:color w:val="FF6600"/>
          <w:lang w:val="en-US"/>
        </w:rPr>
      </w:pPr>
      <w:r w:rsidRPr="003629A1">
        <w:rPr>
          <w:rFonts w:hint="eastAsia"/>
          <w:color w:val="FF6600"/>
          <w:lang w:val="en-US"/>
        </w:rPr>
        <w:t>来源：凯石财富工场</w:t>
      </w:r>
    </w:p>
    <w:p w:rsidR="000355B9" w:rsidRDefault="000355B9" w:rsidP="00C01486">
      <w:pPr>
        <w:widowControl/>
        <w:spacing w:after="120" w:line="240" w:lineRule="exact"/>
        <w:ind w:left="3430"/>
        <w:rPr>
          <w:rFonts w:ascii="楷体" w:eastAsia="楷体" w:hAnsi="楷体"/>
          <w:b/>
          <w:bCs/>
          <w:color w:val="0070C0"/>
          <w:kern w:val="0"/>
          <w:sz w:val="24"/>
          <w:szCs w:val="20"/>
          <w:lang w:val="en-GB"/>
        </w:rPr>
      </w:pPr>
      <w:r w:rsidRPr="0094318C">
        <w:rPr>
          <w:rFonts w:ascii="楷体" w:eastAsia="楷体" w:hAnsi="楷体" w:hint="eastAsia"/>
          <w:b/>
          <w:bCs/>
          <w:color w:val="0070C0"/>
          <w:kern w:val="0"/>
          <w:sz w:val="24"/>
          <w:szCs w:val="20"/>
          <w:lang w:val="en-GB"/>
        </w:rPr>
        <w:t>基金市场热点关注</w:t>
      </w:r>
    </w:p>
    <w:p w:rsidR="000355B9" w:rsidRPr="00BC4BF3" w:rsidRDefault="000355B9" w:rsidP="00BC4BF3">
      <w:pPr>
        <w:pStyle w:val="BodyText"/>
        <w:numPr>
          <w:ilvl w:val="4"/>
          <w:numId w:val="1"/>
        </w:numPr>
        <w:spacing w:after="163"/>
        <w:rPr>
          <w:rFonts w:ascii="楷体" w:eastAsia="楷体" w:hAnsi="楷体"/>
          <w:b/>
          <w:color w:val="auto"/>
        </w:rPr>
      </w:pPr>
      <w:r w:rsidRPr="00E8427C">
        <w:rPr>
          <w:rFonts w:ascii="楷体" w:eastAsia="楷体" w:hAnsi="楷体" w:hint="eastAsia"/>
          <w:b/>
          <w:color w:val="auto"/>
        </w:rPr>
        <w:t>汇添富理财</w:t>
      </w:r>
      <w:r w:rsidRPr="00E8427C">
        <w:rPr>
          <w:rFonts w:ascii="楷体" w:eastAsia="楷体" w:hAnsi="楷体"/>
          <w:b/>
          <w:color w:val="auto"/>
        </w:rPr>
        <w:t>28</w:t>
      </w:r>
      <w:r w:rsidRPr="00E8427C">
        <w:rPr>
          <w:rFonts w:ascii="楷体" w:eastAsia="楷体" w:hAnsi="楷体" w:hint="eastAsia"/>
          <w:b/>
          <w:color w:val="auto"/>
        </w:rPr>
        <w:t>天债基打响基金清盘第一枪</w:t>
      </w:r>
      <w:r>
        <w:rPr>
          <w:rFonts w:ascii="楷体" w:eastAsia="楷体" w:hAnsi="楷体" w:hint="eastAsia"/>
          <w:b/>
          <w:color w:val="auto"/>
        </w:rPr>
        <w:t>（来源：</w:t>
      </w:r>
      <w:r w:rsidRPr="00E8427C">
        <w:rPr>
          <w:rFonts w:ascii="楷体" w:eastAsia="楷体" w:hAnsi="楷体" w:hint="eastAsia"/>
          <w:b/>
          <w:color w:val="auto"/>
        </w:rPr>
        <w:t>中国基金报</w:t>
      </w:r>
      <w:r>
        <w:rPr>
          <w:rFonts w:ascii="楷体" w:eastAsia="楷体" w:hAnsi="楷体" w:hint="eastAsia"/>
          <w:b/>
          <w:color w:val="auto"/>
        </w:rPr>
        <w:t>）</w:t>
      </w:r>
    </w:p>
    <w:p w:rsidR="000355B9" w:rsidRDefault="000355B9" w:rsidP="00FC7F00">
      <w:pPr>
        <w:pStyle w:val="BodyText"/>
        <w:numPr>
          <w:ilvl w:val="5"/>
          <w:numId w:val="2"/>
        </w:numPr>
        <w:spacing w:after="163"/>
        <w:ind w:left="4140" w:hanging="369"/>
        <w:rPr>
          <w:color w:val="auto"/>
        </w:rPr>
      </w:pPr>
      <w:smartTag w:uri="urn:schemas-microsoft-com:office:smarttags" w:element="chsdate">
        <w:smartTagPr>
          <w:attr w:name="IsROCDate" w:val="False"/>
          <w:attr w:name="IsLunarDate" w:val="False"/>
          <w:attr w:name="Day" w:val="16"/>
          <w:attr w:name="Month" w:val="8"/>
          <w:attr w:name="Year" w:val="2014"/>
        </w:smartTagPr>
        <w:r>
          <w:rPr>
            <w:color w:val="auto"/>
          </w:rPr>
          <w:t>8</w:t>
        </w:r>
        <w:r w:rsidRPr="00FD4C5C">
          <w:rPr>
            <w:rFonts w:hint="eastAsia"/>
            <w:color w:val="auto"/>
          </w:rPr>
          <w:t>月</w:t>
        </w:r>
        <w:r>
          <w:rPr>
            <w:color w:val="auto"/>
          </w:rPr>
          <w:t>16</w:t>
        </w:r>
        <w:r w:rsidRPr="00FD4C5C">
          <w:rPr>
            <w:rFonts w:hint="eastAsia"/>
            <w:color w:val="auto"/>
          </w:rPr>
          <w:t>日</w:t>
        </w:r>
      </w:smartTag>
      <w:r w:rsidRPr="00FD4C5C">
        <w:rPr>
          <w:rFonts w:hint="eastAsia"/>
          <w:color w:val="auto"/>
        </w:rPr>
        <w:t>汇添富基金发布公告</w:t>
      </w:r>
      <w:r>
        <w:rPr>
          <w:rFonts w:hint="eastAsia"/>
          <w:color w:val="auto"/>
        </w:rPr>
        <w:t>，</w:t>
      </w:r>
      <w:r w:rsidRPr="00E8427C">
        <w:rPr>
          <w:rFonts w:hint="eastAsia"/>
          <w:color w:val="auto"/>
        </w:rPr>
        <w:t>将于</w:t>
      </w:r>
      <w:smartTag w:uri="urn:schemas-microsoft-com:office:smarttags" w:element="chsdate">
        <w:smartTagPr>
          <w:attr w:name="IsROCDate" w:val="False"/>
          <w:attr w:name="IsLunarDate" w:val="False"/>
          <w:attr w:name="Day" w:val="16"/>
          <w:attr w:name="Month" w:val="9"/>
          <w:attr w:name="Year" w:val="2014"/>
        </w:smartTagPr>
        <w:r w:rsidRPr="00E8427C">
          <w:rPr>
            <w:color w:val="auto"/>
          </w:rPr>
          <w:t>9</w:t>
        </w:r>
        <w:r w:rsidRPr="00E8427C">
          <w:rPr>
            <w:rFonts w:hint="eastAsia"/>
            <w:color w:val="auto"/>
          </w:rPr>
          <w:t>月</w:t>
        </w:r>
        <w:r w:rsidRPr="00E8427C">
          <w:rPr>
            <w:color w:val="auto"/>
          </w:rPr>
          <w:t>16</w:t>
        </w:r>
        <w:r w:rsidRPr="00E8427C">
          <w:rPr>
            <w:rFonts w:hint="eastAsia"/>
            <w:color w:val="auto"/>
          </w:rPr>
          <w:t>日</w:t>
        </w:r>
      </w:smartTag>
      <w:r w:rsidRPr="00E8427C">
        <w:rPr>
          <w:rFonts w:hint="eastAsia"/>
          <w:color w:val="auto"/>
        </w:rPr>
        <w:t>召开持有人大会，讨论《关于终止汇添富理财</w:t>
      </w:r>
      <w:r w:rsidRPr="00E8427C">
        <w:rPr>
          <w:color w:val="auto"/>
        </w:rPr>
        <w:t>28</w:t>
      </w:r>
      <w:r w:rsidRPr="00E8427C">
        <w:rPr>
          <w:rFonts w:hint="eastAsia"/>
          <w:color w:val="auto"/>
        </w:rPr>
        <w:t>天债券型证券投资基金基金合同有关事项的议案》的事项，这标志着国内首只迷你基金主动退市拉开序幕。汇添富基金表示，此次主动关闭理财</w:t>
      </w:r>
      <w:r w:rsidRPr="00E8427C">
        <w:rPr>
          <w:color w:val="auto"/>
        </w:rPr>
        <w:t>28</w:t>
      </w:r>
      <w:r w:rsidRPr="00E8427C">
        <w:rPr>
          <w:rFonts w:hint="eastAsia"/>
          <w:color w:val="auto"/>
        </w:rPr>
        <w:t>天基金，一方面是从维护基金持有人利益角度出发，另一方面，汇添富最初推出理财</w:t>
      </w:r>
      <w:r w:rsidRPr="00E8427C">
        <w:rPr>
          <w:color w:val="auto"/>
        </w:rPr>
        <w:t>28</w:t>
      </w:r>
      <w:r w:rsidRPr="00E8427C">
        <w:rPr>
          <w:rFonts w:hint="eastAsia"/>
          <w:color w:val="auto"/>
        </w:rPr>
        <w:t>天基金原本是为了方便投资者安排投资周期（</w:t>
      </w:r>
      <w:r w:rsidRPr="00E8427C">
        <w:rPr>
          <w:color w:val="auto"/>
        </w:rPr>
        <w:t>28</w:t>
      </w:r>
      <w:r w:rsidRPr="00E8427C">
        <w:rPr>
          <w:rFonts w:hint="eastAsia"/>
          <w:color w:val="auto"/>
        </w:rPr>
        <w:t>天为</w:t>
      </w:r>
      <w:r w:rsidRPr="00E8427C">
        <w:rPr>
          <w:color w:val="auto"/>
        </w:rPr>
        <w:t>4</w:t>
      </w:r>
      <w:r w:rsidRPr="00E8427C">
        <w:rPr>
          <w:rFonts w:hint="eastAsia"/>
          <w:color w:val="auto"/>
        </w:rPr>
        <w:t>周），但在实际运作中发现较早推出的理财</w:t>
      </w:r>
      <w:r w:rsidRPr="00E8427C">
        <w:rPr>
          <w:color w:val="auto"/>
        </w:rPr>
        <w:t>30</w:t>
      </w:r>
      <w:r w:rsidRPr="00E8427C">
        <w:rPr>
          <w:rFonts w:hint="eastAsia"/>
          <w:color w:val="auto"/>
        </w:rPr>
        <w:t>天基金更契合投资者的申赎习惯，而这两款产品的期限较为接近，因此选择关闭</w:t>
      </w:r>
      <w:r w:rsidRPr="00E8427C">
        <w:rPr>
          <w:color w:val="auto"/>
        </w:rPr>
        <w:t>28</w:t>
      </w:r>
      <w:r w:rsidRPr="00E8427C">
        <w:rPr>
          <w:rFonts w:hint="eastAsia"/>
          <w:color w:val="auto"/>
        </w:rPr>
        <w:t>天产品来更好地节约资源。</w:t>
      </w:r>
    </w:p>
    <w:p w:rsidR="000355B9" w:rsidRDefault="000355B9" w:rsidP="00E8427C">
      <w:pPr>
        <w:pStyle w:val="BodyText"/>
        <w:numPr>
          <w:ilvl w:val="5"/>
          <w:numId w:val="2"/>
        </w:numPr>
        <w:spacing w:after="163"/>
        <w:ind w:left="4140" w:hanging="369"/>
        <w:rPr>
          <w:color w:val="auto"/>
        </w:rPr>
      </w:pPr>
      <w:r w:rsidRPr="00E8427C">
        <w:rPr>
          <w:rFonts w:hint="eastAsia"/>
          <w:color w:val="auto"/>
        </w:rPr>
        <w:t>近年来伴随新基金的密集发行，以及打开申赎后帮忙资金大幅撤资，造就了一批迷你基金。迷你基金运作成本高，对管理人来说边际贡献为负，成为困扰基金公司和行业的难题。特别是在今年以来，普遍的净赎回令迷你基金阵容迅速扩大。截至今年</w:t>
      </w:r>
      <w:r w:rsidRPr="00E8427C">
        <w:rPr>
          <w:color w:val="auto"/>
        </w:rPr>
        <w:t>6</w:t>
      </w:r>
      <w:r w:rsidRPr="00E8427C">
        <w:rPr>
          <w:rFonts w:hint="eastAsia"/>
          <w:color w:val="auto"/>
        </w:rPr>
        <w:t>月底，净值规模跌破</w:t>
      </w:r>
      <w:r w:rsidRPr="00E8427C">
        <w:rPr>
          <w:color w:val="auto"/>
        </w:rPr>
        <w:t>5000</w:t>
      </w:r>
      <w:r w:rsidRPr="00E8427C">
        <w:rPr>
          <w:rFonts w:hint="eastAsia"/>
          <w:color w:val="auto"/>
        </w:rPr>
        <w:t>万元警戒线的基金多达</w:t>
      </w:r>
      <w:r w:rsidRPr="00E8427C">
        <w:rPr>
          <w:color w:val="auto"/>
        </w:rPr>
        <w:t>133</w:t>
      </w:r>
      <w:r w:rsidRPr="00E8427C">
        <w:rPr>
          <w:rFonts w:hint="eastAsia"/>
          <w:color w:val="auto"/>
        </w:rPr>
        <w:t>只，比去年底的</w:t>
      </w:r>
      <w:r w:rsidRPr="00E8427C">
        <w:rPr>
          <w:color w:val="auto"/>
        </w:rPr>
        <w:t>69</w:t>
      </w:r>
      <w:r w:rsidRPr="00E8427C">
        <w:rPr>
          <w:rFonts w:hint="eastAsia"/>
          <w:color w:val="auto"/>
        </w:rPr>
        <w:t>只大幅增长了</w:t>
      </w:r>
      <w:r w:rsidRPr="00E8427C">
        <w:rPr>
          <w:color w:val="auto"/>
        </w:rPr>
        <w:t>92.35%</w:t>
      </w:r>
      <w:r w:rsidRPr="00E8427C">
        <w:rPr>
          <w:rFonts w:hint="eastAsia"/>
          <w:color w:val="auto"/>
        </w:rPr>
        <w:t>，数量占比也从去年底的</w:t>
      </w:r>
      <w:r w:rsidRPr="00E8427C">
        <w:rPr>
          <w:color w:val="auto"/>
        </w:rPr>
        <w:t>4.46%</w:t>
      </w:r>
      <w:r w:rsidRPr="00E8427C">
        <w:rPr>
          <w:rFonts w:hint="eastAsia"/>
          <w:color w:val="auto"/>
        </w:rPr>
        <w:t>上升到今年年中的</w:t>
      </w:r>
      <w:r w:rsidRPr="00E8427C">
        <w:rPr>
          <w:color w:val="auto"/>
        </w:rPr>
        <w:t>7.77%</w:t>
      </w:r>
      <w:r w:rsidRPr="00E8427C">
        <w:rPr>
          <w:rFonts w:hint="eastAsia"/>
          <w:color w:val="auto"/>
        </w:rPr>
        <w:t>。事实上，在基金行业大发展、公募基金数量不断增</w:t>
      </w:r>
      <w:r>
        <w:rPr>
          <w:rFonts w:hint="eastAsia"/>
          <w:color w:val="auto"/>
        </w:rPr>
        <w:t>多的今天，建立健全的基金合并退出机制一直在监管层的思考框架之内，而</w:t>
      </w:r>
      <w:r w:rsidRPr="00FD4C5C">
        <w:rPr>
          <w:rFonts w:hint="eastAsia"/>
          <w:color w:val="auto"/>
        </w:rPr>
        <w:t>此次</w:t>
      </w:r>
      <w:r w:rsidRPr="00E8427C">
        <w:rPr>
          <w:rFonts w:hint="eastAsia"/>
          <w:color w:val="auto"/>
        </w:rPr>
        <w:t>汇添富首次主动清盘行动或能起到鲶鱼效</w:t>
      </w:r>
      <w:r>
        <w:rPr>
          <w:rFonts w:hint="eastAsia"/>
          <w:color w:val="auto"/>
        </w:rPr>
        <w:t>应，从而倒逼行业改革，迎来新一轮小微基金的退市或合并转型的浪潮</w:t>
      </w:r>
      <w:r w:rsidRPr="00FD4C5C">
        <w:rPr>
          <w:rFonts w:hint="eastAsia"/>
          <w:color w:val="auto"/>
        </w:rPr>
        <w:t>。</w:t>
      </w:r>
    </w:p>
    <w:p w:rsidR="000355B9" w:rsidRPr="00C01486" w:rsidRDefault="000355B9" w:rsidP="00C01486">
      <w:pPr>
        <w:widowControl/>
        <w:spacing w:after="120" w:line="240" w:lineRule="exact"/>
        <w:ind w:left="3430"/>
        <w:rPr>
          <w:rFonts w:ascii="楷体" w:eastAsia="楷体" w:hAnsi="楷体"/>
          <w:b/>
          <w:bCs/>
          <w:color w:val="0070C0"/>
          <w:kern w:val="0"/>
          <w:sz w:val="24"/>
          <w:szCs w:val="20"/>
          <w:lang w:val="en-GB"/>
        </w:rPr>
      </w:pPr>
      <w:r>
        <w:rPr>
          <w:rFonts w:ascii="楷体" w:eastAsia="楷体" w:hAnsi="楷体" w:hint="eastAsia"/>
          <w:b/>
          <w:bCs/>
          <w:color w:val="0070C0"/>
          <w:kern w:val="0"/>
          <w:sz w:val="24"/>
          <w:szCs w:val="20"/>
          <w:lang w:val="en-GB"/>
        </w:rPr>
        <w:t>新发产品推荐</w:t>
      </w:r>
    </w:p>
    <w:p w:rsidR="000355B9" w:rsidRPr="00C01486" w:rsidRDefault="000355B9" w:rsidP="009206FD">
      <w:pPr>
        <w:pStyle w:val="BodyText"/>
        <w:numPr>
          <w:ilvl w:val="4"/>
          <w:numId w:val="1"/>
        </w:numPr>
        <w:spacing w:after="163"/>
        <w:rPr>
          <w:rFonts w:ascii="楷体" w:eastAsia="楷体" w:hAnsi="楷体"/>
          <w:b/>
          <w:color w:val="auto"/>
        </w:rPr>
      </w:pPr>
      <w:r w:rsidRPr="00E80189">
        <w:rPr>
          <w:rFonts w:ascii="楷体" w:eastAsia="楷体" w:hAnsi="楷体" w:hint="eastAsia"/>
          <w:b/>
          <w:color w:val="auto"/>
        </w:rPr>
        <w:t>长盛生态环境主题混合</w:t>
      </w:r>
      <w:r>
        <w:rPr>
          <w:rFonts w:ascii="楷体" w:eastAsia="楷体" w:hAnsi="楷体" w:hint="eastAsia"/>
          <w:b/>
          <w:color w:val="auto"/>
        </w:rPr>
        <w:t>型基金</w:t>
      </w:r>
    </w:p>
    <w:p w:rsidR="000355B9" w:rsidRPr="001130F5" w:rsidRDefault="000355B9" w:rsidP="001130F5">
      <w:pPr>
        <w:pStyle w:val="BodyText"/>
        <w:numPr>
          <w:ilvl w:val="5"/>
          <w:numId w:val="2"/>
        </w:numPr>
        <w:spacing w:after="163"/>
        <w:ind w:left="4140" w:hanging="369"/>
        <w:rPr>
          <w:color w:val="auto"/>
        </w:rPr>
      </w:pPr>
      <w:r>
        <w:rPr>
          <w:rFonts w:hint="eastAsia"/>
          <w:b/>
          <w:color w:val="auto"/>
        </w:rPr>
        <w:t>主题选择契合发展方向</w:t>
      </w:r>
      <w:r w:rsidRPr="001130F5">
        <w:rPr>
          <w:rFonts w:hint="eastAsia"/>
          <w:b/>
          <w:color w:val="auto"/>
        </w:rPr>
        <w:t>。</w:t>
      </w:r>
      <w:r>
        <w:rPr>
          <w:rFonts w:hint="eastAsia"/>
          <w:color w:val="auto"/>
        </w:rPr>
        <w:t>该基金</w:t>
      </w:r>
      <w:r w:rsidRPr="00313664">
        <w:rPr>
          <w:rFonts w:hint="eastAsia"/>
          <w:color w:val="auto"/>
        </w:rPr>
        <w:t>主要投资于从事或受益于生态环境主题的上市公司</w:t>
      </w:r>
      <w:r>
        <w:rPr>
          <w:rFonts w:hint="eastAsia"/>
          <w:color w:val="auto"/>
        </w:rPr>
        <w:t>，招募说明书中定义，</w:t>
      </w:r>
      <w:r w:rsidRPr="00313664">
        <w:rPr>
          <w:rFonts w:hint="eastAsia"/>
          <w:color w:val="auto"/>
        </w:rPr>
        <w:t>生态环境主题概念包含致力于有效利用自然资源、提升人类生存环境质量的行业和上市公司，所涉及的环节不仅包括上游资源获取和产生方面的有效利用和降低损耗，还包括输送、到最终净化及循环利用的环保处理。</w:t>
      </w:r>
      <w:r>
        <w:rPr>
          <w:rFonts w:hint="eastAsia"/>
          <w:color w:val="auto"/>
        </w:rPr>
        <w:t>从当前形势来看，前些年经济发展所带来的</w:t>
      </w:r>
      <w:r w:rsidRPr="00D12C4A">
        <w:rPr>
          <w:rFonts w:hint="eastAsia"/>
          <w:color w:val="auto"/>
        </w:rPr>
        <w:t>环境问题日益凸显，生态环境的保护</w:t>
      </w:r>
      <w:r>
        <w:rPr>
          <w:rFonts w:hint="eastAsia"/>
          <w:color w:val="auto"/>
        </w:rPr>
        <w:t>正</w:t>
      </w:r>
      <w:r w:rsidRPr="00D12C4A">
        <w:rPr>
          <w:rFonts w:hint="eastAsia"/>
          <w:color w:val="auto"/>
        </w:rPr>
        <w:t>受到</w:t>
      </w:r>
      <w:r>
        <w:rPr>
          <w:rFonts w:hint="eastAsia"/>
          <w:color w:val="auto"/>
        </w:rPr>
        <w:t>广泛</w:t>
      </w:r>
      <w:r w:rsidRPr="00D12C4A">
        <w:rPr>
          <w:rFonts w:hint="eastAsia"/>
          <w:color w:val="auto"/>
        </w:rPr>
        <w:t>重视</w:t>
      </w:r>
      <w:r w:rsidRPr="009064BA">
        <w:rPr>
          <w:rFonts w:ascii="楷体" w:eastAsia="楷体" w:hAnsi="楷体" w:hint="eastAsia"/>
          <w:szCs w:val="21"/>
        </w:rPr>
        <w:t>，</w:t>
      </w:r>
      <w:r>
        <w:rPr>
          <w:rFonts w:ascii="楷体" w:eastAsia="楷体" w:hAnsi="楷体" w:hint="eastAsia"/>
          <w:szCs w:val="21"/>
        </w:rPr>
        <w:t>随着相应</w:t>
      </w:r>
      <w:r w:rsidRPr="009064BA">
        <w:rPr>
          <w:rFonts w:ascii="楷体" w:eastAsia="楷体" w:hAnsi="楷体" w:hint="eastAsia"/>
          <w:szCs w:val="21"/>
        </w:rPr>
        <w:t>政策</w:t>
      </w:r>
      <w:r>
        <w:rPr>
          <w:rFonts w:ascii="楷体" w:eastAsia="楷体" w:hAnsi="楷体" w:hint="eastAsia"/>
          <w:szCs w:val="21"/>
        </w:rPr>
        <w:t>的</w:t>
      </w:r>
      <w:r w:rsidRPr="009064BA">
        <w:rPr>
          <w:rFonts w:ascii="楷体" w:eastAsia="楷体" w:hAnsi="楷体" w:hint="eastAsia"/>
          <w:szCs w:val="21"/>
        </w:rPr>
        <w:t>密集落地，</w:t>
      </w:r>
      <w:r>
        <w:rPr>
          <w:rFonts w:ascii="楷体" w:eastAsia="楷体" w:hAnsi="楷体" w:hint="eastAsia"/>
          <w:szCs w:val="21"/>
        </w:rPr>
        <w:t>预计未来生态环境产业将具备较大的发展空间，因此</w:t>
      </w:r>
      <w:r w:rsidRPr="004F2A4E">
        <w:rPr>
          <w:rFonts w:ascii="楷体" w:eastAsia="楷体" w:hAnsi="楷体" w:hint="eastAsia"/>
          <w:szCs w:val="21"/>
        </w:rPr>
        <w:t>长盛生态环境主题混合型基金</w:t>
      </w:r>
      <w:r>
        <w:rPr>
          <w:rFonts w:ascii="楷体" w:eastAsia="楷体" w:hAnsi="楷体" w:hint="eastAsia"/>
          <w:szCs w:val="21"/>
        </w:rPr>
        <w:t>致力于该领域的投资，比较契合当前市场环境</w:t>
      </w:r>
      <w:r w:rsidRPr="009064BA">
        <w:rPr>
          <w:rFonts w:ascii="楷体" w:eastAsia="楷体" w:hAnsi="楷体" w:hint="eastAsia"/>
          <w:szCs w:val="21"/>
        </w:rPr>
        <w:t>。</w:t>
      </w:r>
    </w:p>
    <w:p w:rsidR="000355B9" w:rsidRPr="00136772" w:rsidRDefault="000355B9" w:rsidP="00136772">
      <w:pPr>
        <w:pStyle w:val="BodyText"/>
        <w:numPr>
          <w:ilvl w:val="5"/>
          <w:numId w:val="2"/>
        </w:numPr>
        <w:spacing w:after="163"/>
        <w:ind w:left="4140" w:hanging="369"/>
        <w:rPr>
          <w:color w:val="auto"/>
        </w:rPr>
      </w:pPr>
      <w:r>
        <w:rPr>
          <w:rFonts w:hint="eastAsia"/>
          <w:b/>
          <w:color w:val="auto"/>
        </w:rPr>
        <w:t>混合型基金操作灵活</w:t>
      </w:r>
      <w:r w:rsidRPr="00B57A7E">
        <w:rPr>
          <w:rFonts w:hint="eastAsia"/>
          <w:b/>
          <w:color w:val="auto"/>
        </w:rPr>
        <w:t>。</w:t>
      </w:r>
      <w:r>
        <w:rPr>
          <w:rFonts w:hint="eastAsia"/>
          <w:color w:val="auto"/>
        </w:rPr>
        <w:t>招募说明书中规定，该基金</w:t>
      </w:r>
      <w:r w:rsidRPr="00F11E35">
        <w:rPr>
          <w:rFonts w:hint="eastAsia"/>
          <w:color w:val="auto"/>
        </w:rPr>
        <w:t>股票等权益类资产占基金资产的</w:t>
      </w:r>
      <w:r w:rsidRPr="00F11E35">
        <w:rPr>
          <w:color w:val="auto"/>
        </w:rPr>
        <w:t>0%-95%</w:t>
      </w:r>
      <w:r>
        <w:rPr>
          <w:rFonts w:hint="eastAsia"/>
          <w:color w:val="auto"/>
        </w:rPr>
        <w:t>，属于灵活配置型基金品种，较大的股票投资浮动范围为基金经理提供了比较宽松的主动操作空间，面对市场震荡具备先天优势</w:t>
      </w:r>
      <w:r w:rsidRPr="00B57A7E">
        <w:rPr>
          <w:rFonts w:hint="eastAsia"/>
          <w:color w:val="auto"/>
        </w:rPr>
        <w:t>。</w:t>
      </w:r>
      <w:r>
        <w:rPr>
          <w:rFonts w:hint="eastAsia"/>
          <w:color w:val="auto"/>
        </w:rPr>
        <w:t>与此同时，此类品种还可进行适量的新股申购操作，投资机会丰富多样。</w:t>
      </w:r>
    </w:p>
    <w:tbl>
      <w:tblPr>
        <w:tblW w:w="7725" w:type="dxa"/>
        <w:tblInd w:w="3119" w:type="dxa"/>
        <w:tblBorders>
          <w:top w:val="single" w:sz="6" w:space="0" w:color="FF6600"/>
          <w:bottom w:val="single" w:sz="6" w:space="0" w:color="FF6600"/>
          <w:insideH w:val="single" w:sz="6" w:space="0" w:color="FF6600"/>
        </w:tblBorders>
        <w:tblLayout w:type="fixed"/>
        <w:tblCellMar>
          <w:left w:w="0" w:type="dxa"/>
          <w:right w:w="0" w:type="dxa"/>
        </w:tblCellMar>
        <w:tblLook w:val="0000"/>
      </w:tblPr>
      <w:tblGrid>
        <w:gridCol w:w="1523"/>
        <w:gridCol w:w="1240"/>
        <w:gridCol w:w="1241"/>
        <w:gridCol w:w="1240"/>
        <w:gridCol w:w="1240"/>
        <w:gridCol w:w="1241"/>
      </w:tblGrid>
      <w:tr w:rsidR="000355B9" w:rsidRPr="0090327A" w:rsidTr="00D92D8A">
        <w:trPr>
          <w:cantSplit/>
          <w:trHeight w:val="65"/>
        </w:trPr>
        <w:tc>
          <w:tcPr>
            <w:tcW w:w="7725" w:type="dxa"/>
            <w:gridSpan w:val="6"/>
            <w:vAlign w:val="center"/>
          </w:tcPr>
          <w:p w:rsidR="000355B9" w:rsidRPr="00656031" w:rsidRDefault="000355B9" w:rsidP="00D92D8A">
            <w:pPr>
              <w:pStyle w:val="SubTitleLargeTable"/>
              <w:pBdr>
                <w:top w:val="none" w:sz="0" w:space="0" w:color="auto"/>
              </w:pBdr>
              <w:rPr>
                <w:rFonts w:ascii="宋体" w:eastAsia="宋体" w:hAnsi="宋体"/>
                <w:b w:val="0"/>
                <w:color w:val="FF6600"/>
              </w:rPr>
            </w:pPr>
            <w:r w:rsidRPr="00656031">
              <w:rPr>
                <w:rFonts w:hint="eastAsia"/>
                <w:color w:val="FF6600"/>
              </w:rPr>
              <w:t>图表</w:t>
            </w:r>
            <w:r>
              <w:rPr>
                <w:color w:val="FF6600"/>
              </w:rPr>
              <w:t>2</w:t>
            </w:r>
            <w:r w:rsidRPr="00656031">
              <w:rPr>
                <w:rFonts w:hint="eastAsia"/>
                <w:color w:val="FF6600"/>
              </w:rPr>
              <w:t>：</w:t>
            </w:r>
            <w:r w:rsidRPr="00E323ED">
              <w:rPr>
                <w:rFonts w:hint="eastAsia"/>
                <w:color w:val="FF6600"/>
              </w:rPr>
              <w:t>长盛生态环境主题混合型基金</w:t>
            </w:r>
            <w:r>
              <w:rPr>
                <w:rFonts w:hint="eastAsia"/>
                <w:color w:val="FF6600"/>
              </w:rPr>
              <w:t>简介</w:t>
            </w:r>
          </w:p>
        </w:tc>
      </w:tr>
      <w:tr w:rsidR="000355B9" w:rsidRPr="0090327A" w:rsidTr="00D92D8A">
        <w:trPr>
          <w:cantSplit/>
          <w:trHeight w:val="276"/>
        </w:trPr>
        <w:tc>
          <w:tcPr>
            <w:tcW w:w="1523" w:type="dxa"/>
            <w:tcBorders>
              <w:right w:val="single" w:sz="6" w:space="0" w:color="FF6600"/>
            </w:tcBorders>
            <w:vAlign w:val="center"/>
          </w:tcPr>
          <w:p w:rsidR="000355B9" w:rsidRPr="0090327A" w:rsidRDefault="000355B9" w:rsidP="00D92D8A">
            <w:pPr>
              <w:snapToGrid w:val="0"/>
              <w:spacing w:line="10" w:lineRule="atLeast"/>
              <w:jc w:val="center"/>
              <w:rPr>
                <w:rFonts w:ascii="宋体"/>
                <w:b/>
                <w:sz w:val="15"/>
                <w:szCs w:val="15"/>
              </w:rPr>
            </w:pPr>
            <w:r w:rsidRPr="0090327A">
              <w:rPr>
                <w:rFonts w:ascii="宋体" w:hAnsi="宋体" w:hint="eastAsia"/>
                <w:b/>
                <w:sz w:val="15"/>
                <w:szCs w:val="15"/>
              </w:rPr>
              <w:t>基金名称</w:t>
            </w:r>
          </w:p>
        </w:tc>
        <w:tc>
          <w:tcPr>
            <w:tcW w:w="6202" w:type="dxa"/>
            <w:gridSpan w:val="5"/>
            <w:tcBorders>
              <w:left w:val="single" w:sz="6" w:space="0" w:color="FF6600"/>
            </w:tcBorders>
            <w:vAlign w:val="center"/>
          </w:tcPr>
          <w:p w:rsidR="000355B9" w:rsidRPr="0090327A" w:rsidRDefault="000355B9" w:rsidP="00D92D8A">
            <w:pPr>
              <w:snapToGrid w:val="0"/>
              <w:spacing w:line="10" w:lineRule="atLeast"/>
              <w:jc w:val="center"/>
              <w:rPr>
                <w:rFonts w:ascii="宋体"/>
                <w:sz w:val="15"/>
                <w:szCs w:val="15"/>
              </w:rPr>
            </w:pPr>
            <w:r w:rsidRPr="0090327A">
              <w:rPr>
                <w:rFonts w:ascii="宋体" w:hAnsi="宋体" w:cs="宋体" w:hint="eastAsia"/>
                <w:sz w:val="15"/>
                <w:szCs w:val="15"/>
              </w:rPr>
              <w:t></w:t>
            </w:r>
            <w:r w:rsidRPr="0090327A">
              <w:rPr>
                <w:rFonts w:ascii="宋体"/>
                <w:sz w:val="15"/>
                <w:szCs w:val="15"/>
              </w:rPr>
              <w:tab/>
            </w:r>
            <w:r w:rsidRPr="0090327A">
              <w:rPr>
                <w:rFonts w:ascii="宋体" w:hAnsi="宋体" w:hint="eastAsia"/>
                <w:sz w:val="15"/>
                <w:szCs w:val="15"/>
              </w:rPr>
              <w:t>长盛生态环境主题混合型基金</w:t>
            </w:r>
          </w:p>
        </w:tc>
      </w:tr>
      <w:tr w:rsidR="000355B9" w:rsidRPr="0090327A" w:rsidTr="00D92D8A">
        <w:trPr>
          <w:cantSplit/>
          <w:trHeight w:val="269"/>
        </w:trPr>
        <w:tc>
          <w:tcPr>
            <w:tcW w:w="1523" w:type="dxa"/>
            <w:tcBorders>
              <w:right w:val="single" w:sz="6" w:space="0" w:color="FF6600"/>
            </w:tcBorders>
            <w:vAlign w:val="center"/>
          </w:tcPr>
          <w:p w:rsidR="000355B9" w:rsidRPr="0090327A" w:rsidRDefault="000355B9" w:rsidP="00D92D8A">
            <w:pPr>
              <w:snapToGrid w:val="0"/>
              <w:spacing w:line="10" w:lineRule="atLeast"/>
              <w:jc w:val="center"/>
              <w:rPr>
                <w:rFonts w:ascii="宋体"/>
                <w:b/>
                <w:sz w:val="15"/>
                <w:szCs w:val="15"/>
              </w:rPr>
            </w:pPr>
            <w:r w:rsidRPr="0090327A">
              <w:rPr>
                <w:rFonts w:ascii="宋体" w:hAnsi="宋体" w:hint="eastAsia"/>
                <w:b/>
                <w:sz w:val="15"/>
                <w:szCs w:val="15"/>
              </w:rPr>
              <w:t>市场代码</w:t>
            </w:r>
          </w:p>
        </w:tc>
        <w:tc>
          <w:tcPr>
            <w:tcW w:w="1240" w:type="dxa"/>
            <w:tcBorders>
              <w:left w:val="single" w:sz="6" w:space="0" w:color="FF6600"/>
              <w:right w:val="single" w:sz="6" w:space="0" w:color="FF6600"/>
            </w:tcBorders>
            <w:vAlign w:val="center"/>
          </w:tcPr>
          <w:p w:rsidR="000355B9" w:rsidRPr="0090327A" w:rsidRDefault="000355B9" w:rsidP="00B7662B">
            <w:pPr>
              <w:snapToGrid w:val="0"/>
              <w:spacing w:line="10" w:lineRule="atLeast"/>
              <w:jc w:val="center"/>
              <w:rPr>
                <w:rFonts w:ascii="宋体"/>
                <w:sz w:val="15"/>
                <w:szCs w:val="15"/>
              </w:rPr>
            </w:pPr>
            <w:r w:rsidRPr="0090327A">
              <w:rPr>
                <w:rFonts w:ascii="宋体" w:hAnsi="宋体"/>
                <w:sz w:val="15"/>
                <w:szCs w:val="15"/>
              </w:rPr>
              <w:t>000598</w:t>
            </w:r>
          </w:p>
        </w:tc>
        <w:tc>
          <w:tcPr>
            <w:tcW w:w="1241" w:type="dxa"/>
            <w:tcBorders>
              <w:left w:val="single" w:sz="6" w:space="0" w:color="FF6600"/>
              <w:right w:val="single" w:sz="6" w:space="0" w:color="FF6600"/>
            </w:tcBorders>
            <w:vAlign w:val="center"/>
          </w:tcPr>
          <w:p w:rsidR="000355B9" w:rsidRPr="0090327A" w:rsidRDefault="000355B9" w:rsidP="00D92D8A">
            <w:pPr>
              <w:snapToGrid w:val="0"/>
              <w:spacing w:line="10" w:lineRule="atLeast"/>
              <w:jc w:val="center"/>
              <w:rPr>
                <w:rFonts w:ascii="宋体"/>
                <w:b/>
                <w:sz w:val="15"/>
                <w:szCs w:val="15"/>
              </w:rPr>
            </w:pPr>
            <w:r w:rsidRPr="0090327A">
              <w:rPr>
                <w:rFonts w:ascii="宋体" w:hAnsi="宋体" w:hint="eastAsia"/>
                <w:b/>
                <w:sz w:val="15"/>
                <w:szCs w:val="15"/>
              </w:rPr>
              <w:t>基金公司</w:t>
            </w:r>
          </w:p>
        </w:tc>
        <w:tc>
          <w:tcPr>
            <w:tcW w:w="1240" w:type="dxa"/>
            <w:tcBorders>
              <w:left w:val="single" w:sz="6" w:space="0" w:color="FF6600"/>
              <w:right w:val="single" w:sz="6" w:space="0" w:color="FF6600"/>
            </w:tcBorders>
            <w:vAlign w:val="center"/>
          </w:tcPr>
          <w:p w:rsidR="000355B9" w:rsidRPr="0090327A" w:rsidRDefault="000355B9" w:rsidP="009D668C">
            <w:pPr>
              <w:snapToGrid w:val="0"/>
              <w:spacing w:line="10" w:lineRule="atLeast"/>
              <w:jc w:val="center"/>
              <w:rPr>
                <w:rFonts w:ascii="宋体"/>
                <w:sz w:val="15"/>
                <w:szCs w:val="15"/>
              </w:rPr>
            </w:pPr>
            <w:r w:rsidRPr="0090327A">
              <w:rPr>
                <w:rFonts w:ascii="宋体" w:hAnsi="宋体" w:hint="eastAsia"/>
                <w:sz w:val="15"/>
                <w:szCs w:val="15"/>
              </w:rPr>
              <w:t>长盛基金</w:t>
            </w:r>
          </w:p>
        </w:tc>
        <w:tc>
          <w:tcPr>
            <w:tcW w:w="1240" w:type="dxa"/>
            <w:tcBorders>
              <w:left w:val="single" w:sz="6" w:space="0" w:color="FF6600"/>
              <w:right w:val="single" w:sz="6" w:space="0" w:color="FF6600"/>
            </w:tcBorders>
            <w:vAlign w:val="center"/>
          </w:tcPr>
          <w:p w:rsidR="000355B9" w:rsidRPr="0090327A" w:rsidRDefault="000355B9" w:rsidP="00D92D8A">
            <w:pPr>
              <w:snapToGrid w:val="0"/>
              <w:spacing w:line="10" w:lineRule="atLeast"/>
              <w:jc w:val="center"/>
              <w:rPr>
                <w:rFonts w:ascii="宋体"/>
                <w:b/>
                <w:sz w:val="15"/>
                <w:szCs w:val="15"/>
              </w:rPr>
            </w:pPr>
            <w:r w:rsidRPr="0090327A">
              <w:rPr>
                <w:rFonts w:ascii="宋体" w:hAnsi="宋体" w:hint="eastAsia"/>
                <w:b/>
                <w:sz w:val="15"/>
                <w:szCs w:val="15"/>
              </w:rPr>
              <w:t>基金经理</w:t>
            </w:r>
          </w:p>
        </w:tc>
        <w:tc>
          <w:tcPr>
            <w:tcW w:w="1241" w:type="dxa"/>
            <w:tcBorders>
              <w:left w:val="single" w:sz="6" w:space="0" w:color="FF6600"/>
            </w:tcBorders>
            <w:vAlign w:val="center"/>
          </w:tcPr>
          <w:p w:rsidR="000355B9" w:rsidRPr="0090327A" w:rsidRDefault="000355B9" w:rsidP="00BB3278">
            <w:pPr>
              <w:snapToGrid w:val="0"/>
              <w:spacing w:line="10" w:lineRule="atLeast"/>
              <w:jc w:val="center"/>
              <w:rPr>
                <w:rFonts w:ascii="宋体"/>
                <w:sz w:val="15"/>
                <w:szCs w:val="15"/>
              </w:rPr>
            </w:pPr>
            <w:r w:rsidRPr="0090327A">
              <w:rPr>
                <w:rFonts w:ascii="宋体" w:hAnsi="宋体" w:hint="eastAsia"/>
                <w:sz w:val="15"/>
                <w:szCs w:val="15"/>
              </w:rPr>
              <w:t>邓永明</w:t>
            </w:r>
          </w:p>
        </w:tc>
      </w:tr>
      <w:tr w:rsidR="000355B9" w:rsidRPr="0090327A" w:rsidTr="00B7662B">
        <w:trPr>
          <w:cantSplit/>
          <w:trHeight w:val="979"/>
        </w:trPr>
        <w:tc>
          <w:tcPr>
            <w:tcW w:w="1523" w:type="dxa"/>
            <w:tcBorders>
              <w:right w:val="single" w:sz="6" w:space="0" w:color="FF6600"/>
            </w:tcBorders>
            <w:vAlign w:val="center"/>
          </w:tcPr>
          <w:p w:rsidR="000355B9" w:rsidRPr="0090327A" w:rsidRDefault="000355B9" w:rsidP="00D92D8A">
            <w:pPr>
              <w:snapToGrid w:val="0"/>
              <w:spacing w:line="10" w:lineRule="atLeast"/>
              <w:jc w:val="center"/>
              <w:rPr>
                <w:rFonts w:ascii="宋体"/>
                <w:b/>
                <w:sz w:val="15"/>
                <w:szCs w:val="15"/>
              </w:rPr>
            </w:pPr>
            <w:r w:rsidRPr="0090327A">
              <w:rPr>
                <w:rFonts w:ascii="宋体" w:hAnsi="宋体" w:hint="eastAsia"/>
                <w:b/>
                <w:sz w:val="15"/>
                <w:szCs w:val="15"/>
              </w:rPr>
              <w:t>投资策略</w:t>
            </w:r>
          </w:p>
        </w:tc>
        <w:tc>
          <w:tcPr>
            <w:tcW w:w="6202" w:type="dxa"/>
            <w:gridSpan w:val="5"/>
            <w:tcBorders>
              <w:left w:val="single" w:sz="6" w:space="0" w:color="FF6600"/>
            </w:tcBorders>
            <w:vAlign w:val="center"/>
          </w:tcPr>
          <w:p w:rsidR="000355B9" w:rsidRPr="0090327A" w:rsidRDefault="000355B9" w:rsidP="009364B9">
            <w:pPr>
              <w:snapToGrid w:val="0"/>
              <w:spacing w:line="10" w:lineRule="atLeast"/>
              <w:ind w:firstLineChars="200" w:firstLine="300"/>
              <w:rPr>
                <w:rFonts w:ascii="宋体"/>
                <w:sz w:val="15"/>
                <w:szCs w:val="15"/>
              </w:rPr>
            </w:pPr>
            <w:r w:rsidRPr="0090327A">
              <w:rPr>
                <w:rFonts w:ascii="宋体" w:hAnsi="宋体" w:hint="eastAsia"/>
                <w:sz w:val="15"/>
                <w:szCs w:val="15"/>
              </w:rPr>
              <w:t>该基金主要投资于从事或受益于生态环境主题的上市公司，通过精选个股和风险控制，力求为基金份额持有人获取超过业绩比较基准的收益。对生态环境主题上市公司股票的界定为公司主营业务中从事与生态环境主题相关的业务，或者直接或间接受益于生态环境投资主题所带来的较高回报，具体涉及节能技术和装备、节能产品、环保技术和设备、环保服务及环保受益相关行业、清洁生产技术和清洁产品、资源回收及循环利用产业、城市园林等相关行业上市公司。招募说明书中规定投资于生态环境主题的股票和债券不低于非现金基金资产的</w:t>
            </w:r>
            <w:r w:rsidRPr="0090327A">
              <w:rPr>
                <w:rFonts w:ascii="宋体" w:hAnsi="宋体"/>
                <w:sz w:val="15"/>
                <w:szCs w:val="15"/>
              </w:rPr>
              <w:t>80%</w:t>
            </w:r>
            <w:r w:rsidRPr="0090327A">
              <w:rPr>
                <w:rFonts w:ascii="宋体" w:hAnsi="宋体" w:hint="eastAsia"/>
                <w:sz w:val="15"/>
                <w:szCs w:val="15"/>
              </w:rPr>
              <w:t>。</w:t>
            </w:r>
          </w:p>
        </w:tc>
      </w:tr>
      <w:tr w:rsidR="000355B9" w:rsidRPr="0090327A" w:rsidTr="00D92D8A">
        <w:trPr>
          <w:cantSplit/>
          <w:trHeight w:val="273"/>
        </w:trPr>
        <w:tc>
          <w:tcPr>
            <w:tcW w:w="1523" w:type="dxa"/>
            <w:tcBorders>
              <w:right w:val="single" w:sz="6" w:space="0" w:color="FF6600"/>
            </w:tcBorders>
            <w:vAlign w:val="center"/>
          </w:tcPr>
          <w:p w:rsidR="000355B9" w:rsidRPr="0090327A" w:rsidRDefault="000355B9" w:rsidP="00D92D8A">
            <w:pPr>
              <w:snapToGrid w:val="0"/>
              <w:spacing w:line="10" w:lineRule="atLeast"/>
              <w:jc w:val="center"/>
              <w:rPr>
                <w:rFonts w:ascii="宋体"/>
                <w:b/>
                <w:sz w:val="15"/>
                <w:szCs w:val="15"/>
              </w:rPr>
            </w:pPr>
            <w:r w:rsidRPr="0090327A">
              <w:rPr>
                <w:rFonts w:ascii="宋体" w:hAnsi="宋体" w:hint="eastAsia"/>
                <w:b/>
                <w:sz w:val="15"/>
                <w:szCs w:val="15"/>
              </w:rPr>
              <w:t>业绩比较基准</w:t>
            </w:r>
          </w:p>
        </w:tc>
        <w:tc>
          <w:tcPr>
            <w:tcW w:w="6202" w:type="dxa"/>
            <w:gridSpan w:val="5"/>
            <w:tcBorders>
              <w:left w:val="single" w:sz="6" w:space="0" w:color="FF6600"/>
            </w:tcBorders>
            <w:vAlign w:val="center"/>
          </w:tcPr>
          <w:p w:rsidR="000355B9" w:rsidRPr="0090327A" w:rsidRDefault="000355B9" w:rsidP="0077447D">
            <w:pPr>
              <w:snapToGrid w:val="0"/>
              <w:spacing w:line="10" w:lineRule="atLeast"/>
              <w:jc w:val="center"/>
              <w:rPr>
                <w:rFonts w:ascii="宋体"/>
                <w:sz w:val="15"/>
                <w:szCs w:val="15"/>
              </w:rPr>
            </w:pPr>
            <w:r w:rsidRPr="0090327A">
              <w:rPr>
                <w:rFonts w:ascii="宋体" w:hAnsi="宋体" w:hint="eastAsia"/>
                <w:sz w:val="15"/>
                <w:szCs w:val="15"/>
              </w:rPr>
              <w:t>中证环保产业指数收益率×</w:t>
            </w:r>
            <w:r w:rsidRPr="0090327A">
              <w:rPr>
                <w:rFonts w:ascii="宋体" w:hAnsi="宋体"/>
                <w:sz w:val="15"/>
                <w:szCs w:val="15"/>
              </w:rPr>
              <w:t>50%+</w:t>
            </w:r>
            <w:r w:rsidRPr="0090327A">
              <w:rPr>
                <w:rFonts w:ascii="宋体" w:hAnsi="宋体" w:hint="eastAsia"/>
                <w:sz w:val="15"/>
                <w:szCs w:val="15"/>
              </w:rPr>
              <w:t>中证综合债指数收益率×</w:t>
            </w:r>
            <w:r w:rsidRPr="0090327A">
              <w:rPr>
                <w:rFonts w:ascii="宋体" w:hAnsi="宋体"/>
                <w:sz w:val="15"/>
                <w:szCs w:val="15"/>
              </w:rPr>
              <w:t>50%</w:t>
            </w:r>
          </w:p>
        </w:tc>
      </w:tr>
    </w:tbl>
    <w:p w:rsidR="000355B9" w:rsidRPr="00961E7F" w:rsidRDefault="000355B9" w:rsidP="009206FD">
      <w:pPr>
        <w:pStyle w:val="FootnoteNoline"/>
        <w:rPr>
          <w:rFonts w:ascii="楷体" w:eastAsia="楷体" w:hAnsi="楷体"/>
          <w:color w:val="FF6600"/>
        </w:rPr>
      </w:pPr>
      <w:r w:rsidRPr="00961E7F">
        <w:rPr>
          <w:rFonts w:ascii="楷体" w:eastAsia="楷体" w:hAnsi="楷体" w:hint="eastAsia"/>
          <w:color w:val="FF6600"/>
        </w:rPr>
        <w:t>来源：凯石财富工场</w:t>
      </w:r>
    </w:p>
    <w:p w:rsidR="000355B9" w:rsidRPr="006C59A6" w:rsidRDefault="000355B9" w:rsidP="00C01486">
      <w:pPr>
        <w:pStyle w:val="BodyText"/>
        <w:numPr>
          <w:ilvl w:val="4"/>
          <w:numId w:val="1"/>
        </w:numPr>
        <w:spacing w:after="163"/>
        <w:rPr>
          <w:b/>
          <w:color w:val="auto"/>
        </w:rPr>
      </w:pPr>
      <w:bookmarkStart w:id="0" w:name="_Hlk395170995"/>
      <w:r w:rsidRPr="00BF047B">
        <w:rPr>
          <w:rFonts w:hint="eastAsia"/>
          <w:b/>
          <w:color w:val="auto"/>
        </w:rPr>
        <w:t>易方达恒久添利</w:t>
      </w:r>
      <w:r w:rsidRPr="00BF047B">
        <w:rPr>
          <w:b/>
          <w:color w:val="auto"/>
        </w:rPr>
        <w:t>1</w:t>
      </w:r>
      <w:r w:rsidRPr="00BF047B">
        <w:rPr>
          <w:rFonts w:hint="eastAsia"/>
          <w:b/>
          <w:color w:val="auto"/>
        </w:rPr>
        <w:t>年定开债券</w:t>
      </w:r>
      <w:r>
        <w:rPr>
          <w:rFonts w:hint="eastAsia"/>
          <w:b/>
          <w:color w:val="auto"/>
        </w:rPr>
        <w:t>型基金</w:t>
      </w:r>
      <w:bookmarkEnd w:id="0"/>
    </w:p>
    <w:p w:rsidR="000355B9" w:rsidRPr="00B57A7E" w:rsidRDefault="000355B9" w:rsidP="00B57A7E">
      <w:pPr>
        <w:pStyle w:val="BodyText"/>
        <w:numPr>
          <w:ilvl w:val="5"/>
          <w:numId w:val="2"/>
        </w:numPr>
        <w:spacing w:after="163"/>
        <w:ind w:left="4140" w:hanging="369"/>
        <w:rPr>
          <w:color w:val="auto"/>
        </w:rPr>
      </w:pPr>
      <w:r>
        <w:rPr>
          <w:rFonts w:hint="eastAsia"/>
          <w:b/>
          <w:color w:val="auto"/>
        </w:rPr>
        <w:t>定期开放运作，有利于增厚收益</w:t>
      </w:r>
      <w:r w:rsidRPr="00B57A7E">
        <w:rPr>
          <w:rFonts w:hint="eastAsia"/>
          <w:b/>
          <w:color w:val="auto"/>
        </w:rPr>
        <w:t>。</w:t>
      </w:r>
      <w:r w:rsidRPr="006B44D7">
        <w:rPr>
          <w:rFonts w:hint="eastAsia"/>
          <w:color w:val="auto"/>
        </w:rPr>
        <w:t>该基金</w:t>
      </w:r>
      <w:r>
        <w:rPr>
          <w:rFonts w:hint="eastAsia"/>
          <w:color w:val="auto"/>
        </w:rPr>
        <w:t>采用定期开放的运作模式，即产品运作期由封闭期和开放期组成，每个运作期期限为</w:t>
      </w:r>
      <w:r>
        <w:rPr>
          <w:color w:val="auto"/>
        </w:rPr>
        <w:t>1</w:t>
      </w:r>
      <w:r>
        <w:rPr>
          <w:rFonts w:hint="eastAsia"/>
          <w:color w:val="auto"/>
        </w:rPr>
        <w:t>年，</w:t>
      </w:r>
      <w:r w:rsidRPr="00A54F91">
        <w:rPr>
          <w:rFonts w:hint="eastAsia"/>
          <w:color w:val="auto"/>
        </w:rPr>
        <w:t>自每个封闭期结束之后第一个工作日起进入开放期，每个开放期最长不超过</w:t>
      </w:r>
      <w:r>
        <w:rPr>
          <w:color w:val="auto"/>
        </w:rPr>
        <w:t>30</w:t>
      </w:r>
      <w:r>
        <w:rPr>
          <w:rFonts w:hint="eastAsia"/>
          <w:color w:val="auto"/>
        </w:rPr>
        <w:t>个自然日</w:t>
      </w:r>
      <w:r w:rsidRPr="00A54F91">
        <w:rPr>
          <w:rFonts w:hint="eastAsia"/>
          <w:color w:val="auto"/>
        </w:rPr>
        <w:t>，最短不少于</w:t>
      </w:r>
      <w:r>
        <w:rPr>
          <w:color w:val="auto"/>
        </w:rPr>
        <w:t>7</w:t>
      </w:r>
      <w:r>
        <w:rPr>
          <w:rFonts w:hint="eastAsia"/>
          <w:color w:val="auto"/>
        </w:rPr>
        <w:t>个自然</w:t>
      </w:r>
      <w:r w:rsidRPr="00A54F91">
        <w:rPr>
          <w:rFonts w:hint="eastAsia"/>
          <w:color w:val="auto"/>
        </w:rPr>
        <w:t>日</w:t>
      </w:r>
      <w:r>
        <w:rPr>
          <w:rFonts w:hint="eastAsia"/>
          <w:color w:val="auto"/>
        </w:rPr>
        <w:t>。其中，</w:t>
      </w:r>
      <w:r w:rsidRPr="004B60D6">
        <w:rPr>
          <w:rFonts w:ascii="楷体_GB2312" w:cs="Arial" w:hint="eastAsia"/>
        </w:rPr>
        <w:t>封闭式管理</w:t>
      </w:r>
      <w:r>
        <w:rPr>
          <w:rFonts w:ascii="楷体_GB2312" w:cs="Arial" w:hint="eastAsia"/>
        </w:rPr>
        <w:t>能够保证</w:t>
      </w:r>
      <w:r w:rsidRPr="009064BA">
        <w:rPr>
          <w:rFonts w:ascii="楷体" w:eastAsia="楷体" w:hAnsi="楷体" w:cs="楷体_GB2312" w:hint="eastAsia"/>
          <w:szCs w:val="21"/>
          <w:lang w:val="en-US"/>
        </w:rPr>
        <w:t>基金运作环境</w:t>
      </w:r>
      <w:r>
        <w:rPr>
          <w:rFonts w:ascii="楷体" w:eastAsia="楷体" w:hAnsi="楷体" w:cs="楷体_GB2312" w:hint="eastAsia"/>
          <w:szCs w:val="21"/>
          <w:lang w:val="en-US"/>
        </w:rPr>
        <w:t>的</w:t>
      </w:r>
      <w:r w:rsidRPr="009064BA">
        <w:rPr>
          <w:rFonts w:ascii="楷体" w:eastAsia="楷体" w:hAnsi="楷体" w:cs="楷体_GB2312" w:hint="eastAsia"/>
          <w:szCs w:val="21"/>
          <w:lang w:val="en-US"/>
        </w:rPr>
        <w:t>稳定，</w:t>
      </w:r>
      <w:r>
        <w:rPr>
          <w:rFonts w:ascii="楷体" w:eastAsia="楷体" w:hAnsi="楷体" w:cs="楷体_GB2312" w:hint="eastAsia"/>
          <w:szCs w:val="21"/>
          <w:lang w:val="en-US"/>
        </w:rPr>
        <w:t>没有</w:t>
      </w:r>
      <w:r w:rsidRPr="009064BA">
        <w:rPr>
          <w:rFonts w:ascii="楷体" w:eastAsia="楷体" w:hAnsi="楷体" w:cs="楷体_GB2312" w:hint="eastAsia"/>
          <w:szCs w:val="21"/>
          <w:lang w:val="en-US"/>
        </w:rPr>
        <w:t>流动性管理</w:t>
      </w:r>
      <w:r>
        <w:rPr>
          <w:rFonts w:ascii="楷体" w:eastAsia="楷体" w:hAnsi="楷体" w:cs="楷体_GB2312" w:hint="eastAsia"/>
          <w:szCs w:val="21"/>
          <w:lang w:val="en-US"/>
        </w:rPr>
        <w:t>压力</w:t>
      </w:r>
      <w:r w:rsidRPr="009064BA">
        <w:rPr>
          <w:rFonts w:ascii="楷体" w:eastAsia="楷体" w:hAnsi="楷体" w:cs="楷体_GB2312" w:hint="eastAsia"/>
          <w:szCs w:val="21"/>
          <w:lang w:val="en-US"/>
        </w:rPr>
        <w:t>，</w:t>
      </w:r>
      <w:r>
        <w:rPr>
          <w:rFonts w:ascii="楷体" w:eastAsia="楷体" w:hAnsi="楷体" w:cs="楷体_GB2312" w:hint="eastAsia"/>
          <w:szCs w:val="21"/>
          <w:lang w:val="en-US"/>
        </w:rPr>
        <w:t>因而</w:t>
      </w:r>
      <w:r w:rsidRPr="009064BA">
        <w:rPr>
          <w:rFonts w:ascii="楷体" w:eastAsia="楷体" w:hAnsi="楷体" w:cs="楷体_GB2312" w:hint="eastAsia"/>
          <w:szCs w:val="21"/>
          <w:lang w:val="en-US"/>
        </w:rPr>
        <w:t>可</w:t>
      </w:r>
      <w:r>
        <w:rPr>
          <w:rFonts w:ascii="楷体" w:eastAsia="楷体" w:hAnsi="楷体" w:cs="楷体_GB2312" w:hint="eastAsia"/>
          <w:szCs w:val="21"/>
          <w:lang w:val="en-US"/>
        </w:rPr>
        <w:t>以</w:t>
      </w:r>
      <w:r w:rsidRPr="009064BA">
        <w:rPr>
          <w:rFonts w:ascii="楷体" w:eastAsia="楷体" w:hAnsi="楷体" w:cs="楷体_GB2312" w:hint="eastAsia"/>
          <w:szCs w:val="21"/>
          <w:lang w:val="en-US"/>
        </w:rPr>
        <w:t>通过持有到期等方式配置更多相对高收益、低流动性的债券</w:t>
      </w:r>
      <w:r w:rsidRPr="009064BA">
        <w:rPr>
          <w:rFonts w:ascii="楷体" w:eastAsia="楷体" w:hAnsi="楷体" w:cs="楷体_GB2312"/>
          <w:szCs w:val="21"/>
          <w:lang w:val="en-US"/>
        </w:rPr>
        <w:t>,</w:t>
      </w:r>
      <w:r w:rsidRPr="009064BA">
        <w:rPr>
          <w:rFonts w:ascii="楷体" w:eastAsia="楷体" w:hAnsi="楷体" w:cs="楷体_GB2312" w:hint="eastAsia"/>
          <w:szCs w:val="21"/>
          <w:lang w:val="en-US"/>
        </w:rPr>
        <w:t>提高基金整体收益</w:t>
      </w:r>
      <w:r>
        <w:rPr>
          <w:rFonts w:ascii="楷体" w:eastAsia="楷体" w:hAnsi="楷体" w:cs="楷体_GB2312" w:hint="eastAsia"/>
          <w:szCs w:val="21"/>
          <w:lang w:val="en-US"/>
        </w:rPr>
        <w:t>，</w:t>
      </w:r>
      <w:r>
        <w:rPr>
          <w:rFonts w:ascii="楷体_GB2312" w:cs="Arial" w:hint="eastAsia"/>
        </w:rPr>
        <w:t>而</w:t>
      </w:r>
      <w:r w:rsidRPr="004B60D6">
        <w:rPr>
          <w:rFonts w:ascii="楷体_GB2312" w:cs="Arial" w:hint="eastAsia"/>
        </w:rPr>
        <w:t>定期开放</w:t>
      </w:r>
      <w:r>
        <w:rPr>
          <w:rFonts w:ascii="楷体_GB2312" w:cs="Arial" w:hint="eastAsia"/>
        </w:rPr>
        <w:t>又</w:t>
      </w:r>
      <w:r w:rsidRPr="004B60D6">
        <w:rPr>
          <w:rFonts w:ascii="楷体_GB2312" w:cs="Arial" w:hint="eastAsia"/>
        </w:rPr>
        <w:t>可以满足</w:t>
      </w:r>
      <w:r>
        <w:rPr>
          <w:rFonts w:ascii="楷体_GB2312" w:cs="Arial" w:hint="eastAsia"/>
        </w:rPr>
        <w:t>投资者一定的申购赎回</w:t>
      </w:r>
      <w:r w:rsidRPr="004B60D6">
        <w:rPr>
          <w:rFonts w:ascii="楷体_GB2312" w:cs="Arial" w:hint="eastAsia"/>
        </w:rPr>
        <w:t>需求</w:t>
      </w:r>
      <w:r>
        <w:rPr>
          <w:rFonts w:ascii="楷体_GB2312" w:cs="Arial" w:hint="eastAsia"/>
        </w:rPr>
        <w:t>，从而实现收益与流动性的多方面兼顾。</w:t>
      </w:r>
    </w:p>
    <w:p w:rsidR="000355B9" w:rsidRPr="00A54F91" w:rsidRDefault="000355B9" w:rsidP="00A54F91">
      <w:pPr>
        <w:pStyle w:val="BodyText"/>
        <w:numPr>
          <w:ilvl w:val="5"/>
          <w:numId w:val="2"/>
        </w:numPr>
        <w:spacing w:after="163"/>
        <w:ind w:left="4140" w:hanging="369"/>
        <w:rPr>
          <w:color w:val="auto"/>
        </w:rPr>
      </w:pPr>
      <w:r>
        <w:rPr>
          <w:rFonts w:hint="eastAsia"/>
          <w:b/>
          <w:color w:val="auto"/>
        </w:rPr>
        <w:t>管理人固定收益产品管理经验丰富</w:t>
      </w:r>
      <w:r w:rsidRPr="00A54F91">
        <w:rPr>
          <w:rFonts w:hint="eastAsia"/>
          <w:b/>
          <w:color w:val="auto"/>
        </w:rPr>
        <w:t>。</w:t>
      </w:r>
      <w:r>
        <w:rPr>
          <w:rFonts w:hint="eastAsia"/>
          <w:color w:val="auto"/>
        </w:rPr>
        <w:t>易方达基金固定收益团队整体实力较强，</w:t>
      </w:r>
      <w:r w:rsidRPr="00CE2A66">
        <w:rPr>
          <w:rFonts w:hint="eastAsia"/>
          <w:color w:val="auto"/>
        </w:rPr>
        <w:t>截至今年二季度末</w:t>
      </w:r>
      <w:r>
        <w:rPr>
          <w:rFonts w:hint="eastAsia"/>
          <w:color w:val="auto"/>
        </w:rPr>
        <w:t>公司</w:t>
      </w:r>
      <w:r w:rsidRPr="00CE2A66">
        <w:rPr>
          <w:rFonts w:hint="eastAsia"/>
          <w:color w:val="auto"/>
        </w:rPr>
        <w:t>旗下所管理的公募固定收益产品多达</w:t>
      </w:r>
      <w:r w:rsidRPr="00CE2A66">
        <w:rPr>
          <w:color w:val="auto"/>
        </w:rPr>
        <w:t>23</w:t>
      </w:r>
      <w:r w:rsidRPr="00CE2A66">
        <w:rPr>
          <w:rFonts w:hint="eastAsia"/>
          <w:color w:val="auto"/>
        </w:rPr>
        <w:t>只，总规模超过</w:t>
      </w:r>
      <w:r w:rsidRPr="00CE2A66">
        <w:rPr>
          <w:color w:val="auto"/>
        </w:rPr>
        <w:t>500</w:t>
      </w:r>
      <w:r w:rsidRPr="00CE2A66">
        <w:rPr>
          <w:rFonts w:hint="eastAsia"/>
          <w:color w:val="auto"/>
        </w:rPr>
        <w:t>亿</w:t>
      </w:r>
      <w:r>
        <w:rPr>
          <w:rFonts w:hint="eastAsia"/>
          <w:color w:val="auto"/>
        </w:rPr>
        <w:t>元</w:t>
      </w:r>
      <w:r w:rsidRPr="00CE2A66">
        <w:rPr>
          <w:rFonts w:hint="eastAsia"/>
          <w:color w:val="auto"/>
        </w:rPr>
        <w:t>。</w:t>
      </w:r>
      <w:r>
        <w:rPr>
          <w:rFonts w:hint="eastAsia"/>
          <w:color w:val="auto"/>
        </w:rPr>
        <w:t>而且，管理业绩也表现出了良好的持续性，</w:t>
      </w:r>
      <w:r w:rsidRPr="009064BA">
        <w:rPr>
          <w:rFonts w:ascii="楷体" w:eastAsia="楷体" w:hAnsi="楷体" w:cs="楷体_GB2312" w:hint="eastAsia"/>
          <w:color w:val="auto"/>
          <w:szCs w:val="21"/>
          <w:lang w:val="en-US"/>
        </w:rPr>
        <w:t>成立三年</w:t>
      </w:r>
      <w:r w:rsidRPr="009064BA">
        <w:rPr>
          <w:rFonts w:ascii="楷体" w:eastAsia="楷体" w:hAnsi="楷体" w:hint="eastAsia"/>
          <w:color w:val="auto"/>
        </w:rPr>
        <w:t>以上的</w:t>
      </w:r>
      <w:r>
        <w:rPr>
          <w:rFonts w:ascii="楷体" w:eastAsia="楷体" w:hAnsi="楷体" w:hint="eastAsia"/>
          <w:color w:val="auto"/>
        </w:rPr>
        <w:t>易方达</w:t>
      </w:r>
      <w:r w:rsidRPr="009064BA">
        <w:rPr>
          <w:rFonts w:ascii="楷体" w:eastAsia="楷体" w:hAnsi="楷体" w:hint="eastAsia"/>
          <w:color w:val="auto"/>
        </w:rPr>
        <w:t>增强回报、</w:t>
      </w:r>
      <w:r>
        <w:rPr>
          <w:rFonts w:ascii="楷体" w:eastAsia="楷体" w:hAnsi="楷体" w:hint="eastAsia"/>
          <w:color w:val="auto"/>
        </w:rPr>
        <w:t>易方达</w:t>
      </w:r>
      <w:r w:rsidRPr="009064BA">
        <w:rPr>
          <w:rFonts w:ascii="楷体" w:eastAsia="楷体" w:hAnsi="楷体" w:hint="eastAsia"/>
          <w:color w:val="auto"/>
        </w:rPr>
        <w:t>稳健收益等债券基金的中长期业绩</w:t>
      </w:r>
      <w:r>
        <w:rPr>
          <w:rFonts w:ascii="楷体" w:eastAsia="楷体" w:hAnsi="楷体" w:hint="eastAsia"/>
          <w:color w:val="auto"/>
        </w:rPr>
        <w:t>均位于同业前列</w:t>
      </w:r>
      <w:r w:rsidRPr="009064BA">
        <w:rPr>
          <w:rFonts w:ascii="楷体" w:eastAsia="楷体" w:hAnsi="楷体" w:hint="eastAsia"/>
          <w:color w:val="auto"/>
        </w:rPr>
        <w:t>。</w:t>
      </w:r>
      <w:r w:rsidRPr="001863C8">
        <w:rPr>
          <w:rFonts w:ascii="楷体" w:eastAsia="楷体" w:hAnsi="楷体" w:hint="eastAsia"/>
          <w:color w:val="auto"/>
        </w:rPr>
        <w:t>易方达恒久添利</w:t>
      </w:r>
      <w:r w:rsidRPr="001863C8">
        <w:rPr>
          <w:rFonts w:ascii="楷体" w:eastAsia="楷体" w:hAnsi="楷体"/>
          <w:color w:val="auto"/>
        </w:rPr>
        <w:t>1</w:t>
      </w:r>
      <w:r w:rsidRPr="001863C8">
        <w:rPr>
          <w:rFonts w:ascii="楷体" w:eastAsia="楷体" w:hAnsi="楷体" w:hint="eastAsia"/>
          <w:color w:val="auto"/>
        </w:rPr>
        <w:t>年定开债券型基金</w:t>
      </w:r>
      <w:r>
        <w:rPr>
          <w:rFonts w:hint="eastAsia"/>
          <w:color w:val="auto"/>
        </w:rPr>
        <w:t>的拟任基金经理</w:t>
      </w:r>
      <w:r w:rsidRPr="009064BA">
        <w:rPr>
          <w:rStyle w:val="Strong"/>
          <w:rFonts w:ascii="楷体" w:eastAsia="楷体" w:hAnsi="楷体" w:hint="eastAsia"/>
          <w:b w:val="0"/>
          <w:bCs/>
          <w:color w:val="auto"/>
          <w:szCs w:val="21"/>
        </w:rPr>
        <w:t>张磊先生，具有多年固定收益产品投资经验，其所管理的易方达双债增强债券基金自成立以来</w:t>
      </w:r>
      <w:r>
        <w:rPr>
          <w:rStyle w:val="Strong"/>
          <w:rFonts w:ascii="楷体" w:eastAsia="楷体" w:hAnsi="楷体" w:hint="eastAsia"/>
          <w:b w:val="0"/>
          <w:bCs/>
          <w:color w:val="auto"/>
          <w:szCs w:val="21"/>
        </w:rPr>
        <w:t>至今（截止</w:t>
      </w:r>
      <w:r>
        <w:rPr>
          <w:rStyle w:val="Strong"/>
          <w:rFonts w:ascii="楷体" w:eastAsia="楷体" w:hAnsi="楷体"/>
          <w:b w:val="0"/>
          <w:bCs/>
          <w:color w:val="auto"/>
          <w:szCs w:val="21"/>
        </w:rPr>
        <w:t>2014.8.31</w:t>
      </w:r>
      <w:r>
        <w:rPr>
          <w:rStyle w:val="Strong"/>
          <w:rFonts w:ascii="楷体" w:eastAsia="楷体" w:hAnsi="楷体" w:hint="eastAsia"/>
          <w:b w:val="0"/>
          <w:bCs/>
          <w:color w:val="auto"/>
          <w:szCs w:val="21"/>
        </w:rPr>
        <w:t>）净值上涨</w:t>
      </w:r>
      <w:r>
        <w:rPr>
          <w:rStyle w:val="Strong"/>
          <w:rFonts w:ascii="楷体" w:eastAsia="楷体" w:hAnsi="楷体"/>
          <w:b w:val="0"/>
          <w:bCs/>
          <w:color w:val="auto"/>
          <w:szCs w:val="21"/>
        </w:rPr>
        <w:t>21.42%</w:t>
      </w:r>
      <w:r w:rsidRPr="009064BA">
        <w:rPr>
          <w:rStyle w:val="Strong"/>
          <w:rFonts w:ascii="楷体" w:eastAsia="楷体" w:hAnsi="楷体" w:hint="eastAsia"/>
          <w:b w:val="0"/>
          <w:bCs/>
          <w:color w:val="auto"/>
          <w:szCs w:val="21"/>
        </w:rPr>
        <w:t>，今年以来</w:t>
      </w:r>
      <w:r>
        <w:rPr>
          <w:rStyle w:val="Strong"/>
          <w:rFonts w:ascii="楷体" w:eastAsia="楷体" w:hAnsi="楷体" w:hint="eastAsia"/>
          <w:b w:val="0"/>
          <w:bCs/>
          <w:color w:val="auto"/>
          <w:szCs w:val="21"/>
        </w:rPr>
        <w:t>（截止</w:t>
      </w:r>
      <w:r>
        <w:rPr>
          <w:rStyle w:val="Strong"/>
          <w:rFonts w:ascii="楷体" w:eastAsia="楷体" w:hAnsi="楷体"/>
          <w:b w:val="0"/>
          <w:bCs/>
          <w:color w:val="auto"/>
          <w:szCs w:val="21"/>
        </w:rPr>
        <w:t>2014.8.31</w:t>
      </w:r>
      <w:r>
        <w:rPr>
          <w:rStyle w:val="Strong"/>
          <w:rFonts w:ascii="楷体" w:eastAsia="楷体" w:hAnsi="楷体" w:hint="eastAsia"/>
          <w:b w:val="0"/>
          <w:bCs/>
          <w:color w:val="auto"/>
          <w:szCs w:val="21"/>
        </w:rPr>
        <w:t>）</w:t>
      </w:r>
      <w:r w:rsidRPr="009064BA">
        <w:rPr>
          <w:rStyle w:val="Strong"/>
          <w:rFonts w:ascii="楷体" w:eastAsia="楷体" w:hAnsi="楷体" w:hint="eastAsia"/>
          <w:b w:val="0"/>
          <w:bCs/>
          <w:color w:val="auto"/>
          <w:szCs w:val="21"/>
        </w:rPr>
        <w:t>也取得了超过</w:t>
      </w:r>
      <w:r w:rsidRPr="009064BA">
        <w:rPr>
          <w:rStyle w:val="Strong"/>
          <w:rFonts w:ascii="楷体" w:eastAsia="楷体" w:hAnsi="楷体"/>
          <w:b w:val="0"/>
          <w:bCs/>
          <w:color w:val="auto"/>
          <w:szCs w:val="21"/>
        </w:rPr>
        <w:t>8.5%</w:t>
      </w:r>
      <w:r w:rsidRPr="009064BA">
        <w:rPr>
          <w:rStyle w:val="Strong"/>
          <w:rFonts w:ascii="楷体" w:eastAsia="楷体" w:hAnsi="楷体" w:hint="eastAsia"/>
          <w:b w:val="0"/>
          <w:bCs/>
          <w:color w:val="auto"/>
          <w:szCs w:val="21"/>
        </w:rPr>
        <w:t>的</w:t>
      </w:r>
      <w:r>
        <w:rPr>
          <w:rStyle w:val="Strong"/>
          <w:rFonts w:ascii="楷体" w:eastAsia="楷体" w:hAnsi="楷体" w:hint="eastAsia"/>
          <w:b w:val="0"/>
          <w:bCs/>
          <w:color w:val="auto"/>
          <w:szCs w:val="21"/>
        </w:rPr>
        <w:t>收益</w:t>
      </w:r>
      <w:r w:rsidRPr="009064BA">
        <w:rPr>
          <w:rStyle w:val="Strong"/>
          <w:rFonts w:ascii="楷体" w:eastAsia="楷体" w:hAnsi="楷体" w:hint="eastAsia"/>
          <w:bCs/>
          <w:color w:val="auto"/>
          <w:szCs w:val="21"/>
        </w:rPr>
        <w:t>。</w:t>
      </w:r>
    </w:p>
    <w:tbl>
      <w:tblPr>
        <w:tblW w:w="7725" w:type="dxa"/>
        <w:tblInd w:w="3119" w:type="dxa"/>
        <w:tblBorders>
          <w:top w:val="single" w:sz="6" w:space="0" w:color="FF6600"/>
          <w:bottom w:val="single" w:sz="6" w:space="0" w:color="FF6600"/>
          <w:insideH w:val="single" w:sz="6" w:space="0" w:color="FF6600"/>
        </w:tblBorders>
        <w:tblLayout w:type="fixed"/>
        <w:tblCellMar>
          <w:left w:w="0" w:type="dxa"/>
          <w:right w:w="0" w:type="dxa"/>
        </w:tblCellMar>
        <w:tblLook w:val="0000"/>
      </w:tblPr>
      <w:tblGrid>
        <w:gridCol w:w="1523"/>
        <w:gridCol w:w="1240"/>
        <w:gridCol w:w="1241"/>
        <w:gridCol w:w="1240"/>
        <w:gridCol w:w="1240"/>
        <w:gridCol w:w="1241"/>
      </w:tblGrid>
      <w:tr w:rsidR="000355B9" w:rsidRPr="0090327A" w:rsidTr="00D92D8A">
        <w:trPr>
          <w:cantSplit/>
          <w:trHeight w:val="65"/>
        </w:trPr>
        <w:tc>
          <w:tcPr>
            <w:tcW w:w="7725" w:type="dxa"/>
            <w:gridSpan w:val="6"/>
            <w:vAlign w:val="center"/>
          </w:tcPr>
          <w:p w:rsidR="000355B9" w:rsidRPr="00656031" w:rsidRDefault="000355B9" w:rsidP="00D92D8A">
            <w:pPr>
              <w:pStyle w:val="SubTitleLargeTable"/>
              <w:pBdr>
                <w:top w:val="none" w:sz="0" w:space="0" w:color="auto"/>
              </w:pBdr>
              <w:rPr>
                <w:rFonts w:ascii="宋体" w:eastAsia="宋体" w:hAnsi="宋体"/>
                <w:b w:val="0"/>
                <w:color w:val="FF6600"/>
              </w:rPr>
            </w:pPr>
            <w:r w:rsidRPr="00656031">
              <w:rPr>
                <w:rFonts w:hint="eastAsia"/>
                <w:color w:val="FF6600"/>
              </w:rPr>
              <w:t>图表</w:t>
            </w:r>
            <w:r>
              <w:rPr>
                <w:color w:val="FF6600"/>
              </w:rPr>
              <w:t>3</w:t>
            </w:r>
            <w:r w:rsidRPr="00656031">
              <w:rPr>
                <w:rFonts w:hint="eastAsia"/>
                <w:color w:val="FF6600"/>
              </w:rPr>
              <w:t>：</w:t>
            </w:r>
            <w:r w:rsidRPr="00ED4B2E">
              <w:rPr>
                <w:rFonts w:hint="eastAsia"/>
                <w:color w:val="FF6600"/>
              </w:rPr>
              <w:t>易方达恒久添利</w:t>
            </w:r>
            <w:r w:rsidRPr="00ED4B2E">
              <w:rPr>
                <w:color w:val="FF6600"/>
              </w:rPr>
              <w:t>1</w:t>
            </w:r>
            <w:r w:rsidRPr="00ED4B2E">
              <w:rPr>
                <w:rFonts w:hint="eastAsia"/>
                <w:color w:val="FF6600"/>
              </w:rPr>
              <w:t>年定开债券型基金</w:t>
            </w:r>
            <w:r>
              <w:rPr>
                <w:rFonts w:hint="eastAsia"/>
                <w:color w:val="FF6600"/>
              </w:rPr>
              <w:t>简介</w:t>
            </w:r>
          </w:p>
        </w:tc>
      </w:tr>
      <w:tr w:rsidR="000355B9" w:rsidRPr="0090327A" w:rsidTr="00D92D8A">
        <w:trPr>
          <w:cantSplit/>
          <w:trHeight w:val="276"/>
        </w:trPr>
        <w:tc>
          <w:tcPr>
            <w:tcW w:w="1523" w:type="dxa"/>
            <w:tcBorders>
              <w:right w:val="single" w:sz="6" w:space="0" w:color="FF6600"/>
            </w:tcBorders>
            <w:vAlign w:val="center"/>
          </w:tcPr>
          <w:p w:rsidR="000355B9" w:rsidRPr="0090327A" w:rsidRDefault="000355B9" w:rsidP="00D92D8A">
            <w:pPr>
              <w:snapToGrid w:val="0"/>
              <w:spacing w:line="10" w:lineRule="atLeast"/>
              <w:jc w:val="center"/>
              <w:rPr>
                <w:rFonts w:ascii="宋体"/>
                <w:b/>
                <w:sz w:val="15"/>
                <w:szCs w:val="15"/>
              </w:rPr>
            </w:pPr>
            <w:r w:rsidRPr="0090327A">
              <w:rPr>
                <w:rFonts w:ascii="宋体" w:hAnsi="宋体" w:hint="eastAsia"/>
                <w:b/>
                <w:sz w:val="15"/>
                <w:szCs w:val="15"/>
              </w:rPr>
              <w:t>基金名称</w:t>
            </w:r>
          </w:p>
        </w:tc>
        <w:tc>
          <w:tcPr>
            <w:tcW w:w="6202" w:type="dxa"/>
            <w:gridSpan w:val="5"/>
            <w:tcBorders>
              <w:left w:val="single" w:sz="6" w:space="0" w:color="FF6600"/>
            </w:tcBorders>
            <w:vAlign w:val="center"/>
          </w:tcPr>
          <w:p w:rsidR="000355B9" w:rsidRPr="0090327A" w:rsidRDefault="000355B9" w:rsidP="00D92D8A">
            <w:pPr>
              <w:snapToGrid w:val="0"/>
              <w:spacing w:line="10" w:lineRule="atLeast"/>
              <w:jc w:val="center"/>
              <w:rPr>
                <w:rFonts w:ascii="宋体"/>
                <w:sz w:val="15"/>
                <w:szCs w:val="15"/>
              </w:rPr>
            </w:pPr>
            <w:r w:rsidRPr="0090327A">
              <w:rPr>
                <w:rFonts w:ascii="宋体" w:hAnsi="宋体" w:cs="宋体" w:hint="eastAsia"/>
                <w:sz w:val="15"/>
                <w:szCs w:val="15"/>
              </w:rPr>
              <w:t></w:t>
            </w:r>
            <w:r w:rsidRPr="0090327A">
              <w:t xml:space="preserve"> </w:t>
            </w:r>
            <w:r w:rsidRPr="0090327A">
              <w:rPr>
                <w:rFonts w:ascii="宋体" w:hAnsi="宋体" w:hint="eastAsia"/>
                <w:sz w:val="15"/>
                <w:szCs w:val="15"/>
              </w:rPr>
              <w:t>易方达恒久添利</w:t>
            </w:r>
            <w:r w:rsidRPr="0090327A">
              <w:rPr>
                <w:rFonts w:ascii="宋体" w:hAnsi="宋体"/>
                <w:sz w:val="15"/>
                <w:szCs w:val="15"/>
              </w:rPr>
              <w:t>1</w:t>
            </w:r>
            <w:r w:rsidRPr="0090327A">
              <w:rPr>
                <w:rFonts w:ascii="宋体" w:hAnsi="宋体" w:hint="eastAsia"/>
                <w:sz w:val="15"/>
                <w:szCs w:val="15"/>
              </w:rPr>
              <w:t>年定开债券型基金</w:t>
            </w:r>
          </w:p>
        </w:tc>
      </w:tr>
      <w:tr w:rsidR="000355B9" w:rsidRPr="0090327A" w:rsidTr="00D92D8A">
        <w:trPr>
          <w:cantSplit/>
          <w:trHeight w:val="269"/>
        </w:trPr>
        <w:tc>
          <w:tcPr>
            <w:tcW w:w="1523" w:type="dxa"/>
            <w:tcBorders>
              <w:right w:val="single" w:sz="6" w:space="0" w:color="FF6600"/>
            </w:tcBorders>
            <w:vAlign w:val="center"/>
          </w:tcPr>
          <w:p w:rsidR="000355B9" w:rsidRPr="0090327A" w:rsidRDefault="000355B9" w:rsidP="00D92D8A">
            <w:pPr>
              <w:snapToGrid w:val="0"/>
              <w:spacing w:line="10" w:lineRule="atLeast"/>
              <w:jc w:val="center"/>
              <w:rPr>
                <w:rFonts w:ascii="宋体"/>
                <w:b/>
                <w:sz w:val="15"/>
                <w:szCs w:val="15"/>
              </w:rPr>
            </w:pPr>
            <w:r w:rsidRPr="0090327A">
              <w:rPr>
                <w:rFonts w:ascii="宋体" w:hAnsi="宋体" w:hint="eastAsia"/>
                <w:b/>
                <w:sz w:val="15"/>
                <w:szCs w:val="15"/>
              </w:rPr>
              <w:t>市场代码</w:t>
            </w:r>
          </w:p>
        </w:tc>
        <w:tc>
          <w:tcPr>
            <w:tcW w:w="1240" w:type="dxa"/>
            <w:tcBorders>
              <w:left w:val="single" w:sz="6" w:space="0" w:color="FF6600"/>
              <w:right w:val="single" w:sz="6" w:space="0" w:color="FF6600"/>
            </w:tcBorders>
            <w:vAlign w:val="center"/>
          </w:tcPr>
          <w:p w:rsidR="000355B9" w:rsidRPr="0090327A" w:rsidRDefault="000355B9" w:rsidP="00AA47EF">
            <w:pPr>
              <w:snapToGrid w:val="0"/>
              <w:spacing w:line="10" w:lineRule="atLeast"/>
              <w:jc w:val="center"/>
              <w:rPr>
                <w:rFonts w:ascii="宋体"/>
                <w:sz w:val="15"/>
                <w:szCs w:val="15"/>
              </w:rPr>
            </w:pPr>
            <w:r w:rsidRPr="0090327A">
              <w:rPr>
                <w:rFonts w:ascii="宋体" w:hAnsi="宋体"/>
                <w:sz w:val="15"/>
                <w:szCs w:val="15"/>
              </w:rPr>
              <w:t>000265</w:t>
            </w:r>
          </w:p>
        </w:tc>
        <w:tc>
          <w:tcPr>
            <w:tcW w:w="1241" w:type="dxa"/>
            <w:tcBorders>
              <w:left w:val="single" w:sz="6" w:space="0" w:color="FF6600"/>
              <w:right w:val="single" w:sz="6" w:space="0" w:color="FF6600"/>
            </w:tcBorders>
            <w:vAlign w:val="center"/>
          </w:tcPr>
          <w:p w:rsidR="000355B9" w:rsidRPr="0090327A" w:rsidRDefault="000355B9" w:rsidP="00D92D8A">
            <w:pPr>
              <w:snapToGrid w:val="0"/>
              <w:spacing w:line="10" w:lineRule="atLeast"/>
              <w:jc w:val="center"/>
              <w:rPr>
                <w:rFonts w:ascii="宋体"/>
                <w:b/>
                <w:sz w:val="15"/>
                <w:szCs w:val="15"/>
              </w:rPr>
            </w:pPr>
            <w:r w:rsidRPr="0090327A">
              <w:rPr>
                <w:rFonts w:ascii="宋体" w:hAnsi="宋体" w:hint="eastAsia"/>
                <w:b/>
                <w:sz w:val="15"/>
                <w:szCs w:val="15"/>
              </w:rPr>
              <w:t>基金公司</w:t>
            </w:r>
          </w:p>
        </w:tc>
        <w:tc>
          <w:tcPr>
            <w:tcW w:w="1240" w:type="dxa"/>
            <w:tcBorders>
              <w:left w:val="single" w:sz="6" w:space="0" w:color="FF6600"/>
              <w:right w:val="single" w:sz="6" w:space="0" w:color="FF6600"/>
            </w:tcBorders>
            <w:vAlign w:val="center"/>
          </w:tcPr>
          <w:p w:rsidR="000355B9" w:rsidRPr="0090327A" w:rsidRDefault="000355B9" w:rsidP="00ED4B2E">
            <w:pPr>
              <w:snapToGrid w:val="0"/>
              <w:spacing w:line="10" w:lineRule="atLeast"/>
              <w:ind w:firstLineChars="100" w:firstLine="150"/>
              <w:rPr>
                <w:rFonts w:ascii="宋体"/>
                <w:sz w:val="15"/>
                <w:szCs w:val="15"/>
              </w:rPr>
            </w:pPr>
            <w:r w:rsidRPr="0090327A">
              <w:rPr>
                <w:rFonts w:ascii="宋体" w:hAnsi="宋体" w:hint="eastAsia"/>
                <w:sz w:val="15"/>
                <w:szCs w:val="15"/>
              </w:rPr>
              <w:t>易方达基金</w:t>
            </w:r>
          </w:p>
        </w:tc>
        <w:tc>
          <w:tcPr>
            <w:tcW w:w="1240" w:type="dxa"/>
            <w:tcBorders>
              <w:left w:val="single" w:sz="6" w:space="0" w:color="FF6600"/>
              <w:right w:val="single" w:sz="6" w:space="0" w:color="FF6600"/>
            </w:tcBorders>
            <w:vAlign w:val="center"/>
          </w:tcPr>
          <w:p w:rsidR="000355B9" w:rsidRPr="0090327A" w:rsidRDefault="000355B9" w:rsidP="00D92D8A">
            <w:pPr>
              <w:snapToGrid w:val="0"/>
              <w:spacing w:line="10" w:lineRule="atLeast"/>
              <w:jc w:val="center"/>
              <w:rPr>
                <w:rFonts w:ascii="宋体"/>
                <w:b/>
                <w:sz w:val="15"/>
                <w:szCs w:val="15"/>
              </w:rPr>
            </w:pPr>
            <w:r w:rsidRPr="0090327A">
              <w:rPr>
                <w:rFonts w:ascii="宋体" w:hAnsi="宋体" w:hint="eastAsia"/>
                <w:b/>
                <w:sz w:val="15"/>
                <w:szCs w:val="15"/>
              </w:rPr>
              <w:t>基金经理</w:t>
            </w:r>
          </w:p>
        </w:tc>
        <w:tc>
          <w:tcPr>
            <w:tcW w:w="1241" w:type="dxa"/>
            <w:tcBorders>
              <w:left w:val="single" w:sz="6" w:space="0" w:color="FF6600"/>
            </w:tcBorders>
            <w:vAlign w:val="center"/>
          </w:tcPr>
          <w:p w:rsidR="000355B9" w:rsidRPr="0090327A" w:rsidRDefault="000355B9" w:rsidP="00427AD4">
            <w:pPr>
              <w:snapToGrid w:val="0"/>
              <w:spacing w:line="10" w:lineRule="atLeast"/>
              <w:jc w:val="center"/>
              <w:rPr>
                <w:rFonts w:ascii="宋体"/>
                <w:sz w:val="15"/>
                <w:szCs w:val="15"/>
              </w:rPr>
            </w:pPr>
            <w:r w:rsidRPr="0090327A">
              <w:rPr>
                <w:rFonts w:ascii="宋体" w:hAnsi="宋体" w:hint="eastAsia"/>
                <w:sz w:val="15"/>
                <w:szCs w:val="15"/>
              </w:rPr>
              <w:t>张磊</w:t>
            </w:r>
          </w:p>
        </w:tc>
      </w:tr>
      <w:tr w:rsidR="000355B9" w:rsidRPr="0090327A" w:rsidTr="00D92D8A">
        <w:trPr>
          <w:cantSplit/>
          <w:trHeight w:val="1005"/>
        </w:trPr>
        <w:tc>
          <w:tcPr>
            <w:tcW w:w="1523" w:type="dxa"/>
            <w:tcBorders>
              <w:right w:val="single" w:sz="6" w:space="0" w:color="FF6600"/>
            </w:tcBorders>
            <w:vAlign w:val="center"/>
          </w:tcPr>
          <w:p w:rsidR="000355B9" w:rsidRPr="0090327A" w:rsidRDefault="000355B9" w:rsidP="00D92D8A">
            <w:pPr>
              <w:snapToGrid w:val="0"/>
              <w:spacing w:line="10" w:lineRule="atLeast"/>
              <w:jc w:val="center"/>
              <w:rPr>
                <w:rFonts w:ascii="宋体"/>
                <w:b/>
                <w:sz w:val="15"/>
                <w:szCs w:val="15"/>
              </w:rPr>
            </w:pPr>
            <w:r w:rsidRPr="0090327A">
              <w:rPr>
                <w:rFonts w:ascii="宋体" w:hAnsi="宋体" w:hint="eastAsia"/>
                <w:b/>
                <w:sz w:val="15"/>
                <w:szCs w:val="15"/>
              </w:rPr>
              <w:t>投资策略</w:t>
            </w:r>
          </w:p>
        </w:tc>
        <w:tc>
          <w:tcPr>
            <w:tcW w:w="6202" w:type="dxa"/>
            <w:gridSpan w:val="5"/>
            <w:tcBorders>
              <w:left w:val="single" w:sz="6" w:space="0" w:color="FF6600"/>
            </w:tcBorders>
            <w:vAlign w:val="center"/>
          </w:tcPr>
          <w:p w:rsidR="000355B9" w:rsidRPr="0090327A" w:rsidRDefault="000355B9" w:rsidP="00A45BCA">
            <w:pPr>
              <w:snapToGrid w:val="0"/>
              <w:spacing w:line="10" w:lineRule="atLeast"/>
              <w:ind w:firstLineChars="200" w:firstLine="300"/>
              <w:rPr>
                <w:rFonts w:ascii="宋体"/>
                <w:sz w:val="15"/>
                <w:szCs w:val="15"/>
              </w:rPr>
            </w:pPr>
            <w:r w:rsidRPr="0090327A">
              <w:rPr>
                <w:rFonts w:ascii="宋体" w:hAnsi="宋体" w:hint="eastAsia"/>
                <w:sz w:val="15"/>
                <w:szCs w:val="15"/>
              </w:rPr>
              <w:t>该基金不在二级市场买入股票、权证等权益类资产，也不参与一级市场新股申购和新股增发，是一只纯债型基金。对国债、央行票据等非信用类固定收益品种的投资，主要根据宏观经济变量和宏观经济政策的分析，预测未来收益率曲线的变动趋势，综合考虑组合流动性决定投资品种。对于信用类固定收益品种的投资，将根据发行人的公司背景、行业特性、盈利能力、偿债能力、流动性等因素，对信用债进行信用风险评估，积极发掘信用利差具有相对投资机会的个券进行投资，并采取分散化投资策略，严格控制组合整体的违约风险水平。债券资产的比例不低于基金资产的</w:t>
            </w:r>
            <w:r w:rsidRPr="0090327A">
              <w:rPr>
                <w:rFonts w:ascii="宋体" w:hAnsi="宋体"/>
                <w:sz w:val="15"/>
                <w:szCs w:val="15"/>
              </w:rPr>
              <w:t>80</w:t>
            </w:r>
            <w:r w:rsidRPr="0090327A">
              <w:rPr>
                <w:rFonts w:ascii="宋体" w:hAnsi="宋体" w:hint="eastAsia"/>
                <w:sz w:val="15"/>
                <w:szCs w:val="15"/>
              </w:rPr>
              <w:t>％。</w:t>
            </w:r>
          </w:p>
        </w:tc>
      </w:tr>
      <w:tr w:rsidR="000355B9" w:rsidRPr="0090327A" w:rsidTr="00D92D8A">
        <w:trPr>
          <w:cantSplit/>
          <w:trHeight w:val="273"/>
        </w:trPr>
        <w:tc>
          <w:tcPr>
            <w:tcW w:w="1523" w:type="dxa"/>
            <w:tcBorders>
              <w:right w:val="single" w:sz="6" w:space="0" w:color="FF6600"/>
            </w:tcBorders>
            <w:vAlign w:val="center"/>
          </w:tcPr>
          <w:p w:rsidR="000355B9" w:rsidRPr="0090327A" w:rsidRDefault="000355B9" w:rsidP="00D92D8A">
            <w:pPr>
              <w:snapToGrid w:val="0"/>
              <w:spacing w:line="10" w:lineRule="atLeast"/>
              <w:jc w:val="center"/>
              <w:rPr>
                <w:rFonts w:ascii="宋体"/>
                <w:b/>
                <w:sz w:val="15"/>
                <w:szCs w:val="15"/>
              </w:rPr>
            </w:pPr>
            <w:r w:rsidRPr="0090327A">
              <w:rPr>
                <w:rFonts w:ascii="宋体" w:hAnsi="宋体" w:hint="eastAsia"/>
                <w:b/>
                <w:sz w:val="15"/>
                <w:szCs w:val="15"/>
              </w:rPr>
              <w:t>业绩比较基准</w:t>
            </w:r>
          </w:p>
        </w:tc>
        <w:tc>
          <w:tcPr>
            <w:tcW w:w="6202" w:type="dxa"/>
            <w:gridSpan w:val="5"/>
            <w:tcBorders>
              <w:left w:val="single" w:sz="6" w:space="0" w:color="FF6600"/>
            </w:tcBorders>
            <w:vAlign w:val="center"/>
          </w:tcPr>
          <w:p w:rsidR="000355B9" w:rsidRPr="0090327A" w:rsidRDefault="000355B9" w:rsidP="00A45BCA">
            <w:pPr>
              <w:snapToGrid w:val="0"/>
              <w:spacing w:line="10" w:lineRule="atLeast"/>
              <w:jc w:val="center"/>
              <w:rPr>
                <w:rFonts w:ascii="宋体"/>
                <w:sz w:val="15"/>
                <w:szCs w:val="15"/>
              </w:rPr>
            </w:pPr>
            <w:r w:rsidRPr="0090327A">
              <w:rPr>
                <w:rFonts w:ascii="宋体" w:hAnsi="宋体" w:hint="eastAsia"/>
                <w:sz w:val="15"/>
                <w:szCs w:val="15"/>
              </w:rPr>
              <w:t>一年期银行定期整存整取存款利率（税后）</w:t>
            </w:r>
            <w:r w:rsidRPr="0090327A">
              <w:rPr>
                <w:rFonts w:ascii="宋体" w:hAnsi="宋体"/>
                <w:sz w:val="15"/>
                <w:szCs w:val="15"/>
              </w:rPr>
              <w:t>+1.2%</w:t>
            </w:r>
          </w:p>
        </w:tc>
      </w:tr>
    </w:tbl>
    <w:p w:rsidR="000355B9" w:rsidRPr="00656031" w:rsidRDefault="000355B9" w:rsidP="00C01486">
      <w:pPr>
        <w:pStyle w:val="FootnoteNoline"/>
        <w:ind w:left="0" w:firstLineChars="2100" w:firstLine="3150"/>
        <w:rPr>
          <w:color w:val="FF6600"/>
        </w:rPr>
      </w:pPr>
      <w:r w:rsidRPr="00656031">
        <w:rPr>
          <w:rFonts w:hint="eastAsia"/>
          <w:color w:val="FF6600"/>
        </w:rPr>
        <w:t>来源：凯石财富工场</w:t>
      </w:r>
    </w:p>
    <w:p w:rsidR="000355B9" w:rsidRPr="00961E7F" w:rsidRDefault="000355B9">
      <w:pPr>
        <w:widowControl/>
        <w:jc w:val="left"/>
        <w:rPr>
          <w:rFonts w:ascii="楷体" w:eastAsia="楷体" w:hAnsi="楷体"/>
          <w:b/>
          <w:kern w:val="0"/>
          <w:szCs w:val="20"/>
          <w:lang w:val="en-GB"/>
        </w:rPr>
      </w:pPr>
      <w:r w:rsidRPr="00961E7F">
        <w:rPr>
          <w:rFonts w:ascii="楷体" w:eastAsia="楷体" w:hAnsi="楷体"/>
          <w:b/>
          <w:kern w:val="0"/>
          <w:szCs w:val="20"/>
          <w:lang w:val="en-GB"/>
        </w:rPr>
        <w:br w:type="page"/>
      </w:r>
    </w:p>
    <w:p w:rsidR="000355B9" w:rsidRPr="00961E7F" w:rsidRDefault="000355B9" w:rsidP="00B10000">
      <w:pPr>
        <w:pStyle w:val="a4"/>
        <w:spacing w:after="312"/>
        <w:rPr>
          <w:rFonts w:ascii="楷体" w:eastAsia="楷体" w:hAnsi="楷体"/>
          <w:b/>
          <w:sz w:val="21"/>
          <w:szCs w:val="21"/>
        </w:rPr>
      </w:pPr>
      <w:r w:rsidRPr="00961E7F">
        <w:rPr>
          <w:rFonts w:ascii="楷体" w:eastAsia="楷体" w:hAnsi="楷体" w:hint="eastAsia"/>
          <w:b/>
          <w:kern w:val="0"/>
          <w:sz w:val="21"/>
          <w:szCs w:val="20"/>
          <w:lang w:val="en-GB"/>
        </w:rPr>
        <w:t>特别声明：</w:t>
      </w:r>
    </w:p>
    <w:p w:rsidR="000355B9" w:rsidRPr="00961E7F" w:rsidRDefault="000355B9" w:rsidP="00AC471E">
      <w:pPr>
        <w:pStyle w:val="a4"/>
        <w:spacing w:beforeLines="50" w:after="312"/>
        <w:rPr>
          <w:rFonts w:ascii="楷体" w:eastAsia="楷体" w:hAnsi="楷体"/>
          <w:kern w:val="0"/>
          <w:sz w:val="21"/>
          <w:szCs w:val="20"/>
          <w:lang w:val="en-GB"/>
        </w:rPr>
      </w:pPr>
      <w:r w:rsidRPr="00961E7F">
        <w:rPr>
          <w:rFonts w:ascii="楷体" w:eastAsia="楷体" w:hAnsi="楷体" w:hint="eastAsia"/>
          <w:kern w:val="0"/>
          <w:sz w:val="21"/>
          <w:szCs w:val="20"/>
          <w:lang w:val="en-GB"/>
        </w:rPr>
        <w:t>本报告中的所有内容版权均属上海凯石财富投资管理有限公司（以下简称“本公司”），未经本公司事先书面授权，不得以任何方式修改、发送或者复制本报告及其所包含的材料、内容。所有本报告中使用的商标、服务标记及标记均为本公司的商标、服务标记及标记。如欲引用或转载本文内容，务必联络本公司研究中心并获得许可，并需注明出处为上海凯石财富投资有限公司研究中心，且不得对本文进行任何有悖原意的引用和删改。</w:t>
      </w:r>
    </w:p>
    <w:p w:rsidR="000355B9" w:rsidRPr="00961E7F" w:rsidRDefault="000355B9" w:rsidP="00AC471E">
      <w:pPr>
        <w:pStyle w:val="a4"/>
        <w:spacing w:beforeLines="50" w:after="312"/>
        <w:rPr>
          <w:rFonts w:ascii="楷体" w:eastAsia="楷体" w:hAnsi="楷体"/>
          <w:kern w:val="0"/>
          <w:sz w:val="21"/>
          <w:szCs w:val="20"/>
          <w:lang w:val="en-GB"/>
        </w:rPr>
      </w:pPr>
      <w:r w:rsidRPr="00961E7F">
        <w:rPr>
          <w:rFonts w:ascii="楷体" w:eastAsia="楷体" w:hAnsi="楷体" w:hint="eastAsia"/>
          <w:kern w:val="0"/>
          <w:sz w:val="21"/>
          <w:szCs w:val="20"/>
          <w:lang w:val="en-GB"/>
        </w:rPr>
        <w:t>本报告是基于已公开信息撰写，其所载资料的来源及观点的出处均被本公司认为可靠，但本公司不保证其准确性或完整性。本报告所载的资料、意见及推测反映本公司于最初发布此报告日期当日的判断，其所指的基金或者其他理财产品的价格、价值及投资收入可能会波动，在不同时期，本公司可发出与本报告所载资料、意见及推测不一致的报告。</w:t>
      </w:r>
    </w:p>
    <w:p w:rsidR="000355B9" w:rsidRPr="00961E7F" w:rsidRDefault="000355B9" w:rsidP="00AC471E">
      <w:pPr>
        <w:pStyle w:val="a4"/>
        <w:spacing w:beforeLines="50" w:after="312"/>
        <w:rPr>
          <w:rFonts w:ascii="楷体" w:eastAsia="楷体" w:hAnsi="楷体"/>
          <w:kern w:val="0"/>
          <w:sz w:val="21"/>
          <w:szCs w:val="20"/>
          <w:lang w:val="en-GB"/>
        </w:rPr>
      </w:pPr>
      <w:r w:rsidRPr="00961E7F">
        <w:rPr>
          <w:rFonts w:ascii="楷体" w:eastAsia="楷体" w:hAnsi="楷体" w:hint="eastAsia"/>
          <w:kern w:val="0"/>
          <w:sz w:val="21"/>
          <w:szCs w:val="20"/>
          <w:lang w:val="en-GB"/>
        </w:rPr>
        <w:t>本报告所载的除法律或规则规定必须承担的责任外，本公司不对因使用此报告的材料而引致的损失负任何责任。本报告不构成私人咨询建议，也没有考虑到个别客户特殊的投资目标、财务状况或需要。本报告所载的资料、工具、意见及推测只提供给客户做参考之用，并未作为或被是为出售或购买其他投资标的邀请或向他人做出邀请。</w:t>
      </w:r>
    </w:p>
    <w:p w:rsidR="000355B9" w:rsidRDefault="000355B9">
      <w:r>
        <w:pict>
          <v:rect id="_x0000_i1045" style="width:571.2pt;height:2pt" o:hralign="center" o:hrstd="t" o:hrnoshade="t" o:hr="t" fillcolor="#e7a631" stroked="f"/>
        </w:pict>
      </w:r>
    </w:p>
    <w:p w:rsidR="000355B9" w:rsidRPr="009F7F1E" w:rsidRDefault="000355B9">
      <w:pPr>
        <w:rPr>
          <w:rFonts w:ascii="楷体" w:eastAsia="楷体" w:hAnsi="楷体"/>
          <w:b/>
          <w:lang w:val="en-GB"/>
        </w:rPr>
      </w:pPr>
      <w:r>
        <w:rPr>
          <w:rFonts w:ascii="楷体" w:eastAsia="楷体" w:hAnsi="楷体"/>
          <w:b/>
          <w:lang w:val="en-GB"/>
        </w:rPr>
        <w:t xml:space="preserve"> </w:t>
      </w:r>
    </w:p>
    <w:sectPr w:rsidR="000355B9" w:rsidRPr="009F7F1E" w:rsidSect="00656031">
      <w:headerReference w:type="default" r:id="rId9"/>
      <w:footerReference w:type="default" r:id="rId10"/>
      <w:headerReference w:type="first" r:id="rId11"/>
      <w:footerReference w:type="first" r:id="rId12"/>
      <w:pgSz w:w="11906" w:h="16838"/>
      <w:pgMar w:top="1440" w:right="624" w:bottom="1440" w:left="624" w:header="850" w:footer="283"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5B9" w:rsidRDefault="000355B9" w:rsidP="00B10000">
      <w:r>
        <w:separator/>
      </w:r>
    </w:p>
  </w:endnote>
  <w:endnote w:type="continuationSeparator" w:id="0">
    <w:p w:rsidR="000355B9" w:rsidRDefault="000355B9" w:rsidP="00B1000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华文新魏">
    <w:panose1 w:val="02010800040101010101"/>
    <w:charset w:val="86"/>
    <w:family w:val="auto"/>
    <w:pitch w:val="variable"/>
    <w:sig w:usb0="00000001" w:usb1="080F0000" w:usb2="00000010" w:usb3="00000000" w:csb0="00040000" w:csb1="00000000"/>
  </w:font>
  <w:font w:name="华文隶书">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LucidaSans">
    <w:altName w:val="Times New Roman"/>
    <w:panose1 w:val="00000000000000000000"/>
    <w:charset w:val="00"/>
    <w:family w:val="auto"/>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5B9" w:rsidRDefault="000355B9">
    <w:pPr>
      <w:pStyle w:val="Footer"/>
      <w:jc w:val="center"/>
    </w:pPr>
    <w:r>
      <w:pict>
        <v:rect id="_x0000_i1031" style="width:571.2pt;height:2pt" o:hralign="center" o:hrstd="t" o:hrnoshade="t" o:hr="t" fillcolor="#e7a631" stroked="f"/>
      </w:pict>
    </w:r>
    <w:r>
      <w:rPr>
        <w:lang w:val="zh-CN"/>
      </w:rPr>
      <w:t xml:space="preserve"> </w:t>
    </w:r>
    <w:r>
      <w:rPr>
        <w:b/>
      </w:rPr>
      <w:fldChar w:fldCharType="begin"/>
    </w:r>
    <w:r>
      <w:rPr>
        <w:b/>
      </w:rPr>
      <w:instrText>PAGE</w:instrText>
    </w:r>
    <w:r>
      <w:rPr>
        <w:b/>
      </w:rPr>
      <w:fldChar w:fldCharType="separate"/>
    </w:r>
    <w:r>
      <w:rPr>
        <w:b/>
        <w:noProof/>
      </w:rPr>
      <w:t>2</w:t>
    </w:r>
    <w:r>
      <w:rPr>
        <w:b/>
      </w:rPr>
      <w:fldChar w:fldCharType="end"/>
    </w:r>
    <w:r>
      <w:rPr>
        <w:lang w:val="zh-CN"/>
      </w:rPr>
      <w:t xml:space="preserve"> / </w:t>
    </w:r>
    <w:r>
      <w:rPr>
        <w:b/>
      </w:rPr>
      <w:fldChar w:fldCharType="begin"/>
    </w:r>
    <w:r>
      <w:rPr>
        <w:b/>
      </w:rPr>
      <w:instrText>NUMPAGES</w:instrText>
    </w:r>
    <w:r>
      <w:rPr>
        <w:b/>
      </w:rPr>
      <w:fldChar w:fldCharType="separate"/>
    </w:r>
    <w:r>
      <w:rPr>
        <w:b/>
        <w:noProof/>
      </w:rPr>
      <w:t>4</w:t>
    </w:r>
    <w:r>
      <w:rPr>
        <w:b/>
      </w:rPr>
      <w:fldChar w:fldCharType="end"/>
    </w:r>
  </w:p>
  <w:p w:rsidR="000355B9" w:rsidRDefault="000355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5B9" w:rsidRDefault="000355B9">
    <w:pPr>
      <w:pStyle w:val="Footer"/>
      <w:jc w:val="center"/>
    </w:pPr>
    <w:r>
      <w:pict>
        <v:rect id="_x0000_i1040" style="width:571.2pt;height:2pt" o:hralign="center" o:hrstd="t" o:hrnoshade="t" o:hr="t" fillcolor="#e7a631" stroked="f"/>
      </w:pict>
    </w:r>
    <w:r>
      <w:rPr>
        <w:lang w:val="zh-CN"/>
      </w:rPr>
      <w:t xml:space="preserve"> </w:t>
    </w:r>
    <w:r>
      <w:rPr>
        <w:b/>
      </w:rPr>
      <w:fldChar w:fldCharType="begin"/>
    </w:r>
    <w:r>
      <w:rPr>
        <w:b/>
      </w:rPr>
      <w:instrText>PAGE</w:instrText>
    </w:r>
    <w:r>
      <w:rPr>
        <w:b/>
      </w:rPr>
      <w:fldChar w:fldCharType="separate"/>
    </w:r>
    <w:r>
      <w:rPr>
        <w:b/>
        <w:noProof/>
      </w:rPr>
      <w:t>1</w:t>
    </w:r>
    <w:r>
      <w:rPr>
        <w:b/>
      </w:rPr>
      <w:fldChar w:fldCharType="end"/>
    </w:r>
    <w:r>
      <w:rPr>
        <w:lang w:val="zh-CN"/>
      </w:rPr>
      <w:t xml:space="preserve"> / </w:t>
    </w:r>
    <w:r>
      <w:rPr>
        <w:b/>
      </w:rPr>
      <w:fldChar w:fldCharType="begin"/>
    </w:r>
    <w:r>
      <w:rPr>
        <w:b/>
      </w:rPr>
      <w:instrText>NUMPAGES</w:instrText>
    </w:r>
    <w:r>
      <w:rPr>
        <w:b/>
      </w:rPr>
      <w:fldChar w:fldCharType="separate"/>
    </w:r>
    <w:r>
      <w:rPr>
        <w:b/>
        <w:noProof/>
      </w:rPr>
      <w:t>4</w:t>
    </w:r>
    <w:r>
      <w:rPr>
        <w:b/>
      </w:rPr>
      <w:fldChar w:fldCharType="end"/>
    </w:r>
  </w:p>
  <w:p w:rsidR="000355B9" w:rsidRDefault="000355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5B9" w:rsidRDefault="000355B9" w:rsidP="00B10000">
      <w:r>
        <w:separator/>
      </w:r>
    </w:p>
  </w:footnote>
  <w:footnote w:type="continuationSeparator" w:id="0">
    <w:p w:rsidR="000355B9" w:rsidRDefault="000355B9" w:rsidP="00B100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5B9" w:rsidRDefault="000355B9" w:rsidP="00B10000">
    <w:pPr>
      <w:pStyle w:val="Header"/>
      <w:pBdr>
        <w:bottom w:val="none" w:sz="0" w:space="0" w:color="auto"/>
      </w:pBdr>
    </w:pPr>
    <w:r>
      <w:rPr>
        <w:noProof/>
      </w:rPr>
      <w:pict>
        <v:group id="_x0000_s2049" style="position:absolute;left:0;text-align:left;margin-left:5.2pt;margin-top:-32.25pt;width:531.2pt;height:37.5pt;z-index:251660288" coordorigin="728,206" coordsize="10624,750">
          <v:shapetype id="_x0000_t202" coordsize="21600,21600" o:spt="202" path="m,l,21600r21600,l21600,xe">
            <v:stroke joinstyle="miter"/>
            <v:path gradientshapeok="t" o:connecttype="rect"/>
          </v:shapetype>
          <v:shape id="_x0000_s2050" type="#_x0000_t202" style="position:absolute;left:728;top:206;width:1336;height:724" strokecolor="white">
            <v:textbox style="mso-next-textbox:#_x0000_s2050">
              <w:txbxContent>
                <w:p w:rsidR="000355B9" w:rsidRDefault="000355B9" w:rsidP="00B10000">
                  <w:pPr>
                    <w:pStyle w:val="12"/>
                  </w:pPr>
                  <w:r w:rsidRPr="0018743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凯石工2.jpg" style="width:42pt;height:29.25pt;visibility:visible">
                        <v:imagedata r:id="rId1" o:title=""/>
                      </v:shape>
                    </w:pict>
                  </w:r>
                </w:p>
              </w:txbxContent>
            </v:textbox>
          </v:shape>
          <v:shape id="_x0000_s2051" type="#_x0000_t202" style="position:absolute;left:5999;top:542;width:5353;height:414" strokecolor="white">
            <v:textbox style="mso-next-textbox:#_x0000_s2051">
              <w:txbxContent>
                <w:p w:rsidR="000355B9" w:rsidRPr="006E0F3C" w:rsidRDefault="000355B9" w:rsidP="00B10000">
                  <w:pPr>
                    <w:pStyle w:val="2"/>
                  </w:pPr>
                  <w:r w:rsidRPr="00E05F78">
                    <w:t>2</w:t>
                  </w:r>
                  <w:r w:rsidRPr="00E90896">
                    <w:t>01</w:t>
                  </w:r>
                  <w:r>
                    <w:t>4</w:t>
                  </w:r>
                  <w:r w:rsidRPr="00E90896">
                    <w:rPr>
                      <w:rFonts w:hint="eastAsia"/>
                    </w:rPr>
                    <w:t>年</w:t>
                  </w:r>
                  <w:r>
                    <w:t>8</w:t>
                  </w:r>
                  <w:r w:rsidRPr="00E90896">
                    <w:rPr>
                      <w:rFonts w:hint="eastAsia"/>
                    </w:rPr>
                    <w:t>月（</w:t>
                  </w:r>
                  <w:r>
                    <w:rPr>
                      <w:rFonts w:hint="eastAsia"/>
                    </w:rPr>
                    <w:t>下</w:t>
                  </w:r>
                  <w:r w:rsidRPr="00E90896">
                    <w:rPr>
                      <w:rFonts w:hint="eastAsia"/>
                    </w:rPr>
                    <w:t>）新发基金双周报</w:t>
                  </w:r>
                </w:p>
              </w:txbxContent>
            </v:textbox>
          </v:shape>
        </v:group>
      </w:pict>
    </w:r>
    <w:r>
      <w:pict>
        <v:rect id="_x0000_i1028" style="width:571.2pt;height:2pt" o:hralign="center" o:hrstd="t" o:hrnoshade="t" o:hr="t" fillcolor="#e7a631"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5B9" w:rsidRDefault="000355B9" w:rsidP="00AC471E">
    <w:pPr>
      <w:pStyle w:val="Header"/>
      <w:pBdr>
        <w:bottom w:val="none" w:sz="0" w:space="0" w:color="auto"/>
      </w:pBdr>
      <w:spacing w:afterLines="100"/>
    </w:pPr>
    <w:r>
      <w:rPr>
        <w:noProof/>
      </w:rPr>
    </w:r>
    <w:r>
      <w:pict>
        <v:group id="_x0000_s2052" style="width:532.6pt;height:143.7pt;mso-position-horizontal-relative:char;mso-position-vertical-relative:line" coordorigin="652,331" coordsize="10652,2874">
          <v:shapetype id="_x0000_t202" coordsize="21600,21600" o:spt="202" path="m,l,21600r21600,l21600,xe">
            <v:stroke joinstyle="miter"/>
            <v:path gradientshapeok="t" o:connecttype="rect"/>
          </v:shapetype>
          <v:shape id="_x0000_s2053" type="#_x0000_t202" style="position:absolute;left:652;top:331;width:3664;height:2430" strokecolor="white">
            <v:textbox style="mso-next-textbox:#_x0000_s2053">
              <w:txbxContent>
                <w:p w:rsidR="000355B9" w:rsidRDefault="000355B9" w:rsidP="00B10000">
                  <w:pPr>
                    <w:pStyle w:val="a0"/>
                  </w:pPr>
                  <w:r w:rsidRPr="0018743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i1038" type="#_x0000_t75" alt="凯石工2.jpg" style="width:123pt;height:115.5pt;visibility:visible">
                        <v:imagedata r:id="rId1" o:title=""/>
                      </v:shape>
                    </w:pict>
                  </w:r>
                </w:p>
              </w:txbxContent>
            </v:textbox>
          </v:shape>
          <v:shape id="_x0000_s2054" type="#_x0000_t202" style="position:absolute;left:881;top:2578;width:2325;height:390" strokecolor="white">
            <v:textbox style="mso-next-textbox:#_x0000_s2054">
              <w:txbxContent>
                <w:p w:rsidR="000355B9" w:rsidRPr="006E0F3C" w:rsidRDefault="000355B9" w:rsidP="008840A4">
                  <w:pPr>
                    <w:pStyle w:val="a"/>
                    <w:spacing w:after="240"/>
                  </w:pPr>
                  <w:r w:rsidRPr="006E0F3C">
                    <w:rPr>
                      <w:rFonts w:hint="eastAsia"/>
                    </w:rPr>
                    <w:t>凯石工场研究报告</w:t>
                  </w:r>
                </w:p>
              </w:txbxContent>
            </v:textbox>
          </v:shape>
          <v:shape id="_x0000_s2055" type="#_x0000_t202" style="position:absolute;left:8740;top:609;width:2441;height:475" strokecolor="white">
            <v:textbox style="mso-next-textbox:#_x0000_s2055;mso-fit-shape-to-text:t">
              <w:txbxContent>
                <w:p w:rsidR="000355B9" w:rsidRPr="006E0F3C" w:rsidRDefault="000355B9" w:rsidP="00B10000">
                  <w:pPr>
                    <w:pStyle w:val="a1"/>
                    <w:jc w:val="right"/>
                  </w:pPr>
                  <w:smartTag w:uri="urn:schemas-microsoft-com:office:smarttags" w:element="chsdate">
                    <w:smartTagPr>
                      <w:attr w:name="IsROCDate" w:val="False"/>
                      <w:attr w:name="IsLunarDate" w:val="False"/>
                      <w:attr w:name="Day" w:val="03"/>
                      <w:attr w:name="Month" w:val="09"/>
                      <w:attr w:name="Year" w:val="2014"/>
                    </w:smartTagPr>
                    <w:r>
                      <w:t>2014</w:t>
                    </w:r>
                    <w:r w:rsidRPr="006E0F3C">
                      <w:rPr>
                        <w:rFonts w:hint="eastAsia"/>
                      </w:rPr>
                      <w:t>年</w:t>
                    </w:r>
                    <w:r>
                      <w:t>09</w:t>
                    </w:r>
                    <w:r w:rsidRPr="006E0F3C">
                      <w:rPr>
                        <w:rFonts w:hint="eastAsia"/>
                      </w:rPr>
                      <w:t>月</w:t>
                    </w:r>
                    <w:r>
                      <w:t>03</w:t>
                    </w:r>
                    <w:r w:rsidRPr="006E0F3C">
                      <w:rPr>
                        <w:rFonts w:hint="eastAsia"/>
                      </w:rPr>
                      <w:t>日</w:t>
                    </w:r>
                  </w:smartTag>
                </w:p>
              </w:txbxContent>
            </v:textbox>
          </v:shape>
          <v:shape id="_x0000_s2056" type="#_x0000_t202" style="position:absolute;left:3214;top:1377;width:8090;height:1220" strokecolor="white">
            <v:textbox style="mso-next-textbox:#_x0000_s2056;mso-fit-shape-to-text:t">
              <w:txbxContent>
                <w:p w:rsidR="000355B9" w:rsidRDefault="000355B9" w:rsidP="00B10000">
                  <w:pPr>
                    <w:pStyle w:val="a2"/>
                    <w:jc w:val="right"/>
                  </w:pPr>
                  <w:r>
                    <w:t>2</w:t>
                  </w:r>
                  <w:r w:rsidRPr="006E0F3C">
                    <w:t>01</w:t>
                  </w:r>
                  <w:r>
                    <w:t>4</w:t>
                  </w:r>
                  <w:r w:rsidRPr="006E0F3C">
                    <w:rPr>
                      <w:rFonts w:hint="eastAsia"/>
                    </w:rPr>
                    <w:t>年</w:t>
                  </w:r>
                  <w:r>
                    <w:t>8</w:t>
                  </w:r>
                  <w:r w:rsidRPr="006E0F3C">
                    <w:rPr>
                      <w:rFonts w:hint="eastAsia"/>
                    </w:rPr>
                    <w:t>月</w:t>
                  </w:r>
                  <w:r>
                    <w:rPr>
                      <w:rFonts w:hint="eastAsia"/>
                    </w:rPr>
                    <w:t>（下）新发基金双周报</w:t>
                  </w:r>
                </w:p>
                <w:p w:rsidR="000355B9" w:rsidRPr="00624366" w:rsidRDefault="000355B9" w:rsidP="00B10000">
                  <w:pPr>
                    <w:pStyle w:val="a2"/>
                    <w:jc w:val="right"/>
                    <w:rPr>
                      <w:sz w:val="28"/>
                      <w:szCs w:val="28"/>
                    </w:rPr>
                  </w:pPr>
                  <w:r>
                    <w:rPr>
                      <w:rFonts w:hint="eastAsia"/>
                      <w:sz w:val="28"/>
                      <w:szCs w:val="28"/>
                    </w:rPr>
                    <w:t>产品退出初见端倪，首现清盘基金</w:t>
                  </w:r>
                </w:p>
                <w:p w:rsidR="000355B9" w:rsidRDefault="000355B9" w:rsidP="00B10000">
                  <w:pPr>
                    <w:pStyle w:val="12"/>
                  </w:pPr>
                </w:p>
              </w:txbxContent>
            </v:textbox>
          </v:shape>
          <v:shape id="_x0000_s2057" type="#_x0000_t202" style="position:absolute;left:3246;top:2578;width:7993;height:627" strokecolor="white">
            <v:textbox style="mso-next-textbox:#_x0000_s2057">
              <w:txbxContent>
                <w:p w:rsidR="000355B9" w:rsidRPr="006E0F3C" w:rsidRDefault="000355B9" w:rsidP="00B10000">
                  <w:pPr>
                    <w:pStyle w:val="a3"/>
                  </w:pPr>
                  <w:r w:rsidRPr="006E0F3C">
                    <w:rPr>
                      <w:rFonts w:hint="eastAsia"/>
                    </w:rPr>
                    <w:t>张</w:t>
                  </w:r>
                  <w:r>
                    <w:rPr>
                      <w:rFonts w:hint="eastAsia"/>
                    </w:rPr>
                    <w:t>慧</w:t>
                  </w:r>
                  <w:r w:rsidRPr="006E0F3C">
                    <w:t xml:space="preserve"> </w:t>
                  </w:r>
                  <w:r>
                    <w:rPr>
                      <w:rFonts w:hint="eastAsia"/>
                    </w:rPr>
                    <w:t>高级</w:t>
                  </w:r>
                  <w:r w:rsidRPr="006E0F3C">
                    <w:rPr>
                      <w:rFonts w:hint="eastAsia"/>
                    </w:rPr>
                    <w:t>分析师</w:t>
                  </w:r>
                  <w:r w:rsidRPr="006E0F3C">
                    <w:t xml:space="preserve"> </w:t>
                  </w:r>
                </w:p>
              </w:txbxContent>
            </v:textbox>
          </v:shape>
          <w10:anchorlock/>
        </v:group>
      </w:pict>
    </w:r>
    <w:r>
      <w:pict>
        <v:rect id="_x0000_i1037" style="width:571.2pt;height:2pt" o:hralign="center" o:hrstd="t" o:hrnoshade="t" o:hr="t" fillcolor="#e7a631"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14C42"/>
    <w:multiLevelType w:val="singleLevel"/>
    <w:tmpl w:val="B4861D4C"/>
    <w:lvl w:ilvl="0">
      <w:start w:val="1"/>
      <w:numFmt w:val="bullet"/>
      <w:pStyle w:val="CoverBullet"/>
      <w:lvlText w:val=""/>
      <w:lvlJc w:val="left"/>
      <w:pPr>
        <w:tabs>
          <w:tab w:val="num" w:pos="360"/>
        </w:tabs>
        <w:ind w:left="360" w:hanging="360"/>
      </w:pPr>
      <w:rPr>
        <w:rFonts w:ascii="Wingdings" w:hAnsi="Wingdings" w:hint="default"/>
        <w:color w:val="FF0000"/>
        <w:sz w:val="20"/>
      </w:rPr>
    </w:lvl>
  </w:abstractNum>
  <w:abstractNum w:abstractNumId="1">
    <w:nsid w:val="492C6DD3"/>
    <w:multiLevelType w:val="hybridMultilevel"/>
    <w:tmpl w:val="6B68E90C"/>
    <w:lvl w:ilvl="0" w:tplc="A1E68908">
      <w:start w:val="1"/>
      <w:numFmt w:val="bullet"/>
      <w:lvlText w:val=""/>
      <w:lvlJc w:val="left"/>
      <w:pPr>
        <w:tabs>
          <w:tab w:val="num" w:pos="4329"/>
        </w:tabs>
        <w:ind w:left="3969"/>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AC7CA5DC">
      <w:start w:val="1"/>
      <w:numFmt w:val="bullet"/>
      <w:lvlText w:val=""/>
      <w:lvlJc w:val="left"/>
      <w:pPr>
        <w:tabs>
          <w:tab w:val="num" w:pos="3799"/>
        </w:tabs>
        <w:ind w:left="3799" w:hanging="369"/>
      </w:pPr>
      <w:rPr>
        <w:rFonts w:ascii="Wingdings" w:eastAsia="楷体_GB2312" w:hAnsi="Wingdings" w:hint="default"/>
        <w:b w:val="0"/>
        <w:i w:val="0"/>
        <w:color w:val="auto"/>
        <w:sz w:val="18"/>
      </w:rPr>
    </w:lvl>
    <w:lvl w:ilvl="5" w:tplc="04090005">
      <w:start w:val="1"/>
      <w:numFmt w:val="bullet"/>
      <w:lvlText w:val=""/>
      <w:lvlJc w:val="left"/>
      <w:pPr>
        <w:tabs>
          <w:tab w:val="num" w:pos="5922"/>
        </w:tabs>
        <w:ind w:left="5922" w:hanging="420"/>
      </w:pPr>
      <w:rPr>
        <w:rFonts w:ascii="Wingdings" w:hAnsi="Wingdings" w:hint="default"/>
      </w:rPr>
    </w:lvl>
    <w:lvl w:ilvl="6" w:tplc="04090001" w:tentative="1">
      <w:start w:val="1"/>
      <w:numFmt w:val="bullet"/>
      <w:lvlText w:val=""/>
      <w:lvlJc w:val="left"/>
      <w:pPr>
        <w:tabs>
          <w:tab w:val="num" w:pos="6342"/>
        </w:tabs>
        <w:ind w:left="6342" w:hanging="420"/>
      </w:pPr>
      <w:rPr>
        <w:rFonts w:ascii="Wingdings" w:hAnsi="Wingdings" w:hint="default"/>
      </w:rPr>
    </w:lvl>
    <w:lvl w:ilvl="7" w:tplc="04090003">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2">
    <w:nsid w:val="5E8271C1"/>
    <w:multiLevelType w:val="hybridMultilevel"/>
    <w:tmpl w:val="6B68E90C"/>
    <w:lvl w:ilvl="0" w:tplc="A1E68908">
      <w:start w:val="1"/>
      <w:numFmt w:val="bullet"/>
      <w:lvlText w:val=""/>
      <w:lvlJc w:val="left"/>
      <w:pPr>
        <w:tabs>
          <w:tab w:val="num" w:pos="4329"/>
        </w:tabs>
        <w:ind w:left="3969"/>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31DAFFE0">
      <w:start w:val="1"/>
      <w:numFmt w:val="bullet"/>
      <w:lvlText w:val=""/>
      <w:lvlJc w:val="left"/>
      <w:pPr>
        <w:tabs>
          <w:tab w:val="num" w:pos="3649"/>
        </w:tabs>
        <w:ind w:left="3289"/>
      </w:pPr>
      <w:rPr>
        <w:rFonts w:ascii="Wingdings" w:eastAsia="宋体" w:hAnsi="Wingdings" w:hint="default"/>
        <w:b w:val="0"/>
        <w:i w:val="0"/>
        <w:color w:val="000565"/>
        <w:sz w:val="18"/>
      </w:rPr>
    </w:lvl>
    <w:lvl w:ilvl="5" w:tplc="DDC8F30C">
      <w:start w:val="1"/>
      <w:numFmt w:val="bullet"/>
      <w:lvlText w:val=""/>
      <w:lvlJc w:val="left"/>
      <w:pPr>
        <w:tabs>
          <w:tab w:val="num" w:pos="4139"/>
        </w:tabs>
        <w:ind w:left="4139" w:hanging="368"/>
      </w:pPr>
      <w:rPr>
        <w:rFonts w:ascii="Wingdings 2" w:eastAsia="楷体_GB2312" w:hAnsi="Wingdings 2" w:hint="default"/>
        <w:b w:val="0"/>
        <w:i w:val="0"/>
        <w:sz w:val="18"/>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0000"/>
    <w:rsid w:val="0000690F"/>
    <w:rsid w:val="00006F0B"/>
    <w:rsid w:val="00007370"/>
    <w:rsid w:val="0002036A"/>
    <w:rsid w:val="00022A09"/>
    <w:rsid w:val="00032E03"/>
    <w:rsid w:val="00034C20"/>
    <w:rsid w:val="00034C75"/>
    <w:rsid w:val="000355B9"/>
    <w:rsid w:val="00041D47"/>
    <w:rsid w:val="000421D2"/>
    <w:rsid w:val="00044180"/>
    <w:rsid w:val="0004431B"/>
    <w:rsid w:val="000529F1"/>
    <w:rsid w:val="00062258"/>
    <w:rsid w:val="00062B6C"/>
    <w:rsid w:val="0007259C"/>
    <w:rsid w:val="00097E11"/>
    <w:rsid w:val="000A1683"/>
    <w:rsid w:val="000A2F05"/>
    <w:rsid w:val="000A5307"/>
    <w:rsid w:val="000A6BBD"/>
    <w:rsid w:val="000B3263"/>
    <w:rsid w:val="000C0CC1"/>
    <w:rsid w:val="000C6809"/>
    <w:rsid w:val="000D037C"/>
    <w:rsid w:val="000D7972"/>
    <w:rsid w:val="000E08A2"/>
    <w:rsid w:val="000E1B8E"/>
    <w:rsid w:val="000E2504"/>
    <w:rsid w:val="000E2F3D"/>
    <w:rsid w:val="000E380B"/>
    <w:rsid w:val="00101C67"/>
    <w:rsid w:val="0010588D"/>
    <w:rsid w:val="001067C9"/>
    <w:rsid w:val="001130F5"/>
    <w:rsid w:val="00113EA7"/>
    <w:rsid w:val="001159E7"/>
    <w:rsid w:val="00115A46"/>
    <w:rsid w:val="00116D74"/>
    <w:rsid w:val="0012020D"/>
    <w:rsid w:val="0012509B"/>
    <w:rsid w:val="00125CD3"/>
    <w:rsid w:val="001327F0"/>
    <w:rsid w:val="001353D4"/>
    <w:rsid w:val="00136772"/>
    <w:rsid w:val="00137434"/>
    <w:rsid w:val="001445CA"/>
    <w:rsid w:val="00156A2D"/>
    <w:rsid w:val="001649A3"/>
    <w:rsid w:val="0017786E"/>
    <w:rsid w:val="00180027"/>
    <w:rsid w:val="00183119"/>
    <w:rsid w:val="001863C8"/>
    <w:rsid w:val="00187433"/>
    <w:rsid w:val="00187CCA"/>
    <w:rsid w:val="001931A3"/>
    <w:rsid w:val="00195595"/>
    <w:rsid w:val="001A6AF9"/>
    <w:rsid w:val="001B6197"/>
    <w:rsid w:val="001C1488"/>
    <w:rsid w:val="001C69CB"/>
    <w:rsid w:val="001C7151"/>
    <w:rsid w:val="001C74ED"/>
    <w:rsid w:val="001C760F"/>
    <w:rsid w:val="001E1E9E"/>
    <w:rsid w:val="001E2BCC"/>
    <w:rsid w:val="001E2C21"/>
    <w:rsid w:val="001E53D5"/>
    <w:rsid w:val="001E63F4"/>
    <w:rsid w:val="001F046A"/>
    <w:rsid w:val="002029F8"/>
    <w:rsid w:val="00203E34"/>
    <w:rsid w:val="00205704"/>
    <w:rsid w:val="00212B53"/>
    <w:rsid w:val="002130DE"/>
    <w:rsid w:val="00213EBB"/>
    <w:rsid w:val="00216264"/>
    <w:rsid w:val="00217436"/>
    <w:rsid w:val="0022164A"/>
    <w:rsid w:val="002243BA"/>
    <w:rsid w:val="00237BD0"/>
    <w:rsid w:val="00245691"/>
    <w:rsid w:val="002519B0"/>
    <w:rsid w:val="002529CC"/>
    <w:rsid w:val="00266367"/>
    <w:rsid w:val="002800D8"/>
    <w:rsid w:val="00287476"/>
    <w:rsid w:val="002929AC"/>
    <w:rsid w:val="00296627"/>
    <w:rsid w:val="00296D0C"/>
    <w:rsid w:val="002A114C"/>
    <w:rsid w:val="002A3F39"/>
    <w:rsid w:val="002B1B47"/>
    <w:rsid w:val="002B1C51"/>
    <w:rsid w:val="002B694D"/>
    <w:rsid w:val="002C36FD"/>
    <w:rsid w:val="002C5E5F"/>
    <w:rsid w:val="002D5140"/>
    <w:rsid w:val="002D764A"/>
    <w:rsid w:val="002E22EC"/>
    <w:rsid w:val="002E6157"/>
    <w:rsid w:val="002F05AE"/>
    <w:rsid w:val="00302C65"/>
    <w:rsid w:val="00307499"/>
    <w:rsid w:val="00313664"/>
    <w:rsid w:val="003139FE"/>
    <w:rsid w:val="00317236"/>
    <w:rsid w:val="00321DF3"/>
    <w:rsid w:val="00322F07"/>
    <w:rsid w:val="00347816"/>
    <w:rsid w:val="003522D8"/>
    <w:rsid w:val="00353FD6"/>
    <w:rsid w:val="003546AA"/>
    <w:rsid w:val="003573FC"/>
    <w:rsid w:val="003629A1"/>
    <w:rsid w:val="00363A8B"/>
    <w:rsid w:val="003704CC"/>
    <w:rsid w:val="003710E4"/>
    <w:rsid w:val="00373AAC"/>
    <w:rsid w:val="003812C1"/>
    <w:rsid w:val="0038282C"/>
    <w:rsid w:val="0038678D"/>
    <w:rsid w:val="003867C4"/>
    <w:rsid w:val="00386A2A"/>
    <w:rsid w:val="0038742F"/>
    <w:rsid w:val="00390878"/>
    <w:rsid w:val="00395250"/>
    <w:rsid w:val="00395822"/>
    <w:rsid w:val="003A6147"/>
    <w:rsid w:val="003B1245"/>
    <w:rsid w:val="003B4531"/>
    <w:rsid w:val="003B49F7"/>
    <w:rsid w:val="003B4B73"/>
    <w:rsid w:val="003B6DC1"/>
    <w:rsid w:val="003C00E1"/>
    <w:rsid w:val="003C1473"/>
    <w:rsid w:val="003C7F5D"/>
    <w:rsid w:val="003D116B"/>
    <w:rsid w:val="003D442C"/>
    <w:rsid w:val="003D6A20"/>
    <w:rsid w:val="003E1015"/>
    <w:rsid w:val="003E1A04"/>
    <w:rsid w:val="003E33CB"/>
    <w:rsid w:val="003E5968"/>
    <w:rsid w:val="003F0650"/>
    <w:rsid w:val="003F0753"/>
    <w:rsid w:val="003F4FE1"/>
    <w:rsid w:val="003F501F"/>
    <w:rsid w:val="003F7AF3"/>
    <w:rsid w:val="00405FD3"/>
    <w:rsid w:val="00410EFB"/>
    <w:rsid w:val="00411854"/>
    <w:rsid w:val="004173A5"/>
    <w:rsid w:val="00423C7F"/>
    <w:rsid w:val="00427AD4"/>
    <w:rsid w:val="004338C9"/>
    <w:rsid w:val="004342A2"/>
    <w:rsid w:val="00445C22"/>
    <w:rsid w:val="00446B56"/>
    <w:rsid w:val="00451A09"/>
    <w:rsid w:val="00462411"/>
    <w:rsid w:val="00467E79"/>
    <w:rsid w:val="00476868"/>
    <w:rsid w:val="004800F5"/>
    <w:rsid w:val="00484B69"/>
    <w:rsid w:val="00486443"/>
    <w:rsid w:val="0049310A"/>
    <w:rsid w:val="004932D6"/>
    <w:rsid w:val="004A1119"/>
    <w:rsid w:val="004A5E8A"/>
    <w:rsid w:val="004B60D6"/>
    <w:rsid w:val="004E032B"/>
    <w:rsid w:val="004E174B"/>
    <w:rsid w:val="004E7D3A"/>
    <w:rsid w:val="004F2A4E"/>
    <w:rsid w:val="004F346C"/>
    <w:rsid w:val="00501EEF"/>
    <w:rsid w:val="00507CBF"/>
    <w:rsid w:val="005175D9"/>
    <w:rsid w:val="005314D1"/>
    <w:rsid w:val="00534D79"/>
    <w:rsid w:val="00534F82"/>
    <w:rsid w:val="00535C8B"/>
    <w:rsid w:val="00536B24"/>
    <w:rsid w:val="00537779"/>
    <w:rsid w:val="005467AD"/>
    <w:rsid w:val="00550B1A"/>
    <w:rsid w:val="005611A1"/>
    <w:rsid w:val="00561462"/>
    <w:rsid w:val="00566ADE"/>
    <w:rsid w:val="0056791E"/>
    <w:rsid w:val="005849F5"/>
    <w:rsid w:val="00586379"/>
    <w:rsid w:val="00587C79"/>
    <w:rsid w:val="00590AA6"/>
    <w:rsid w:val="00590E78"/>
    <w:rsid w:val="005910E5"/>
    <w:rsid w:val="0059378F"/>
    <w:rsid w:val="0059574D"/>
    <w:rsid w:val="005A5894"/>
    <w:rsid w:val="005A725E"/>
    <w:rsid w:val="005A7524"/>
    <w:rsid w:val="005B3353"/>
    <w:rsid w:val="005B55A9"/>
    <w:rsid w:val="005B6281"/>
    <w:rsid w:val="005B6EF4"/>
    <w:rsid w:val="005C0D1D"/>
    <w:rsid w:val="005C3444"/>
    <w:rsid w:val="005C7F73"/>
    <w:rsid w:val="005D000C"/>
    <w:rsid w:val="005D3469"/>
    <w:rsid w:val="005D4AF6"/>
    <w:rsid w:val="005D5435"/>
    <w:rsid w:val="005E0E45"/>
    <w:rsid w:val="005E43F7"/>
    <w:rsid w:val="005E5694"/>
    <w:rsid w:val="005F005A"/>
    <w:rsid w:val="005F05DA"/>
    <w:rsid w:val="005F63E4"/>
    <w:rsid w:val="005F6814"/>
    <w:rsid w:val="00603DEF"/>
    <w:rsid w:val="00604B51"/>
    <w:rsid w:val="0060686C"/>
    <w:rsid w:val="00610832"/>
    <w:rsid w:val="00612B5B"/>
    <w:rsid w:val="00612E92"/>
    <w:rsid w:val="00615F03"/>
    <w:rsid w:val="0062013C"/>
    <w:rsid w:val="00623C62"/>
    <w:rsid w:val="00624366"/>
    <w:rsid w:val="00630F97"/>
    <w:rsid w:val="00633ECC"/>
    <w:rsid w:val="00635482"/>
    <w:rsid w:val="00642AA4"/>
    <w:rsid w:val="006451C2"/>
    <w:rsid w:val="00645A62"/>
    <w:rsid w:val="00645F00"/>
    <w:rsid w:val="00646663"/>
    <w:rsid w:val="006515F4"/>
    <w:rsid w:val="00656031"/>
    <w:rsid w:val="0065775A"/>
    <w:rsid w:val="00660928"/>
    <w:rsid w:val="006629D6"/>
    <w:rsid w:val="006668B4"/>
    <w:rsid w:val="00666DAC"/>
    <w:rsid w:val="00671493"/>
    <w:rsid w:val="00684CCA"/>
    <w:rsid w:val="00691F15"/>
    <w:rsid w:val="00692086"/>
    <w:rsid w:val="006967F1"/>
    <w:rsid w:val="006A7DAE"/>
    <w:rsid w:val="006B1B73"/>
    <w:rsid w:val="006B1E6A"/>
    <w:rsid w:val="006B34CE"/>
    <w:rsid w:val="006B3674"/>
    <w:rsid w:val="006B44D7"/>
    <w:rsid w:val="006B45D1"/>
    <w:rsid w:val="006B4895"/>
    <w:rsid w:val="006C04AC"/>
    <w:rsid w:val="006C0F60"/>
    <w:rsid w:val="006C59A6"/>
    <w:rsid w:val="006C6BAD"/>
    <w:rsid w:val="006D1004"/>
    <w:rsid w:val="006D1467"/>
    <w:rsid w:val="006E0F3C"/>
    <w:rsid w:val="006E1A2B"/>
    <w:rsid w:val="006E43E6"/>
    <w:rsid w:val="006E6742"/>
    <w:rsid w:val="006E72B8"/>
    <w:rsid w:val="006F05B9"/>
    <w:rsid w:val="006F2E8F"/>
    <w:rsid w:val="006F6F9C"/>
    <w:rsid w:val="0070710F"/>
    <w:rsid w:val="00710608"/>
    <w:rsid w:val="007143AD"/>
    <w:rsid w:val="00723A8A"/>
    <w:rsid w:val="00726F1F"/>
    <w:rsid w:val="00731634"/>
    <w:rsid w:val="007356F0"/>
    <w:rsid w:val="00740FBA"/>
    <w:rsid w:val="00747D5B"/>
    <w:rsid w:val="00760E6D"/>
    <w:rsid w:val="0076129C"/>
    <w:rsid w:val="0076313A"/>
    <w:rsid w:val="00765CCA"/>
    <w:rsid w:val="007709C9"/>
    <w:rsid w:val="00771201"/>
    <w:rsid w:val="0077272F"/>
    <w:rsid w:val="0077447D"/>
    <w:rsid w:val="007802EF"/>
    <w:rsid w:val="0078515B"/>
    <w:rsid w:val="00785184"/>
    <w:rsid w:val="0079268C"/>
    <w:rsid w:val="007A71EB"/>
    <w:rsid w:val="007B206A"/>
    <w:rsid w:val="007B3051"/>
    <w:rsid w:val="007B457A"/>
    <w:rsid w:val="007C0CD7"/>
    <w:rsid w:val="007C4F20"/>
    <w:rsid w:val="007C531D"/>
    <w:rsid w:val="007D0188"/>
    <w:rsid w:val="007D21B0"/>
    <w:rsid w:val="007D5EA0"/>
    <w:rsid w:val="007D72D5"/>
    <w:rsid w:val="007E4A52"/>
    <w:rsid w:val="007E4D06"/>
    <w:rsid w:val="007F1013"/>
    <w:rsid w:val="007F1F24"/>
    <w:rsid w:val="007F3D55"/>
    <w:rsid w:val="007F4CA8"/>
    <w:rsid w:val="007F749C"/>
    <w:rsid w:val="0080364F"/>
    <w:rsid w:val="00803C66"/>
    <w:rsid w:val="00807747"/>
    <w:rsid w:val="00807C0B"/>
    <w:rsid w:val="0081385D"/>
    <w:rsid w:val="00813D9F"/>
    <w:rsid w:val="00814EEF"/>
    <w:rsid w:val="0082156A"/>
    <w:rsid w:val="008220BB"/>
    <w:rsid w:val="008237B1"/>
    <w:rsid w:val="0082600F"/>
    <w:rsid w:val="00831257"/>
    <w:rsid w:val="008355EF"/>
    <w:rsid w:val="008358D5"/>
    <w:rsid w:val="00841D0C"/>
    <w:rsid w:val="00845793"/>
    <w:rsid w:val="00851E44"/>
    <w:rsid w:val="00857A59"/>
    <w:rsid w:val="008611BA"/>
    <w:rsid w:val="00864AD6"/>
    <w:rsid w:val="0087386F"/>
    <w:rsid w:val="00873D95"/>
    <w:rsid w:val="008840A4"/>
    <w:rsid w:val="008872AF"/>
    <w:rsid w:val="00891E01"/>
    <w:rsid w:val="00892163"/>
    <w:rsid w:val="00894B1A"/>
    <w:rsid w:val="008A07BB"/>
    <w:rsid w:val="008A5345"/>
    <w:rsid w:val="008A65C5"/>
    <w:rsid w:val="008A6DE9"/>
    <w:rsid w:val="008A7527"/>
    <w:rsid w:val="008A775D"/>
    <w:rsid w:val="008B1444"/>
    <w:rsid w:val="008C1F8C"/>
    <w:rsid w:val="008C4DBE"/>
    <w:rsid w:val="008C538A"/>
    <w:rsid w:val="008D2BE4"/>
    <w:rsid w:val="008D486A"/>
    <w:rsid w:val="008D49AD"/>
    <w:rsid w:val="008D6A8F"/>
    <w:rsid w:val="008E0641"/>
    <w:rsid w:val="008E54E4"/>
    <w:rsid w:val="008E5831"/>
    <w:rsid w:val="008E6C7A"/>
    <w:rsid w:val="008F1EAF"/>
    <w:rsid w:val="0090327A"/>
    <w:rsid w:val="00903E83"/>
    <w:rsid w:val="00904892"/>
    <w:rsid w:val="00905EED"/>
    <w:rsid w:val="009064BA"/>
    <w:rsid w:val="0090698B"/>
    <w:rsid w:val="009070B5"/>
    <w:rsid w:val="009206FD"/>
    <w:rsid w:val="00921D38"/>
    <w:rsid w:val="0092308E"/>
    <w:rsid w:val="00926221"/>
    <w:rsid w:val="00930A50"/>
    <w:rsid w:val="009314D1"/>
    <w:rsid w:val="00931B73"/>
    <w:rsid w:val="00932235"/>
    <w:rsid w:val="009364B9"/>
    <w:rsid w:val="009405FE"/>
    <w:rsid w:val="009428C0"/>
    <w:rsid w:val="0094318C"/>
    <w:rsid w:val="00956320"/>
    <w:rsid w:val="00957485"/>
    <w:rsid w:val="009577D1"/>
    <w:rsid w:val="00961E7F"/>
    <w:rsid w:val="009631A8"/>
    <w:rsid w:val="0096561F"/>
    <w:rsid w:val="00965815"/>
    <w:rsid w:val="00965A8F"/>
    <w:rsid w:val="00974DE9"/>
    <w:rsid w:val="00977091"/>
    <w:rsid w:val="009805E4"/>
    <w:rsid w:val="009835CA"/>
    <w:rsid w:val="0098415E"/>
    <w:rsid w:val="0098654C"/>
    <w:rsid w:val="00986775"/>
    <w:rsid w:val="009871EA"/>
    <w:rsid w:val="009935C7"/>
    <w:rsid w:val="009A1F16"/>
    <w:rsid w:val="009A260B"/>
    <w:rsid w:val="009A6D78"/>
    <w:rsid w:val="009B3824"/>
    <w:rsid w:val="009B5041"/>
    <w:rsid w:val="009C6B89"/>
    <w:rsid w:val="009C6F68"/>
    <w:rsid w:val="009C7958"/>
    <w:rsid w:val="009D3C30"/>
    <w:rsid w:val="009D42AB"/>
    <w:rsid w:val="009D668C"/>
    <w:rsid w:val="009E156C"/>
    <w:rsid w:val="009E37B1"/>
    <w:rsid w:val="009E75FC"/>
    <w:rsid w:val="009F05F5"/>
    <w:rsid w:val="009F3FBA"/>
    <w:rsid w:val="009F6D34"/>
    <w:rsid w:val="009F7F1E"/>
    <w:rsid w:val="00A064D5"/>
    <w:rsid w:val="00A21617"/>
    <w:rsid w:val="00A225DC"/>
    <w:rsid w:val="00A264D4"/>
    <w:rsid w:val="00A322C5"/>
    <w:rsid w:val="00A34FB9"/>
    <w:rsid w:val="00A35D50"/>
    <w:rsid w:val="00A36805"/>
    <w:rsid w:val="00A4027B"/>
    <w:rsid w:val="00A41EC1"/>
    <w:rsid w:val="00A45BCA"/>
    <w:rsid w:val="00A471B4"/>
    <w:rsid w:val="00A511B3"/>
    <w:rsid w:val="00A524E7"/>
    <w:rsid w:val="00A52C3A"/>
    <w:rsid w:val="00A54F91"/>
    <w:rsid w:val="00A5631F"/>
    <w:rsid w:val="00A607DE"/>
    <w:rsid w:val="00A639D2"/>
    <w:rsid w:val="00A67651"/>
    <w:rsid w:val="00A67ECA"/>
    <w:rsid w:val="00A732F2"/>
    <w:rsid w:val="00A76446"/>
    <w:rsid w:val="00A76C08"/>
    <w:rsid w:val="00A76EA2"/>
    <w:rsid w:val="00A935A6"/>
    <w:rsid w:val="00A947BA"/>
    <w:rsid w:val="00A96A04"/>
    <w:rsid w:val="00A97CE2"/>
    <w:rsid w:val="00AA236D"/>
    <w:rsid w:val="00AA47EF"/>
    <w:rsid w:val="00AA6E00"/>
    <w:rsid w:val="00AA7E0D"/>
    <w:rsid w:val="00AA7E61"/>
    <w:rsid w:val="00AB2196"/>
    <w:rsid w:val="00AC010E"/>
    <w:rsid w:val="00AC034E"/>
    <w:rsid w:val="00AC107B"/>
    <w:rsid w:val="00AC1FDC"/>
    <w:rsid w:val="00AC471E"/>
    <w:rsid w:val="00AC62CB"/>
    <w:rsid w:val="00AC7B94"/>
    <w:rsid w:val="00AD2813"/>
    <w:rsid w:val="00AD2AD0"/>
    <w:rsid w:val="00AD5B85"/>
    <w:rsid w:val="00AE132B"/>
    <w:rsid w:val="00AE4171"/>
    <w:rsid w:val="00AE6F69"/>
    <w:rsid w:val="00AF14BD"/>
    <w:rsid w:val="00AF2328"/>
    <w:rsid w:val="00AF2F61"/>
    <w:rsid w:val="00AF7E6B"/>
    <w:rsid w:val="00B05740"/>
    <w:rsid w:val="00B067C4"/>
    <w:rsid w:val="00B06F59"/>
    <w:rsid w:val="00B10000"/>
    <w:rsid w:val="00B13AFD"/>
    <w:rsid w:val="00B24E8B"/>
    <w:rsid w:val="00B4373A"/>
    <w:rsid w:val="00B44F18"/>
    <w:rsid w:val="00B530F7"/>
    <w:rsid w:val="00B57A7E"/>
    <w:rsid w:val="00B65EFE"/>
    <w:rsid w:val="00B67119"/>
    <w:rsid w:val="00B67909"/>
    <w:rsid w:val="00B70375"/>
    <w:rsid w:val="00B7662B"/>
    <w:rsid w:val="00B779DE"/>
    <w:rsid w:val="00B80097"/>
    <w:rsid w:val="00B84578"/>
    <w:rsid w:val="00B91B96"/>
    <w:rsid w:val="00B9706D"/>
    <w:rsid w:val="00B97162"/>
    <w:rsid w:val="00BA5B4E"/>
    <w:rsid w:val="00BA5C18"/>
    <w:rsid w:val="00BA7AB5"/>
    <w:rsid w:val="00BB3278"/>
    <w:rsid w:val="00BB7373"/>
    <w:rsid w:val="00BC4BF3"/>
    <w:rsid w:val="00BE6190"/>
    <w:rsid w:val="00BF047B"/>
    <w:rsid w:val="00BF22E5"/>
    <w:rsid w:val="00C01486"/>
    <w:rsid w:val="00C05306"/>
    <w:rsid w:val="00C06F34"/>
    <w:rsid w:val="00C14D6E"/>
    <w:rsid w:val="00C30912"/>
    <w:rsid w:val="00C33798"/>
    <w:rsid w:val="00C371E6"/>
    <w:rsid w:val="00C44EDE"/>
    <w:rsid w:val="00C451F0"/>
    <w:rsid w:val="00C523B7"/>
    <w:rsid w:val="00C53D71"/>
    <w:rsid w:val="00C542F4"/>
    <w:rsid w:val="00C65127"/>
    <w:rsid w:val="00C70219"/>
    <w:rsid w:val="00C77E0D"/>
    <w:rsid w:val="00C806CE"/>
    <w:rsid w:val="00C8564B"/>
    <w:rsid w:val="00C8737F"/>
    <w:rsid w:val="00CA4B1F"/>
    <w:rsid w:val="00CB1891"/>
    <w:rsid w:val="00CB2759"/>
    <w:rsid w:val="00CB3EFB"/>
    <w:rsid w:val="00CC422E"/>
    <w:rsid w:val="00CC427D"/>
    <w:rsid w:val="00CD2B03"/>
    <w:rsid w:val="00CD3CF3"/>
    <w:rsid w:val="00CE2A66"/>
    <w:rsid w:val="00CE42E6"/>
    <w:rsid w:val="00CE68DA"/>
    <w:rsid w:val="00CF4D29"/>
    <w:rsid w:val="00D04713"/>
    <w:rsid w:val="00D12C4A"/>
    <w:rsid w:val="00D14DE2"/>
    <w:rsid w:val="00D15EF7"/>
    <w:rsid w:val="00D161D9"/>
    <w:rsid w:val="00D16885"/>
    <w:rsid w:val="00D20B3A"/>
    <w:rsid w:val="00D32F6E"/>
    <w:rsid w:val="00D458B1"/>
    <w:rsid w:val="00D47A11"/>
    <w:rsid w:val="00D52E72"/>
    <w:rsid w:val="00D54FFD"/>
    <w:rsid w:val="00D55AF3"/>
    <w:rsid w:val="00D648B8"/>
    <w:rsid w:val="00D66666"/>
    <w:rsid w:val="00D67200"/>
    <w:rsid w:val="00D84C9B"/>
    <w:rsid w:val="00D8603F"/>
    <w:rsid w:val="00D92D8A"/>
    <w:rsid w:val="00D97CE5"/>
    <w:rsid w:val="00DA0D67"/>
    <w:rsid w:val="00DA1FDB"/>
    <w:rsid w:val="00DA64CE"/>
    <w:rsid w:val="00DB1430"/>
    <w:rsid w:val="00DB6571"/>
    <w:rsid w:val="00DB6DC7"/>
    <w:rsid w:val="00DB78B5"/>
    <w:rsid w:val="00DC2B4E"/>
    <w:rsid w:val="00DC6FC7"/>
    <w:rsid w:val="00DC7991"/>
    <w:rsid w:val="00DC7BBB"/>
    <w:rsid w:val="00DC7C51"/>
    <w:rsid w:val="00DD2246"/>
    <w:rsid w:val="00DD252F"/>
    <w:rsid w:val="00DD3896"/>
    <w:rsid w:val="00DD5036"/>
    <w:rsid w:val="00DD61F8"/>
    <w:rsid w:val="00DD687B"/>
    <w:rsid w:val="00DD6F9C"/>
    <w:rsid w:val="00DD71F5"/>
    <w:rsid w:val="00DD7FA1"/>
    <w:rsid w:val="00DF035E"/>
    <w:rsid w:val="00DF284D"/>
    <w:rsid w:val="00DF5545"/>
    <w:rsid w:val="00DF758F"/>
    <w:rsid w:val="00E01DBA"/>
    <w:rsid w:val="00E03735"/>
    <w:rsid w:val="00E05F78"/>
    <w:rsid w:val="00E14B7F"/>
    <w:rsid w:val="00E17408"/>
    <w:rsid w:val="00E21B41"/>
    <w:rsid w:val="00E21E3A"/>
    <w:rsid w:val="00E259A3"/>
    <w:rsid w:val="00E323ED"/>
    <w:rsid w:val="00E41CB0"/>
    <w:rsid w:val="00E5111F"/>
    <w:rsid w:val="00E572D2"/>
    <w:rsid w:val="00E6025D"/>
    <w:rsid w:val="00E61EF0"/>
    <w:rsid w:val="00E6341F"/>
    <w:rsid w:val="00E66A3F"/>
    <w:rsid w:val="00E737D6"/>
    <w:rsid w:val="00E744E3"/>
    <w:rsid w:val="00E80189"/>
    <w:rsid w:val="00E82FB9"/>
    <w:rsid w:val="00E8427C"/>
    <w:rsid w:val="00E852C4"/>
    <w:rsid w:val="00E86037"/>
    <w:rsid w:val="00E90896"/>
    <w:rsid w:val="00E93078"/>
    <w:rsid w:val="00E96517"/>
    <w:rsid w:val="00EA040B"/>
    <w:rsid w:val="00EA3337"/>
    <w:rsid w:val="00EA60B9"/>
    <w:rsid w:val="00EB7508"/>
    <w:rsid w:val="00EB7CA4"/>
    <w:rsid w:val="00EC19BD"/>
    <w:rsid w:val="00EC57E7"/>
    <w:rsid w:val="00EC6D5B"/>
    <w:rsid w:val="00EC7247"/>
    <w:rsid w:val="00ED232E"/>
    <w:rsid w:val="00ED4B2E"/>
    <w:rsid w:val="00ED4DC8"/>
    <w:rsid w:val="00EE31E8"/>
    <w:rsid w:val="00EE3923"/>
    <w:rsid w:val="00EE475D"/>
    <w:rsid w:val="00EE70C0"/>
    <w:rsid w:val="00EF43E4"/>
    <w:rsid w:val="00EF4450"/>
    <w:rsid w:val="00F02BB3"/>
    <w:rsid w:val="00F03286"/>
    <w:rsid w:val="00F11E35"/>
    <w:rsid w:val="00F14762"/>
    <w:rsid w:val="00F17E60"/>
    <w:rsid w:val="00F25C65"/>
    <w:rsid w:val="00F2768E"/>
    <w:rsid w:val="00F37983"/>
    <w:rsid w:val="00F405EC"/>
    <w:rsid w:val="00F43549"/>
    <w:rsid w:val="00F459C1"/>
    <w:rsid w:val="00F4755E"/>
    <w:rsid w:val="00F6154C"/>
    <w:rsid w:val="00F643F1"/>
    <w:rsid w:val="00F65B99"/>
    <w:rsid w:val="00F671D6"/>
    <w:rsid w:val="00F72073"/>
    <w:rsid w:val="00F74ED4"/>
    <w:rsid w:val="00F8490A"/>
    <w:rsid w:val="00F86944"/>
    <w:rsid w:val="00F96A95"/>
    <w:rsid w:val="00F9720B"/>
    <w:rsid w:val="00FA04B7"/>
    <w:rsid w:val="00FA3B0B"/>
    <w:rsid w:val="00FA4263"/>
    <w:rsid w:val="00FB5670"/>
    <w:rsid w:val="00FC532F"/>
    <w:rsid w:val="00FC7F00"/>
    <w:rsid w:val="00FD1DC0"/>
    <w:rsid w:val="00FD4C5C"/>
    <w:rsid w:val="00FD7448"/>
    <w:rsid w:val="00FE3D11"/>
    <w:rsid w:val="00FE5D14"/>
    <w:rsid w:val="00FF34B3"/>
    <w:rsid w:val="00FF5223"/>
    <w:rsid w:val="00FF6795"/>
    <w:rsid w:val="00FF743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147"/>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1000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B10000"/>
    <w:rPr>
      <w:rFonts w:cs="Times New Roman"/>
      <w:sz w:val="18"/>
      <w:szCs w:val="18"/>
    </w:rPr>
  </w:style>
  <w:style w:type="paragraph" w:styleId="Footer">
    <w:name w:val="footer"/>
    <w:basedOn w:val="Normal"/>
    <w:link w:val="FooterChar"/>
    <w:uiPriority w:val="99"/>
    <w:rsid w:val="00B1000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B10000"/>
    <w:rPr>
      <w:rFonts w:cs="Times New Roman"/>
      <w:sz w:val="18"/>
      <w:szCs w:val="18"/>
    </w:rPr>
  </w:style>
  <w:style w:type="paragraph" w:customStyle="1" w:styleId="a">
    <w:name w:val="页眉报告名称"/>
    <w:link w:val="Char"/>
    <w:autoRedefine/>
    <w:uiPriority w:val="99"/>
    <w:rsid w:val="00B10000"/>
    <w:pPr>
      <w:spacing w:afterLines="100" w:line="240" w:lineRule="exact"/>
      <w:jc w:val="both"/>
    </w:pPr>
    <w:rPr>
      <w:rFonts w:eastAsia="华文新魏"/>
      <w:sz w:val="24"/>
    </w:rPr>
  </w:style>
  <w:style w:type="character" w:customStyle="1" w:styleId="Char">
    <w:name w:val="页眉报告名称 Char"/>
    <w:basedOn w:val="DefaultParagraphFont"/>
    <w:link w:val="a"/>
    <w:uiPriority w:val="99"/>
    <w:locked/>
    <w:rsid w:val="00B10000"/>
    <w:rPr>
      <w:rFonts w:ascii="Calibri" w:eastAsia="华文新魏" w:hAnsi="Calibri" w:cs="Times New Roman"/>
      <w:kern w:val="2"/>
      <w:sz w:val="22"/>
      <w:szCs w:val="22"/>
      <w:lang w:val="en-US" w:eastAsia="zh-CN" w:bidi="ar-SA"/>
    </w:rPr>
  </w:style>
  <w:style w:type="paragraph" w:customStyle="1" w:styleId="a0">
    <w:name w:val="页眉图片"/>
    <w:basedOn w:val="Header"/>
    <w:link w:val="Char0"/>
    <w:uiPriority w:val="99"/>
    <w:rsid w:val="00B10000"/>
    <w:pPr>
      <w:pBdr>
        <w:bottom w:val="none" w:sz="0" w:space="0" w:color="auto"/>
      </w:pBdr>
      <w:tabs>
        <w:tab w:val="clear" w:pos="4153"/>
        <w:tab w:val="clear" w:pos="8306"/>
        <w:tab w:val="right" w:pos="11424"/>
      </w:tabs>
      <w:jc w:val="left"/>
    </w:pPr>
    <w:rPr>
      <w:noProof/>
    </w:rPr>
  </w:style>
  <w:style w:type="character" w:customStyle="1" w:styleId="Char0">
    <w:name w:val="页眉图片 Char"/>
    <w:basedOn w:val="HeaderChar"/>
    <w:link w:val="a0"/>
    <w:uiPriority w:val="99"/>
    <w:locked/>
    <w:rsid w:val="00B10000"/>
    <w:rPr>
      <w:rFonts w:ascii="Calibri" w:eastAsia="宋体" w:hAnsi="Calibri"/>
      <w:noProof/>
    </w:rPr>
  </w:style>
  <w:style w:type="paragraph" w:customStyle="1" w:styleId="a1">
    <w:name w:val="页眉处日期"/>
    <w:basedOn w:val="Normal"/>
    <w:link w:val="Char1"/>
    <w:uiPriority w:val="99"/>
    <w:rsid w:val="00B10000"/>
    <w:pPr>
      <w:tabs>
        <w:tab w:val="right" w:pos="11424"/>
      </w:tabs>
      <w:snapToGrid w:val="0"/>
      <w:jc w:val="left"/>
    </w:pPr>
    <w:rPr>
      <w:rFonts w:ascii="华文隶书" w:eastAsia="华文隶书"/>
      <w:b/>
      <w:sz w:val="24"/>
      <w:szCs w:val="24"/>
    </w:rPr>
  </w:style>
  <w:style w:type="paragraph" w:customStyle="1" w:styleId="a2">
    <w:name w:val="页眉副标题"/>
    <w:basedOn w:val="Normal"/>
    <w:link w:val="Char2"/>
    <w:uiPriority w:val="99"/>
    <w:rsid w:val="00B10000"/>
    <w:pPr>
      <w:tabs>
        <w:tab w:val="right" w:pos="11424"/>
      </w:tabs>
      <w:snapToGrid w:val="0"/>
      <w:jc w:val="left"/>
    </w:pPr>
    <w:rPr>
      <w:rFonts w:ascii="华文隶书" w:eastAsia="华文隶书"/>
      <w:sz w:val="36"/>
      <w:szCs w:val="36"/>
    </w:rPr>
  </w:style>
  <w:style w:type="character" w:customStyle="1" w:styleId="Char1">
    <w:name w:val="页眉处日期 Char"/>
    <w:basedOn w:val="DefaultParagraphFont"/>
    <w:link w:val="a1"/>
    <w:uiPriority w:val="99"/>
    <w:locked/>
    <w:rsid w:val="00B10000"/>
    <w:rPr>
      <w:rFonts w:ascii="华文隶书" w:eastAsia="华文隶书" w:hAnsi="Calibri" w:cs="Times New Roman"/>
      <w:b/>
      <w:sz w:val="24"/>
      <w:szCs w:val="24"/>
    </w:rPr>
  </w:style>
  <w:style w:type="character" w:customStyle="1" w:styleId="Char2">
    <w:name w:val="页眉副标题 Char"/>
    <w:basedOn w:val="DefaultParagraphFont"/>
    <w:link w:val="a2"/>
    <w:uiPriority w:val="99"/>
    <w:locked/>
    <w:rsid w:val="00B10000"/>
    <w:rPr>
      <w:rFonts w:ascii="华文隶书" w:eastAsia="华文隶书" w:hAnsi="Calibri" w:cs="Times New Roman"/>
      <w:sz w:val="36"/>
      <w:szCs w:val="36"/>
    </w:rPr>
  </w:style>
  <w:style w:type="paragraph" w:customStyle="1" w:styleId="a3">
    <w:name w:val="页眉的分析师"/>
    <w:basedOn w:val="Normal"/>
    <w:link w:val="Char3"/>
    <w:uiPriority w:val="99"/>
    <w:rsid w:val="00B10000"/>
    <w:pPr>
      <w:tabs>
        <w:tab w:val="right" w:pos="11424"/>
      </w:tabs>
      <w:snapToGrid w:val="0"/>
      <w:spacing w:line="240" w:lineRule="exact"/>
      <w:jc w:val="right"/>
    </w:pPr>
    <w:rPr>
      <w:rFonts w:ascii="华文新魏" w:eastAsia="华文新魏"/>
      <w:szCs w:val="21"/>
    </w:rPr>
  </w:style>
  <w:style w:type="character" w:customStyle="1" w:styleId="Char3">
    <w:name w:val="页眉的分析师 Char"/>
    <w:basedOn w:val="DefaultParagraphFont"/>
    <w:link w:val="a3"/>
    <w:uiPriority w:val="99"/>
    <w:locked/>
    <w:rsid w:val="00B10000"/>
    <w:rPr>
      <w:rFonts w:ascii="华文新魏" w:eastAsia="华文新魏" w:hAnsi="Calibri" w:cs="Times New Roman"/>
      <w:sz w:val="21"/>
      <w:szCs w:val="21"/>
    </w:rPr>
  </w:style>
  <w:style w:type="paragraph" w:customStyle="1" w:styleId="12">
    <w:name w:val="页眉12"/>
    <w:basedOn w:val="Header"/>
    <w:link w:val="12Char"/>
    <w:uiPriority w:val="99"/>
    <w:rsid w:val="00B10000"/>
    <w:pPr>
      <w:pBdr>
        <w:bottom w:val="none" w:sz="0" w:space="0" w:color="auto"/>
      </w:pBdr>
      <w:tabs>
        <w:tab w:val="clear" w:pos="4153"/>
        <w:tab w:val="clear" w:pos="8306"/>
        <w:tab w:val="right" w:pos="11424"/>
      </w:tabs>
      <w:jc w:val="left"/>
    </w:pPr>
  </w:style>
  <w:style w:type="character" w:customStyle="1" w:styleId="12Char">
    <w:name w:val="页眉12 Char"/>
    <w:basedOn w:val="HeaderChar"/>
    <w:link w:val="12"/>
    <w:uiPriority w:val="99"/>
    <w:locked/>
    <w:rsid w:val="00B10000"/>
    <w:rPr>
      <w:rFonts w:ascii="Calibri" w:eastAsia="宋体" w:hAnsi="Calibri"/>
    </w:rPr>
  </w:style>
  <w:style w:type="paragraph" w:customStyle="1" w:styleId="2">
    <w:name w:val="页眉副标题2"/>
    <w:basedOn w:val="12"/>
    <w:link w:val="2Char"/>
    <w:uiPriority w:val="99"/>
    <w:rsid w:val="00B10000"/>
    <w:pPr>
      <w:jc w:val="right"/>
    </w:pPr>
    <w:rPr>
      <w:rFonts w:ascii="华文隶书" w:eastAsia="华文隶书"/>
      <w:sz w:val="21"/>
      <w:szCs w:val="21"/>
    </w:rPr>
  </w:style>
  <w:style w:type="character" w:customStyle="1" w:styleId="2Char">
    <w:name w:val="页眉副标题2 Char"/>
    <w:basedOn w:val="12Char"/>
    <w:link w:val="2"/>
    <w:uiPriority w:val="99"/>
    <w:locked/>
    <w:rsid w:val="00B10000"/>
    <w:rPr>
      <w:rFonts w:ascii="华文隶书" w:eastAsia="华文隶书"/>
      <w:sz w:val="21"/>
      <w:szCs w:val="21"/>
    </w:rPr>
  </w:style>
  <w:style w:type="paragraph" w:customStyle="1" w:styleId="a4">
    <w:name w:val="特别声明格式"/>
    <w:basedOn w:val="Normal"/>
    <w:link w:val="Char4"/>
    <w:uiPriority w:val="99"/>
    <w:rsid w:val="00B10000"/>
    <w:pPr>
      <w:spacing w:afterLines="100" w:line="240" w:lineRule="exact"/>
    </w:pPr>
    <w:rPr>
      <w:rFonts w:ascii="华文隶书" w:eastAsia="华文隶书"/>
      <w:sz w:val="28"/>
    </w:rPr>
  </w:style>
  <w:style w:type="character" w:customStyle="1" w:styleId="Char4">
    <w:name w:val="特别声明格式 Char"/>
    <w:basedOn w:val="DefaultParagraphFont"/>
    <w:link w:val="a4"/>
    <w:uiPriority w:val="99"/>
    <w:locked/>
    <w:rsid w:val="00B10000"/>
    <w:rPr>
      <w:rFonts w:ascii="华文隶书" w:eastAsia="华文隶书" w:hAnsi="Calibri" w:cs="Times New Roman"/>
      <w:sz w:val="28"/>
    </w:rPr>
  </w:style>
  <w:style w:type="paragraph" w:styleId="BodyText">
    <w:name w:val="Body Text"/>
    <w:basedOn w:val="Normal"/>
    <w:link w:val="BodyTextChar"/>
    <w:uiPriority w:val="99"/>
    <w:rsid w:val="00B10000"/>
    <w:pPr>
      <w:widowControl/>
      <w:spacing w:after="120" w:line="240" w:lineRule="exact"/>
      <w:ind w:left="3402"/>
    </w:pPr>
    <w:rPr>
      <w:rFonts w:ascii="Arial" w:eastAsia="楷体_GB2312" w:hAnsi="Arial"/>
      <w:color w:val="000000"/>
      <w:kern w:val="0"/>
      <w:szCs w:val="20"/>
      <w:lang w:val="en-GB"/>
    </w:rPr>
  </w:style>
  <w:style w:type="character" w:customStyle="1" w:styleId="BodyTextChar">
    <w:name w:val="Body Text Char"/>
    <w:basedOn w:val="DefaultParagraphFont"/>
    <w:link w:val="BodyText"/>
    <w:uiPriority w:val="99"/>
    <w:locked/>
    <w:rsid w:val="00B10000"/>
    <w:rPr>
      <w:rFonts w:ascii="Arial" w:eastAsia="楷体_GB2312" w:hAnsi="Arial" w:cs="Times New Roman"/>
      <w:color w:val="000000"/>
      <w:kern w:val="0"/>
      <w:sz w:val="20"/>
      <w:szCs w:val="20"/>
      <w:lang w:val="en-GB"/>
    </w:rPr>
  </w:style>
  <w:style w:type="paragraph" w:customStyle="1" w:styleId="FootnoteNoline">
    <w:name w:val="FootnoteNoline"/>
    <w:basedOn w:val="Normal"/>
    <w:next w:val="BodyText"/>
    <w:uiPriority w:val="99"/>
    <w:rsid w:val="008840A4"/>
    <w:pPr>
      <w:widowControl/>
      <w:tabs>
        <w:tab w:val="right" w:pos="10065"/>
      </w:tabs>
      <w:spacing w:before="40" w:after="160"/>
      <w:ind w:left="3402"/>
    </w:pPr>
    <w:rPr>
      <w:rFonts w:ascii="Arial" w:eastAsia="楷体_GB2312" w:hAnsi="Arial" w:cs="Arial"/>
      <w:color w:val="003765"/>
      <w:kern w:val="0"/>
      <w:sz w:val="15"/>
      <w:szCs w:val="14"/>
      <w:lang w:val="en-GB"/>
    </w:rPr>
  </w:style>
  <w:style w:type="paragraph" w:customStyle="1" w:styleId="SubTitleLargeTable">
    <w:name w:val="SubTitleLargeTable"/>
    <w:uiPriority w:val="99"/>
    <w:rsid w:val="008840A4"/>
    <w:pPr>
      <w:keepNext/>
      <w:pBdr>
        <w:top w:val="single" w:sz="6" w:space="1" w:color="666699"/>
      </w:pBdr>
      <w:suppressAutoHyphens/>
      <w:spacing w:after="40" w:line="240" w:lineRule="atLeast"/>
    </w:pPr>
    <w:rPr>
      <w:rFonts w:ascii="Arial" w:eastAsia="楷体_GB2312" w:hAnsi="Arial" w:cs="Arial"/>
      <w:b/>
      <w:bCs/>
      <w:i/>
      <w:iCs/>
      <w:color w:val="003765"/>
      <w:kern w:val="0"/>
      <w:szCs w:val="21"/>
      <w:lang w:val="en-GB"/>
    </w:rPr>
  </w:style>
  <w:style w:type="paragraph" w:styleId="BalloonText">
    <w:name w:val="Balloon Text"/>
    <w:basedOn w:val="Normal"/>
    <w:link w:val="BalloonTextChar"/>
    <w:uiPriority w:val="99"/>
    <w:semiHidden/>
    <w:rsid w:val="008840A4"/>
    <w:rPr>
      <w:sz w:val="18"/>
      <w:szCs w:val="18"/>
    </w:rPr>
  </w:style>
  <w:style w:type="character" w:customStyle="1" w:styleId="BalloonTextChar">
    <w:name w:val="Balloon Text Char"/>
    <w:basedOn w:val="DefaultParagraphFont"/>
    <w:link w:val="BalloonText"/>
    <w:uiPriority w:val="99"/>
    <w:semiHidden/>
    <w:locked/>
    <w:rsid w:val="008840A4"/>
    <w:rPr>
      <w:rFonts w:cs="Times New Roman"/>
      <w:sz w:val="18"/>
      <w:szCs w:val="18"/>
    </w:rPr>
  </w:style>
  <w:style w:type="paragraph" w:customStyle="1" w:styleId="CoverBullet">
    <w:name w:val="Cover Bullet"/>
    <w:uiPriority w:val="99"/>
    <w:rsid w:val="008840A4"/>
    <w:pPr>
      <w:numPr>
        <w:numId w:val="3"/>
      </w:numPr>
      <w:spacing w:before="120" w:after="120"/>
      <w:ind w:left="357" w:hanging="357"/>
    </w:pPr>
    <w:rPr>
      <w:rFonts w:ascii="LucidaSans" w:hAnsi="LucidaSans"/>
      <w:b/>
      <w:bCs/>
      <w:kern w:val="0"/>
      <w:sz w:val="20"/>
      <w:szCs w:val="20"/>
      <w:lang w:val="en-GB"/>
    </w:rPr>
  </w:style>
  <w:style w:type="paragraph" w:styleId="ListParagraph">
    <w:name w:val="List Paragraph"/>
    <w:basedOn w:val="Normal"/>
    <w:uiPriority w:val="99"/>
    <w:qFormat/>
    <w:rsid w:val="00635482"/>
    <w:pPr>
      <w:ind w:firstLineChars="200" w:firstLine="420"/>
    </w:pPr>
  </w:style>
  <w:style w:type="character" w:styleId="Hyperlink">
    <w:name w:val="Hyperlink"/>
    <w:basedOn w:val="DefaultParagraphFont"/>
    <w:uiPriority w:val="99"/>
    <w:rsid w:val="00390878"/>
    <w:rPr>
      <w:rFonts w:cs="Times New Roman"/>
      <w:color w:val="0000FF"/>
      <w:u w:val="single"/>
    </w:rPr>
  </w:style>
  <w:style w:type="character" w:styleId="Strong">
    <w:name w:val="Strong"/>
    <w:basedOn w:val="DefaultParagraphFont"/>
    <w:uiPriority w:val="99"/>
    <w:qFormat/>
    <w:rsid w:val="001863C8"/>
    <w:rPr>
      <w:rFonts w:cs="Times New Roman"/>
      <w:b/>
    </w:rPr>
  </w:style>
</w:styles>
</file>

<file path=word/webSettings.xml><?xml version="1.0" encoding="utf-8"?>
<w:webSettings xmlns:r="http://schemas.openxmlformats.org/officeDocument/2006/relationships" xmlns:w="http://schemas.openxmlformats.org/wordprocessingml/2006/main">
  <w:divs>
    <w:div w:id="6355719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4</Pages>
  <Words>798</Words>
  <Characters>4553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导语</dc:title>
  <dc:subject/>
  <dc:creator>shanghai vstone</dc:creator>
  <cp:keywords/>
  <dc:description/>
  <cp:lastModifiedBy>User</cp:lastModifiedBy>
  <cp:revision>2</cp:revision>
  <dcterms:created xsi:type="dcterms:W3CDTF">2014-09-05T06:33:00Z</dcterms:created>
  <dcterms:modified xsi:type="dcterms:W3CDTF">2014-09-05T06:33:00Z</dcterms:modified>
</cp:coreProperties>
</file>