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Override PartName="/word/diagrams/quickStyle1.xml" ContentType="application/vnd.openxmlformats-officedocument.drawingml.diagramStyle+xml"/>
  <Default Extension="jpeg" ContentType="image/jpeg"/>
  <Default Extension="emf" ContentType="image/x-emf"/>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kern w:val="2"/>
          <w:sz w:val="72"/>
          <w:szCs w:val="72"/>
        </w:rPr>
        <w:id w:val="3734898"/>
        <w:docPartObj>
          <w:docPartGallery w:val="Cover Pages"/>
          <w:docPartUnique/>
        </w:docPartObj>
      </w:sdtPr>
      <w:sdtEndPr>
        <w:rPr>
          <w:rFonts w:asciiTheme="minorHAnsi" w:eastAsiaTheme="minorEastAsia" w:hAnsiTheme="minorHAnsi" w:cstheme="minorBidi"/>
          <w:b/>
          <w:noProof/>
          <w:sz w:val="48"/>
          <w:szCs w:val="48"/>
        </w:rPr>
      </w:sdtEndPr>
      <w:sdtContent>
        <w:p w:rsidR="00196677" w:rsidRDefault="00A17138" w:rsidP="00196677">
          <w:pPr>
            <w:pStyle w:val="a8"/>
          </w:pPr>
          <w:r>
            <w:rPr>
              <w:noProof/>
            </w:rPr>
            <w:drawing>
              <wp:anchor distT="0" distB="0" distL="114300" distR="114300" simplePos="0" relativeHeight="251713536" behindDoc="1" locked="0" layoutInCell="1" allowOverlap="1">
                <wp:simplePos x="0" y="0"/>
                <wp:positionH relativeFrom="column">
                  <wp:posOffset>-693420</wp:posOffset>
                </wp:positionH>
                <wp:positionV relativeFrom="paragraph">
                  <wp:posOffset>-1440180</wp:posOffset>
                </wp:positionV>
                <wp:extent cx="7591425" cy="10744200"/>
                <wp:effectExtent l="19050" t="0" r="9525" b="0"/>
                <wp:wrapNone/>
                <wp:docPr id="54" name="图片 53" descr="研究报告模板-4P-转曲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1.jpg"/>
                        <pic:cNvPicPr/>
                      </pic:nvPicPr>
                      <pic:blipFill>
                        <a:blip r:embed="rId9" cstate="print"/>
                        <a:stretch>
                          <a:fillRect/>
                        </a:stretch>
                      </pic:blipFill>
                      <pic:spPr>
                        <a:xfrm>
                          <a:off x="0" y="0"/>
                          <a:ext cx="7591425" cy="10744200"/>
                        </a:xfrm>
                        <a:prstGeom prst="rect">
                          <a:avLst/>
                        </a:prstGeom>
                      </pic:spPr>
                    </pic:pic>
                  </a:graphicData>
                </a:graphic>
              </wp:anchor>
            </w:drawing>
          </w:r>
        </w:p>
        <w:p w:rsidR="00196677" w:rsidRDefault="00196677"/>
        <w:p w:rsidR="00DA1378" w:rsidRDefault="00AA6E68" w:rsidP="00DA1378">
          <w:pPr>
            <w:widowControl/>
            <w:jc w:val="left"/>
            <w:rPr>
              <w:b/>
              <w:noProof/>
              <w:sz w:val="48"/>
              <w:szCs w:val="48"/>
            </w:rPr>
          </w:pPr>
          <w:r w:rsidRPr="00AA6E68">
            <w:rPr>
              <w:noProof/>
            </w:rPr>
            <w:pict>
              <v:shapetype id="_x0000_t202" coordsize="21600,21600" o:spt="202" path="m,l,21600r21600,l21600,xe">
                <v:stroke joinstyle="miter"/>
                <v:path gradientshapeok="t" o:connecttype="rect"/>
              </v:shapetype>
              <v:shape id="_x0000_s2091" type="#_x0000_t202" style="position:absolute;margin-left:310.35pt;margin-top:326.4pt;width:45pt;height:75pt;z-index:251741184" filled="f" stroked="f">
                <v:textbox style="layout-flow:vertical-ideographic;mso-next-textbox:#_x0000_s2091">
                  <w:txbxContent>
                    <w:p w:rsidR="00832D5A" w:rsidRPr="00DA36E5" w:rsidRDefault="00832D5A" w:rsidP="00FD7BD0">
                      <w:pPr>
                        <w:rPr>
                          <w:rFonts w:ascii="黑体" w:eastAsia="黑体" w:hAnsi="黑体"/>
                          <w:b/>
                          <w:color w:val="7B2427"/>
                          <w:sz w:val="32"/>
                          <w:szCs w:val="32"/>
                        </w:rPr>
                      </w:pPr>
                      <w:r>
                        <w:rPr>
                          <w:rFonts w:ascii="黑体" w:eastAsia="黑体" w:hAnsi="黑体" w:hint="eastAsia"/>
                          <w:b/>
                          <w:color w:val="7B2427"/>
                          <w:sz w:val="32"/>
                          <w:szCs w:val="32"/>
                        </w:rPr>
                        <w:t>资产配置</w:t>
                      </w:r>
                    </w:p>
                  </w:txbxContent>
                </v:textbox>
              </v:shape>
            </w:pict>
          </w:r>
          <w:r>
            <w:rPr>
              <w:b/>
              <w:noProof/>
              <w:sz w:val="48"/>
              <w:szCs w:val="48"/>
            </w:rPr>
            <w:pict>
              <v:shape id="_x0000_s2092" type="#_x0000_t202" style="position:absolute;margin-left:179.85pt;margin-top:491.55pt;width:157.5pt;height:47.25pt;z-index:251742208" filled="f" stroked="f">
                <v:textbox style="mso-next-textbox:#_x0000_s2092">
                  <w:txbxContent>
                    <w:p w:rsidR="00832D5A" w:rsidRPr="00864862" w:rsidRDefault="00832D5A" w:rsidP="00FD7BD0">
                      <w:pPr>
                        <w:jc w:val="center"/>
                        <w:rPr>
                          <w:rFonts w:ascii="黑体" w:eastAsia="黑体" w:hAnsi="黑体"/>
                          <w:b/>
                          <w:color w:val="7B2427"/>
                          <w:sz w:val="32"/>
                          <w:szCs w:val="32"/>
                        </w:rPr>
                      </w:pPr>
                      <w:r w:rsidRPr="00864862">
                        <w:rPr>
                          <w:rFonts w:ascii="黑体" w:eastAsia="黑体" w:hAnsi="黑体" w:hint="eastAsia"/>
                          <w:b/>
                          <w:color w:val="7B2427"/>
                          <w:sz w:val="32"/>
                          <w:szCs w:val="32"/>
                        </w:rPr>
                        <w:t>2013年</w:t>
                      </w:r>
                      <w:r>
                        <w:rPr>
                          <w:rFonts w:ascii="黑体" w:eastAsia="黑体" w:hAnsi="黑体" w:hint="eastAsia"/>
                          <w:b/>
                          <w:color w:val="7B2427"/>
                          <w:sz w:val="32"/>
                          <w:szCs w:val="32"/>
                        </w:rPr>
                        <w:t>第四季度</w:t>
                      </w:r>
                    </w:p>
                  </w:txbxContent>
                </v:textbox>
              </v:shape>
            </w:pict>
          </w:r>
          <w:r w:rsidR="00196677">
            <w:rPr>
              <w:b/>
              <w:noProof/>
              <w:sz w:val="48"/>
              <w:szCs w:val="48"/>
            </w:rPr>
            <w:br w:type="page"/>
          </w:r>
        </w:p>
      </w:sdtContent>
    </w:sdt>
    <w:p w:rsidR="00BE3F04" w:rsidRPr="00DA1378" w:rsidRDefault="00DA1378" w:rsidP="00DA1378">
      <w:pPr>
        <w:widowControl/>
        <w:jc w:val="center"/>
        <w:rPr>
          <w:b/>
          <w:noProof/>
          <w:color w:val="000000" w:themeColor="text1"/>
          <w:sz w:val="44"/>
          <w:szCs w:val="44"/>
        </w:rPr>
      </w:pPr>
      <w:r w:rsidRPr="00DA1378">
        <w:rPr>
          <w:rFonts w:hint="eastAsia"/>
          <w:b/>
          <w:noProof/>
          <w:color w:val="000000" w:themeColor="text1"/>
          <w:sz w:val="44"/>
          <w:szCs w:val="44"/>
        </w:rPr>
        <w:lastRenderedPageBreak/>
        <w:drawing>
          <wp:anchor distT="0" distB="0" distL="114300" distR="114300" simplePos="0" relativeHeight="251665408" behindDoc="1" locked="0" layoutInCell="1" allowOverlap="1">
            <wp:simplePos x="0" y="0"/>
            <wp:positionH relativeFrom="column">
              <wp:posOffset>-685800</wp:posOffset>
            </wp:positionH>
            <wp:positionV relativeFrom="paragraph">
              <wp:posOffset>-1396365</wp:posOffset>
            </wp:positionV>
            <wp:extent cx="7581900" cy="10725150"/>
            <wp:effectExtent l="19050" t="0" r="0" b="0"/>
            <wp:wrapNone/>
            <wp:docPr id="12"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Pr>
          <w:rFonts w:hint="eastAsia"/>
          <w:b/>
          <w:color w:val="000000" w:themeColor="text1"/>
          <w:sz w:val="44"/>
          <w:szCs w:val="44"/>
        </w:rPr>
        <w:t>正文</w:t>
      </w:r>
      <w:r w:rsidRPr="00DA1378">
        <w:rPr>
          <w:rFonts w:hint="eastAsia"/>
          <w:b/>
          <w:color w:val="000000" w:themeColor="text1"/>
          <w:sz w:val="44"/>
          <w:szCs w:val="44"/>
        </w:rPr>
        <w:t>目录</w:t>
      </w:r>
    </w:p>
    <w:p w:rsidR="00DA1378" w:rsidRPr="00DA1378" w:rsidRDefault="00DA1378" w:rsidP="00DA1378">
      <w:pPr>
        <w:spacing w:line="360" w:lineRule="auto"/>
        <w:jc w:val="distribute"/>
        <w:rPr>
          <w:b/>
        </w:rPr>
      </w:pPr>
      <w:r w:rsidRPr="00DA1378">
        <w:rPr>
          <w:rFonts w:hint="eastAsia"/>
          <w:b/>
        </w:rPr>
        <w:t>一、资产配置</w:t>
      </w:r>
      <w:r w:rsidR="005A5976">
        <w:rPr>
          <w:rFonts w:hint="eastAsia"/>
          <w:b/>
        </w:rPr>
        <w:t>策略概述</w:t>
      </w:r>
      <w:r w:rsidRPr="00DA1378">
        <w:rPr>
          <w:rFonts w:hint="eastAsia"/>
          <w:b/>
        </w:rPr>
        <w:t xml:space="preserve">                                                              1</w:t>
      </w:r>
    </w:p>
    <w:p w:rsidR="00DA1378" w:rsidRPr="00DA1378" w:rsidRDefault="009E2893" w:rsidP="00DA1378">
      <w:pPr>
        <w:spacing w:line="360" w:lineRule="auto"/>
        <w:jc w:val="distribute"/>
        <w:rPr>
          <w:b/>
        </w:rPr>
      </w:pPr>
      <w:r w:rsidRPr="009E2893">
        <w:rPr>
          <w:rFonts w:hint="eastAsia"/>
          <w:b/>
        </w:rPr>
        <w:t>二、宏观经济</w:t>
      </w:r>
      <w:r w:rsidR="005A5976">
        <w:rPr>
          <w:rFonts w:hint="eastAsia"/>
          <w:b/>
        </w:rPr>
        <w:t>：复苏持续，</w:t>
      </w:r>
      <w:r w:rsidRPr="009E2893">
        <w:rPr>
          <w:rFonts w:hint="eastAsia"/>
          <w:b/>
        </w:rPr>
        <w:t>力度有限</w:t>
      </w:r>
      <w:r w:rsidR="00DA1378" w:rsidRPr="00DA1378">
        <w:rPr>
          <w:rFonts w:hint="eastAsia"/>
          <w:b/>
        </w:rPr>
        <w:t xml:space="preserve">                                             2</w:t>
      </w:r>
    </w:p>
    <w:p w:rsidR="00DA1378" w:rsidRPr="00DA1378" w:rsidRDefault="009E2893" w:rsidP="00DA1378">
      <w:pPr>
        <w:spacing w:line="360" w:lineRule="auto"/>
        <w:jc w:val="distribute"/>
        <w:rPr>
          <w:b/>
        </w:rPr>
      </w:pPr>
      <w:r w:rsidRPr="009E2893">
        <w:rPr>
          <w:rFonts w:hint="eastAsia"/>
          <w:b/>
        </w:rPr>
        <w:t>三、固定收益市场—短期投资需谨慎，看好中长期产品</w:t>
      </w:r>
      <w:r>
        <w:rPr>
          <w:rFonts w:hint="eastAsia"/>
          <w:b/>
        </w:rPr>
        <w:t xml:space="preserve">                          8</w:t>
      </w:r>
    </w:p>
    <w:p w:rsidR="00DA1378" w:rsidRDefault="00DA1378" w:rsidP="00DA1378">
      <w:pPr>
        <w:spacing w:line="360" w:lineRule="auto"/>
        <w:jc w:val="distribute"/>
      </w:pPr>
      <w:r>
        <w:rPr>
          <w:rFonts w:hint="eastAsia"/>
        </w:rPr>
        <w:t>（一）、</w:t>
      </w:r>
      <w:r w:rsidR="00B263EF" w:rsidRPr="00B263EF">
        <w:rPr>
          <w:rFonts w:hint="eastAsia"/>
        </w:rPr>
        <w:t>利率市场化推动利率缓慢上行</w:t>
      </w:r>
      <w:r>
        <w:rPr>
          <w:rFonts w:hint="eastAsia"/>
        </w:rPr>
        <w:t xml:space="preserve">                              </w:t>
      </w:r>
      <w:r w:rsidR="00B263EF">
        <w:rPr>
          <w:rFonts w:hint="eastAsia"/>
        </w:rPr>
        <w:t xml:space="preserve">            9</w:t>
      </w:r>
    </w:p>
    <w:p w:rsidR="00DA1378" w:rsidRDefault="00DA1378" w:rsidP="00DA1378">
      <w:pPr>
        <w:spacing w:line="360" w:lineRule="auto"/>
        <w:jc w:val="distribute"/>
      </w:pPr>
      <w:r>
        <w:rPr>
          <w:rFonts w:hint="eastAsia"/>
        </w:rPr>
        <w:t>（二）、</w:t>
      </w:r>
      <w:r w:rsidR="00B263EF" w:rsidRPr="00B263EF">
        <w:rPr>
          <w:rFonts w:hint="eastAsia"/>
        </w:rPr>
        <w:t>债券上下半月表现不一，下半月有回暖趋势</w:t>
      </w:r>
      <w:r>
        <w:rPr>
          <w:rFonts w:hint="eastAsia"/>
        </w:rPr>
        <w:t xml:space="preserve">       </w:t>
      </w:r>
      <w:r w:rsidR="00B263EF">
        <w:rPr>
          <w:rFonts w:hint="eastAsia"/>
        </w:rPr>
        <w:t xml:space="preserve">                               9</w:t>
      </w:r>
    </w:p>
    <w:p w:rsidR="00DA1378" w:rsidRDefault="00DA1378" w:rsidP="00DA1378">
      <w:pPr>
        <w:spacing w:line="360" w:lineRule="auto"/>
        <w:jc w:val="distribute"/>
      </w:pPr>
      <w:r>
        <w:rPr>
          <w:rFonts w:hint="eastAsia"/>
        </w:rPr>
        <w:t>（三）、</w:t>
      </w:r>
      <w:r w:rsidR="00B263EF" w:rsidRPr="00B263EF">
        <w:rPr>
          <w:rFonts w:hint="eastAsia"/>
        </w:rPr>
        <w:t>信托收益持续走高</w:t>
      </w:r>
      <w:r w:rsidR="00832D5A">
        <w:rPr>
          <w:rFonts w:hint="eastAsia"/>
        </w:rPr>
        <w:t>，资产管理计划发展迅猛</w:t>
      </w:r>
      <w:r>
        <w:rPr>
          <w:rFonts w:hint="eastAsia"/>
        </w:rPr>
        <w:t xml:space="preserve">               </w:t>
      </w:r>
      <w:r w:rsidR="00B263EF">
        <w:rPr>
          <w:rFonts w:hint="eastAsia"/>
        </w:rPr>
        <w:t xml:space="preserve">                               11</w:t>
      </w:r>
    </w:p>
    <w:p w:rsidR="00DA1378" w:rsidRPr="00DA1378" w:rsidRDefault="00DA1378" w:rsidP="00DA1378">
      <w:pPr>
        <w:spacing w:line="360" w:lineRule="auto"/>
        <w:jc w:val="distribute"/>
        <w:rPr>
          <w:b/>
        </w:rPr>
      </w:pPr>
      <w:r w:rsidRPr="00DA1378">
        <w:rPr>
          <w:rFonts w:hint="eastAsia"/>
          <w:b/>
        </w:rPr>
        <w:t>四、股权投资市场——</w:t>
      </w:r>
      <w:r w:rsidR="00B263EF" w:rsidRPr="00B263EF">
        <w:rPr>
          <w:rFonts w:hint="eastAsia"/>
          <w:b/>
        </w:rPr>
        <w:t>股市分化出现，切换需谨慎</w:t>
      </w:r>
      <w:r w:rsidRPr="00DA1378">
        <w:rPr>
          <w:rFonts w:hint="eastAsia"/>
          <w:b/>
        </w:rPr>
        <w:t xml:space="preserve">         </w:t>
      </w:r>
      <w:r w:rsidR="00B263EF">
        <w:rPr>
          <w:rFonts w:hint="eastAsia"/>
          <w:b/>
        </w:rPr>
        <w:t xml:space="preserve">                               13</w:t>
      </w:r>
    </w:p>
    <w:p w:rsidR="00DA1378" w:rsidRDefault="00DA1378" w:rsidP="00DA1378">
      <w:pPr>
        <w:spacing w:line="360" w:lineRule="auto"/>
        <w:jc w:val="distribute"/>
      </w:pPr>
      <w:r>
        <w:rPr>
          <w:rFonts w:hint="eastAsia"/>
        </w:rPr>
        <w:t>（一）、</w:t>
      </w:r>
      <w:r w:rsidR="00B263EF" w:rsidRPr="00B263EF">
        <w:rPr>
          <w:rFonts w:hint="eastAsia"/>
        </w:rPr>
        <w:t>股票市场创业板指强者恒强</w:t>
      </w:r>
      <w:r>
        <w:rPr>
          <w:rFonts w:hint="eastAsia"/>
        </w:rPr>
        <w:t xml:space="preserve">                                       </w:t>
      </w:r>
      <w:r w:rsidR="00B263EF">
        <w:rPr>
          <w:rFonts w:hint="eastAsia"/>
        </w:rPr>
        <w:t xml:space="preserve">        13</w:t>
      </w:r>
    </w:p>
    <w:p w:rsidR="00DA1378" w:rsidRDefault="00A06D2B" w:rsidP="00DA1378">
      <w:pPr>
        <w:spacing w:line="360" w:lineRule="auto"/>
        <w:jc w:val="distribute"/>
      </w:pPr>
      <w:r>
        <w:rPr>
          <w:rFonts w:hint="eastAsia"/>
        </w:rPr>
        <w:t>（二）、</w:t>
      </w:r>
      <w:r w:rsidR="00B263EF" w:rsidRPr="00B263EF">
        <w:rPr>
          <w:rFonts w:hint="eastAsia"/>
        </w:rPr>
        <w:t>私</w:t>
      </w:r>
      <w:proofErr w:type="gramStart"/>
      <w:r w:rsidR="00B263EF" w:rsidRPr="00B263EF">
        <w:rPr>
          <w:rFonts w:hint="eastAsia"/>
        </w:rPr>
        <w:t>募股权</w:t>
      </w:r>
      <w:proofErr w:type="gramEnd"/>
      <w:r w:rsidR="00B263EF" w:rsidRPr="00B263EF">
        <w:rPr>
          <w:rFonts w:hint="eastAsia"/>
        </w:rPr>
        <w:t>市场，战略新兴产业投资活跃</w:t>
      </w:r>
      <w:r w:rsidR="00DA1378">
        <w:rPr>
          <w:rFonts w:hint="eastAsia"/>
        </w:rPr>
        <w:t xml:space="preserve">       </w:t>
      </w:r>
      <w:r w:rsidR="00B263EF">
        <w:rPr>
          <w:rFonts w:hint="eastAsia"/>
        </w:rPr>
        <w:t xml:space="preserve">                              15</w:t>
      </w:r>
    </w:p>
    <w:p w:rsidR="00DA1378" w:rsidRPr="00DA1378" w:rsidRDefault="00DA1378" w:rsidP="00DA1378">
      <w:pPr>
        <w:spacing w:line="360" w:lineRule="auto"/>
        <w:jc w:val="distribute"/>
        <w:rPr>
          <w:b/>
        </w:rPr>
      </w:pPr>
      <w:r w:rsidRPr="00DA1378">
        <w:rPr>
          <w:rFonts w:hint="eastAsia"/>
          <w:b/>
        </w:rPr>
        <w:t>五、物</w:t>
      </w:r>
      <w:proofErr w:type="gramStart"/>
      <w:r w:rsidRPr="00DA1378">
        <w:rPr>
          <w:rFonts w:hint="eastAsia"/>
          <w:b/>
        </w:rPr>
        <w:t>权投资</w:t>
      </w:r>
      <w:proofErr w:type="gramEnd"/>
      <w:r w:rsidRPr="00DA1378">
        <w:rPr>
          <w:rFonts w:hint="eastAsia"/>
          <w:b/>
        </w:rPr>
        <w:t>市场——</w:t>
      </w:r>
      <w:r w:rsidR="00B263EF" w:rsidRPr="00B263EF">
        <w:rPr>
          <w:rFonts w:hint="eastAsia"/>
          <w:b/>
        </w:rPr>
        <w:t>关注流动性，上升动力犹存</w:t>
      </w:r>
      <w:r w:rsidRPr="00DA1378">
        <w:rPr>
          <w:rFonts w:hint="eastAsia"/>
          <w:b/>
        </w:rPr>
        <w:t xml:space="preserve">   </w:t>
      </w:r>
      <w:r w:rsidR="00B263EF">
        <w:rPr>
          <w:rFonts w:hint="eastAsia"/>
          <w:b/>
        </w:rPr>
        <w:t xml:space="preserve">                              19</w:t>
      </w:r>
    </w:p>
    <w:p w:rsidR="00DA1378" w:rsidRDefault="00DA1378" w:rsidP="00DA1378">
      <w:pPr>
        <w:spacing w:line="360" w:lineRule="auto"/>
        <w:jc w:val="distribute"/>
      </w:pPr>
      <w:r>
        <w:rPr>
          <w:rFonts w:hint="eastAsia"/>
        </w:rPr>
        <w:t>（一）、</w:t>
      </w:r>
      <w:r w:rsidR="00B263EF" w:rsidRPr="00B263EF">
        <w:rPr>
          <w:rFonts w:hint="eastAsia"/>
        </w:rPr>
        <w:t>房地产市场增速基本平稳</w:t>
      </w:r>
      <w:r>
        <w:rPr>
          <w:rFonts w:hint="eastAsia"/>
        </w:rPr>
        <w:t xml:space="preserve">            </w:t>
      </w:r>
      <w:r w:rsidR="00B263EF">
        <w:rPr>
          <w:rFonts w:hint="eastAsia"/>
        </w:rPr>
        <w:t xml:space="preserve">                              19</w:t>
      </w:r>
    </w:p>
    <w:p w:rsidR="00DA1378" w:rsidRDefault="00DA1378" w:rsidP="00DA1378">
      <w:pPr>
        <w:spacing w:line="360" w:lineRule="auto"/>
        <w:jc w:val="distribute"/>
      </w:pPr>
      <w:r>
        <w:rPr>
          <w:rFonts w:hint="eastAsia"/>
        </w:rPr>
        <w:t>（二）、</w:t>
      </w:r>
      <w:r w:rsidR="00B263EF" w:rsidRPr="00B263EF">
        <w:rPr>
          <w:rFonts w:hint="eastAsia"/>
        </w:rPr>
        <w:t>商品期货持续下跌，存在上升动力</w:t>
      </w:r>
      <w:r>
        <w:rPr>
          <w:rFonts w:hint="eastAsia"/>
        </w:rPr>
        <w:t xml:space="preserve">          </w:t>
      </w:r>
      <w:r w:rsidR="00B263EF">
        <w:rPr>
          <w:rFonts w:hint="eastAsia"/>
        </w:rPr>
        <w:t xml:space="preserve">                              22</w:t>
      </w:r>
    </w:p>
    <w:p w:rsidR="00DA1378" w:rsidRPr="00DA1378" w:rsidRDefault="00DA1378" w:rsidP="00DA1378">
      <w:pPr>
        <w:spacing w:line="360" w:lineRule="auto"/>
        <w:jc w:val="distribute"/>
        <w:rPr>
          <w:b/>
        </w:rPr>
      </w:pPr>
      <w:r w:rsidRPr="00DA1378">
        <w:rPr>
          <w:rFonts w:hint="eastAsia"/>
          <w:b/>
        </w:rPr>
        <w:t>六、现金类市场——</w:t>
      </w:r>
      <w:r w:rsidR="00B263EF" w:rsidRPr="00B263EF">
        <w:rPr>
          <w:rFonts w:hint="eastAsia"/>
          <w:b/>
        </w:rPr>
        <w:t>收益率持续性上扬</w:t>
      </w:r>
      <w:r w:rsidRPr="00DA1378">
        <w:rPr>
          <w:rFonts w:hint="eastAsia"/>
          <w:b/>
        </w:rPr>
        <w:t xml:space="preserve">             </w:t>
      </w:r>
      <w:r w:rsidR="00B263EF">
        <w:rPr>
          <w:rFonts w:hint="eastAsia"/>
          <w:b/>
        </w:rPr>
        <w:t xml:space="preserve">                              23</w:t>
      </w:r>
    </w:p>
    <w:p w:rsidR="00DA1378" w:rsidRDefault="00DA1378" w:rsidP="00DA1378">
      <w:pPr>
        <w:spacing w:line="360" w:lineRule="auto"/>
        <w:jc w:val="distribute"/>
      </w:pPr>
      <w:r>
        <w:rPr>
          <w:rFonts w:hint="eastAsia"/>
        </w:rPr>
        <w:t>（一）、</w:t>
      </w:r>
      <w:r w:rsidR="00B263EF" w:rsidRPr="00B263EF">
        <w:rPr>
          <w:rFonts w:hint="eastAsia"/>
        </w:rPr>
        <w:t>储蓄存款总体呈稳定增长</w:t>
      </w:r>
      <w:r>
        <w:rPr>
          <w:rFonts w:hint="eastAsia"/>
        </w:rPr>
        <w:t xml:space="preserve">                    </w:t>
      </w:r>
      <w:r w:rsidR="00B263EF">
        <w:rPr>
          <w:rFonts w:hint="eastAsia"/>
        </w:rPr>
        <w:t xml:space="preserve">                              23</w:t>
      </w:r>
    </w:p>
    <w:p w:rsidR="00DA1378" w:rsidRDefault="00DA1378" w:rsidP="00DA1378">
      <w:pPr>
        <w:spacing w:line="360" w:lineRule="auto"/>
        <w:jc w:val="distribute"/>
      </w:pPr>
      <w:r>
        <w:rPr>
          <w:rFonts w:hint="eastAsia"/>
        </w:rPr>
        <w:t>（二）、</w:t>
      </w:r>
      <w:r w:rsidR="00F0755A" w:rsidRPr="00F0755A">
        <w:rPr>
          <w:rFonts w:hint="eastAsia"/>
        </w:rPr>
        <w:t>银行理财产品收益率持续上扬</w:t>
      </w:r>
      <w:r>
        <w:rPr>
          <w:rFonts w:hint="eastAsia"/>
        </w:rPr>
        <w:t xml:space="preserve">              </w:t>
      </w:r>
      <w:r w:rsidR="00F0755A">
        <w:rPr>
          <w:rFonts w:hint="eastAsia"/>
        </w:rPr>
        <w:t xml:space="preserve">                              24</w:t>
      </w:r>
    </w:p>
    <w:p w:rsidR="00DA1378" w:rsidRDefault="00DA1378" w:rsidP="00DA1378">
      <w:pPr>
        <w:spacing w:line="360" w:lineRule="auto"/>
        <w:jc w:val="distribute"/>
      </w:pPr>
      <w:r>
        <w:rPr>
          <w:rFonts w:hint="eastAsia"/>
        </w:rPr>
        <w:t>（三）、</w:t>
      </w:r>
      <w:r w:rsidR="00F0755A">
        <w:rPr>
          <w:rFonts w:hint="eastAsia"/>
        </w:rPr>
        <w:t>不同</w:t>
      </w:r>
      <w:r w:rsidR="00F0755A" w:rsidRPr="00F0755A">
        <w:rPr>
          <w:rFonts w:hint="eastAsia"/>
        </w:rPr>
        <w:t>货币基金表现略有不同，整体稳健</w:t>
      </w:r>
      <w:r>
        <w:rPr>
          <w:rFonts w:hint="eastAsia"/>
        </w:rPr>
        <w:t xml:space="preserve">                   </w:t>
      </w:r>
      <w:r w:rsidR="00F0755A">
        <w:rPr>
          <w:rFonts w:hint="eastAsia"/>
        </w:rPr>
        <w:t xml:space="preserve">                               2</w:t>
      </w:r>
      <w:r>
        <w:rPr>
          <w:rFonts w:hint="eastAsia"/>
        </w:rPr>
        <w:t>6</w:t>
      </w:r>
    </w:p>
    <w:p w:rsidR="00DA1378" w:rsidRPr="00DA1378" w:rsidRDefault="00DA1378" w:rsidP="00DA1378">
      <w:pPr>
        <w:spacing w:line="360" w:lineRule="auto"/>
        <w:jc w:val="distribute"/>
        <w:rPr>
          <w:b/>
        </w:rPr>
      </w:pPr>
      <w:r w:rsidRPr="00DA1378">
        <w:rPr>
          <w:rFonts w:hint="eastAsia"/>
          <w:b/>
        </w:rPr>
        <w:t>七、资产配置策略</w:t>
      </w:r>
      <w:r w:rsidRPr="00DA1378">
        <w:rPr>
          <w:rFonts w:hint="eastAsia"/>
          <w:b/>
        </w:rPr>
        <w:t xml:space="preserve">                               </w:t>
      </w:r>
      <w:r w:rsidR="00F0755A">
        <w:rPr>
          <w:rFonts w:hint="eastAsia"/>
          <w:b/>
        </w:rPr>
        <w:t xml:space="preserve">                              27</w:t>
      </w:r>
    </w:p>
    <w:p w:rsidR="00DA1378" w:rsidRDefault="00DA1378" w:rsidP="00DA1378">
      <w:pPr>
        <w:spacing w:line="360" w:lineRule="auto"/>
        <w:jc w:val="distribute"/>
      </w:pPr>
      <w:r>
        <w:rPr>
          <w:rFonts w:hint="eastAsia"/>
        </w:rPr>
        <w:t>（一）、固定收益类资产</w:t>
      </w:r>
      <w:r>
        <w:rPr>
          <w:rFonts w:hint="eastAsia"/>
        </w:rPr>
        <w:t xml:space="preserve">                          </w:t>
      </w:r>
      <w:r w:rsidR="00F0755A">
        <w:rPr>
          <w:rFonts w:hint="eastAsia"/>
        </w:rPr>
        <w:t xml:space="preserve">                              28</w:t>
      </w:r>
    </w:p>
    <w:p w:rsidR="00DA1378" w:rsidRDefault="00DA1378" w:rsidP="00DA1378">
      <w:pPr>
        <w:spacing w:line="360" w:lineRule="auto"/>
        <w:jc w:val="distribute"/>
      </w:pPr>
      <w:r>
        <w:rPr>
          <w:rFonts w:hint="eastAsia"/>
        </w:rPr>
        <w:t>（二）、股权投资类资产</w:t>
      </w:r>
      <w:r>
        <w:rPr>
          <w:rFonts w:hint="eastAsia"/>
        </w:rPr>
        <w:t xml:space="preserve">                          </w:t>
      </w:r>
      <w:r w:rsidR="00F0755A">
        <w:rPr>
          <w:rFonts w:hint="eastAsia"/>
        </w:rPr>
        <w:t xml:space="preserve">                              29</w:t>
      </w:r>
    </w:p>
    <w:p w:rsidR="00DA1378" w:rsidRDefault="00DA1378" w:rsidP="00DA1378">
      <w:pPr>
        <w:spacing w:line="360" w:lineRule="auto"/>
        <w:jc w:val="distribute"/>
      </w:pPr>
      <w:r>
        <w:rPr>
          <w:rFonts w:hint="eastAsia"/>
        </w:rPr>
        <w:t>（三）、物</w:t>
      </w:r>
      <w:proofErr w:type="gramStart"/>
      <w:r>
        <w:rPr>
          <w:rFonts w:hint="eastAsia"/>
        </w:rPr>
        <w:t>权投资</w:t>
      </w:r>
      <w:proofErr w:type="gramEnd"/>
      <w:r>
        <w:rPr>
          <w:rFonts w:hint="eastAsia"/>
        </w:rPr>
        <w:t>类资产</w:t>
      </w:r>
      <w:r>
        <w:rPr>
          <w:rFonts w:hint="eastAsia"/>
        </w:rPr>
        <w:t xml:space="preserve">                                </w:t>
      </w:r>
      <w:r w:rsidR="00F0755A">
        <w:rPr>
          <w:rFonts w:hint="eastAsia"/>
        </w:rPr>
        <w:t xml:space="preserve">                        30</w:t>
      </w:r>
    </w:p>
    <w:p w:rsidR="00DA1378" w:rsidRDefault="00DA1378" w:rsidP="00DA1378">
      <w:pPr>
        <w:spacing w:line="360" w:lineRule="auto"/>
        <w:jc w:val="distribute"/>
      </w:pPr>
      <w:r>
        <w:rPr>
          <w:rFonts w:hint="eastAsia"/>
        </w:rPr>
        <w:t>（四）、现金类资产</w:t>
      </w:r>
      <w:r>
        <w:rPr>
          <w:rFonts w:hint="eastAsia"/>
        </w:rPr>
        <w:t xml:space="preserve">                              </w:t>
      </w:r>
      <w:r w:rsidR="00F0755A">
        <w:rPr>
          <w:rFonts w:hint="eastAsia"/>
        </w:rPr>
        <w:t xml:space="preserve">                              30</w:t>
      </w:r>
    </w:p>
    <w:p w:rsidR="00DA1378" w:rsidRPr="00DA1378" w:rsidRDefault="00DA1378" w:rsidP="00DA1378">
      <w:pPr>
        <w:spacing w:line="360" w:lineRule="auto"/>
        <w:jc w:val="distribute"/>
        <w:rPr>
          <w:b/>
        </w:rPr>
      </w:pPr>
      <w:r w:rsidRPr="00DA1378">
        <w:rPr>
          <w:rFonts w:hint="eastAsia"/>
          <w:b/>
        </w:rPr>
        <w:t>八、</w:t>
      </w:r>
      <w:r w:rsidRPr="00DA1378">
        <w:rPr>
          <w:rFonts w:hint="eastAsia"/>
          <w:b/>
        </w:rPr>
        <w:t>2013</w:t>
      </w:r>
      <w:r w:rsidRPr="00DA1378">
        <w:rPr>
          <w:rFonts w:hint="eastAsia"/>
          <w:b/>
        </w:rPr>
        <w:t>年第</w:t>
      </w:r>
      <w:r w:rsidR="00011E0A">
        <w:rPr>
          <w:rFonts w:hint="eastAsia"/>
          <w:b/>
        </w:rPr>
        <w:t>四</w:t>
      </w:r>
      <w:r w:rsidRPr="00DA1378">
        <w:rPr>
          <w:rFonts w:hint="eastAsia"/>
          <w:b/>
        </w:rPr>
        <w:t>季度资产配置建议</w:t>
      </w:r>
      <w:r w:rsidRPr="00DA1378">
        <w:rPr>
          <w:rFonts w:hint="eastAsia"/>
          <w:b/>
        </w:rPr>
        <w:t xml:space="preserve">                 </w:t>
      </w:r>
      <w:r w:rsidR="00F0755A">
        <w:rPr>
          <w:rFonts w:hint="eastAsia"/>
          <w:b/>
        </w:rPr>
        <w:t xml:space="preserve">                              31</w:t>
      </w:r>
    </w:p>
    <w:p w:rsidR="00437DF9" w:rsidRDefault="00437DF9">
      <w:pPr>
        <w:widowControl/>
        <w:jc w:val="left"/>
        <w:rPr>
          <w:rFonts w:asciiTheme="minorEastAsia" w:hAnsiTheme="minorEastAsia"/>
          <w:b/>
          <w:sz w:val="24"/>
          <w:szCs w:val="24"/>
        </w:rPr>
      </w:pPr>
      <w:r>
        <w:rPr>
          <w:rFonts w:asciiTheme="minorEastAsia" w:hAnsiTheme="minorEastAsia"/>
          <w:b/>
          <w:sz w:val="24"/>
          <w:szCs w:val="24"/>
        </w:rPr>
        <w:br w:type="page"/>
      </w:r>
    </w:p>
    <w:p w:rsidR="001D7989" w:rsidRPr="008C7F67" w:rsidRDefault="001D7989" w:rsidP="001D7989">
      <w:pPr>
        <w:jc w:val="center"/>
        <w:rPr>
          <w:b/>
          <w:sz w:val="44"/>
          <w:szCs w:val="44"/>
        </w:rPr>
      </w:pPr>
      <w:r w:rsidRPr="008C7F67">
        <w:rPr>
          <w:rFonts w:hint="eastAsia"/>
          <w:b/>
          <w:noProof/>
          <w:sz w:val="44"/>
          <w:szCs w:val="44"/>
        </w:rPr>
        <w:lastRenderedPageBreak/>
        <w:drawing>
          <wp:anchor distT="0" distB="0" distL="114300" distR="114300" simplePos="0" relativeHeight="251815936" behindDoc="1" locked="0" layoutInCell="1" allowOverlap="1">
            <wp:simplePos x="0" y="0"/>
            <wp:positionH relativeFrom="column">
              <wp:posOffset>-685800</wp:posOffset>
            </wp:positionH>
            <wp:positionV relativeFrom="paragraph">
              <wp:posOffset>-1396365</wp:posOffset>
            </wp:positionV>
            <wp:extent cx="7581900" cy="10725150"/>
            <wp:effectExtent l="19050" t="0" r="0" b="0"/>
            <wp:wrapNone/>
            <wp:docPr id="48"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Pr="008C7F67">
        <w:rPr>
          <w:rFonts w:hint="eastAsia"/>
          <w:b/>
          <w:sz w:val="44"/>
          <w:szCs w:val="44"/>
        </w:rPr>
        <w:t>图表目录</w:t>
      </w:r>
    </w:p>
    <w:p w:rsidR="001D7989" w:rsidRPr="00011E0A" w:rsidRDefault="001D7989" w:rsidP="00011E0A">
      <w:pPr>
        <w:spacing w:line="360" w:lineRule="auto"/>
        <w:jc w:val="left"/>
        <w:rPr>
          <w:rFonts w:ascii="Times New Roman" w:hAnsi="Times New Roman" w:cs="Times New Roman"/>
        </w:rPr>
      </w:pPr>
      <w:r w:rsidRPr="00011E0A">
        <w:rPr>
          <w:rFonts w:ascii="Times New Roman" w:cs="Times New Roman"/>
        </w:rPr>
        <w:t>图</w:t>
      </w:r>
      <w:r w:rsidRPr="00011E0A">
        <w:rPr>
          <w:rFonts w:ascii="Times New Roman" w:hAnsi="Times New Roman" w:cs="Times New Roman"/>
        </w:rPr>
        <w:t>1</w:t>
      </w:r>
      <w:r w:rsidRPr="00011E0A">
        <w:rPr>
          <w:rFonts w:ascii="Times New Roman" w:cs="Times New Roman"/>
        </w:rPr>
        <w:t>：经济周期与资产配置原理图</w:t>
      </w:r>
      <w:r w:rsidRPr="00011E0A">
        <w:rPr>
          <w:rFonts w:ascii="Times New Roman" w:hAnsi="Times New Roman" w:cs="Times New Roman"/>
        </w:rPr>
        <w:t xml:space="preserve">                                                </w:t>
      </w:r>
      <w:r w:rsidR="00011E0A">
        <w:rPr>
          <w:rFonts w:ascii="Times New Roman" w:hAnsi="Times New Roman" w:cs="Times New Roman" w:hint="eastAsia"/>
        </w:rPr>
        <w:t xml:space="preserve">  </w:t>
      </w:r>
      <w:r w:rsidRPr="00011E0A">
        <w:rPr>
          <w:rFonts w:ascii="Times New Roman" w:hAnsi="Times New Roman" w:cs="Times New Roman"/>
        </w:rPr>
        <w:t xml:space="preserve"> </w:t>
      </w:r>
      <w:r w:rsidR="00011E0A">
        <w:rPr>
          <w:rFonts w:ascii="Times New Roman" w:hAnsi="Times New Roman" w:cs="Times New Roman" w:hint="eastAsia"/>
        </w:rPr>
        <w:t xml:space="preserve">           </w:t>
      </w:r>
      <w:r w:rsidRPr="00011E0A">
        <w:rPr>
          <w:rFonts w:ascii="Times New Roman" w:hAnsi="Times New Roman" w:cs="Times New Roman"/>
        </w:rPr>
        <w:t>2</w:t>
      </w:r>
    </w:p>
    <w:p w:rsidR="001D7989" w:rsidRPr="00011E0A" w:rsidRDefault="00653AFA" w:rsidP="00011E0A">
      <w:pPr>
        <w:spacing w:line="360" w:lineRule="auto"/>
        <w:jc w:val="left"/>
        <w:rPr>
          <w:rFonts w:ascii="Times New Roman" w:hAnsi="Times New Roman" w:cs="Times New Roman"/>
        </w:rPr>
      </w:pPr>
      <w:r w:rsidRPr="00011E0A">
        <w:rPr>
          <w:rFonts w:ascii="Times New Roman" w:cs="Times New Roman"/>
        </w:rPr>
        <w:t>图</w:t>
      </w:r>
      <w:r w:rsidRPr="00011E0A">
        <w:rPr>
          <w:rFonts w:ascii="Times New Roman" w:hAnsi="Times New Roman" w:cs="Times New Roman"/>
        </w:rPr>
        <w:t>2</w:t>
      </w:r>
      <w:r w:rsidRPr="00011E0A">
        <w:rPr>
          <w:rFonts w:ascii="Times New Roman" w:cs="Times New Roman"/>
        </w:rPr>
        <w:t>：</w:t>
      </w:r>
      <w:r w:rsidRPr="00011E0A">
        <w:rPr>
          <w:rFonts w:ascii="Times New Roman" w:hAnsi="Times New Roman" w:cs="Times New Roman"/>
        </w:rPr>
        <w:t>PMI</w:t>
      </w:r>
      <w:r w:rsidRPr="00011E0A">
        <w:rPr>
          <w:rFonts w:ascii="Times New Roman" w:cs="Times New Roman"/>
        </w:rPr>
        <w:t>指数</w:t>
      </w:r>
      <w:r w:rsidR="001D7989" w:rsidRPr="00011E0A">
        <w:rPr>
          <w:rFonts w:ascii="Times New Roman" w:hAnsi="Times New Roman" w:cs="Times New Roman"/>
        </w:rPr>
        <w:t xml:space="preserve">                                            </w:t>
      </w:r>
      <w:r w:rsidR="00011E0A">
        <w:rPr>
          <w:rFonts w:ascii="Times New Roman" w:hAnsi="Times New Roman" w:cs="Times New Roman" w:hint="eastAsia"/>
        </w:rPr>
        <w:t xml:space="preserve">                                 </w:t>
      </w:r>
      <w:r w:rsidR="001D7989" w:rsidRPr="00011E0A">
        <w:rPr>
          <w:rFonts w:ascii="Times New Roman" w:hAnsi="Times New Roman" w:cs="Times New Roman"/>
        </w:rPr>
        <w:t xml:space="preserve"> 3</w:t>
      </w:r>
    </w:p>
    <w:p w:rsidR="001D7989" w:rsidRPr="00011E0A" w:rsidRDefault="00653AFA" w:rsidP="00011E0A">
      <w:pPr>
        <w:spacing w:line="360" w:lineRule="auto"/>
        <w:jc w:val="left"/>
        <w:rPr>
          <w:rFonts w:ascii="Times New Roman" w:hAnsi="Times New Roman" w:cs="Times New Roman"/>
        </w:rPr>
      </w:pPr>
      <w:r w:rsidRPr="00011E0A">
        <w:rPr>
          <w:rFonts w:ascii="Times New Roman" w:cs="Times New Roman"/>
        </w:rPr>
        <w:t>图</w:t>
      </w:r>
      <w:r w:rsidRPr="00011E0A">
        <w:rPr>
          <w:rFonts w:ascii="Times New Roman" w:hAnsi="Times New Roman" w:cs="Times New Roman"/>
        </w:rPr>
        <w:t>3</w:t>
      </w:r>
      <w:r w:rsidRPr="00011E0A">
        <w:rPr>
          <w:rFonts w:ascii="Times New Roman" w:cs="Times New Roman"/>
        </w:rPr>
        <w:t>：</w:t>
      </w:r>
      <w:r w:rsidRPr="00011E0A">
        <w:rPr>
          <w:rFonts w:ascii="Times New Roman" w:hAnsi="Times New Roman" w:cs="Times New Roman"/>
        </w:rPr>
        <w:t>PMI</w:t>
      </w:r>
      <w:r w:rsidRPr="00011E0A">
        <w:rPr>
          <w:rFonts w:ascii="Times New Roman" w:cs="Times New Roman"/>
        </w:rPr>
        <w:t>分项指数</w:t>
      </w:r>
      <w:r w:rsidR="001D7989" w:rsidRPr="00011E0A">
        <w:rPr>
          <w:rFonts w:ascii="Times New Roman" w:hAnsi="Times New Roman" w:cs="Times New Roman"/>
        </w:rPr>
        <w:t xml:space="preserve">                                                   </w:t>
      </w:r>
      <w:r w:rsidR="00011E0A">
        <w:rPr>
          <w:rFonts w:ascii="Times New Roman" w:hAnsi="Times New Roman" w:cs="Times New Roman" w:hint="eastAsia"/>
        </w:rPr>
        <w:t xml:space="preserve">                     </w:t>
      </w:r>
      <w:r w:rsidR="001D7989" w:rsidRPr="00011E0A">
        <w:rPr>
          <w:rFonts w:ascii="Times New Roman" w:hAnsi="Times New Roman" w:cs="Times New Roman"/>
        </w:rPr>
        <w:t xml:space="preserve">  3</w:t>
      </w:r>
    </w:p>
    <w:p w:rsidR="001D7989" w:rsidRPr="00011E0A" w:rsidRDefault="00653AFA" w:rsidP="00011E0A">
      <w:pPr>
        <w:spacing w:line="360" w:lineRule="auto"/>
        <w:jc w:val="left"/>
        <w:rPr>
          <w:rFonts w:ascii="Times New Roman" w:hAnsi="Times New Roman" w:cs="Times New Roman"/>
        </w:rPr>
      </w:pPr>
      <w:r w:rsidRPr="00011E0A">
        <w:rPr>
          <w:rFonts w:ascii="Times New Roman" w:cs="Times New Roman"/>
        </w:rPr>
        <w:t>图</w:t>
      </w:r>
      <w:r w:rsidRPr="00011E0A">
        <w:rPr>
          <w:rFonts w:ascii="Times New Roman" w:hAnsi="Times New Roman" w:cs="Times New Roman"/>
        </w:rPr>
        <w:t>4</w:t>
      </w:r>
      <w:r w:rsidRPr="00011E0A">
        <w:rPr>
          <w:rFonts w:ascii="Times New Roman" w:cs="Times New Roman"/>
        </w:rPr>
        <w:t>：</w:t>
      </w:r>
      <w:r w:rsidRPr="00011E0A">
        <w:rPr>
          <w:rFonts w:ascii="Times New Roman" w:hAnsi="Times New Roman" w:cs="Times New Roman"/>
        </w:rPr>
        <w:t>CPI</w:t>
      </w:r>
      <w:r w:rsidRPr="00011E0A">
        <w:rPr>
          <w:rFonts w:ascii="Times New Roman" w:cs="Times New Roman"/>
        </w:rPr>
        <w:t>同比和环比增速</w:t>
      </w:r>
      <w:r w:rsidR="001D7989" w:rsidRPr="00011E0A">
        <w:rPr>
          <w:rFonts w:ascii="Times New Roman" w:hAnsi="Times New Roman" w:cs="Times New Roman"/>
        </w:rPr>
        <w:t xml:space="preserve">                                                     </w:t>
      </w:r>
      <w:r w:rsidR="00011E0A">
        <w:rPr>
          <w:rFonts w:ascii="Times New Roman" w:hAnsi="Times New Roman" w:cs="Times New Roman" w:hint="eastAsia"/>
        </w:rPr>
        <w:t xml:space="preserve">            </w:t>
      </w:r>
      <w:r w:rsidR="001D7989" w:rsidRPr="00011E0A">
        <w:rPr>
          <w:rFonts w:ascii="Times New Roman" w:hAnsi="Times New Roman" w:cs="Times New Roman"/>
        </w:rPr>
        <w:t xml:space="preserve">    3</w:t>
      </w:r>
    </w:p>
    <w:p w:rsidR="001D7989" w:rsidRPr="00011E0A" w:rsidRDefault="00653AFA" w:rsidP="00011E0A">
      <w:pPr>
        <w:spacing w:line="360" w:lineRule="auto"/>
        <w:jc w:val="left"/>
        <w:rPr>
          <w:rFonts w:ascii="Times New Roman" w:hAnsi="Times New Roman" w:cs="Times New Roman"/>
        </w:rPr>
      </w:pPr>
      <w:r w:rsidRPr="00011E0A">
        <w:rPr>
          <w:rFonts w:ascii="Times New Roman" w:cs="Times New Roman"/>
        </w:rPr>
        <w:t>图</w:t>
      </w:r>
      <w:r w:rsidRPr="00011E0A">
        <w:rPr>
          <w:rFonts w:ascii="Times New Roman" w:hAnsi="Times New Roman" w:cs="Times New Roman"/>
        </w:rPr>
        <w:t>5</w:t>
      </w:r>
      <w:r w:rsidRPr="00011E0A">
        <w:rPr>
          <w:rFonts w:ascii="Times New Roman" w:cs="Times New Roman"/>
        </w:rPr>
        <w:t>：</w:t>
      </w:r>
      <w:r w:rsidRPr="00011E0A">
        <w:rPr>
          <w:rFonts w:ascii="Times New Roman" w:hAnsi="Times New Roman" w:cs="Times New Roman"/>
        </w:rPr>
        <w:t>CPI</w:t>
      </w:r>
      <w:r w:rsidRPr="00011E0A">
        <w:rPr>
          <w:rFonts w:ascii="Times New Roman" w:cs="Times New Roman"/>
        </w:rPr>
        <w:t>食品同比和环比增速</w:t>
      </w:r>
      <w:r w:rsidR="001D7989" w:rsidRPr="00011E0A">
        <w:rPr>
          <w:rFonts w:ascii="Times New Roman" w:hAnsi="Times New Roman" w:cs="Times New Roman"/>
        </w:rPr>
        <w:t xml:space="preserve">                    </w:t>
      </w:r>
      <w:r w:rsidRPr="00011E0A">
        <w:rPr>
          <w:rFonts w:ascii="Times New Roman" w:hAnsi="Times New Roman" w:cs="Times New Roman"/>
        </w:rPr>
        <w:t xml:space="preserve">                             </w:t>
      </w:r>
      <w:r w:rsidR="00011E0A">
        <w:rPr>
          <w:rFonts w:ascii="Times New Roman" w:hAnsi="Times New Roman" w:cs="Times New Roman" w:hint="eastAsia"/>
        </w:rPr>
        <w:t xml:space="preserve">              </w:t>
      </w:r>
      <w:r w:rsidRPr="00011E0A">
        <w:rPr>
          <w:rFonts w:ascii="Times New Roman" w:hAnsi="Times New Roman" w:cs="Times New Roman"/>
        </w:rPr>
        <w:t xml:space="preserve">  3</w:t>
      </w:r>
    </w:p>
    <w:p w:rsidR="001D7989" w:rsidRPr="00011E0A" w:rsidRDefault="00653AFA" w:rsidP="00011E0A">
      <w:pPr>
        <w:spacing w:line="360" w:lineRule="auto"/>
        <w:jc w:val="left"/>
        <w:rPr>
          <w:rFonts w:ascii="Times New Roman" w:hAnsi="Times New Roman" w:cs="Times New Roman"/>
        </w:rPr>
      </w:pPr>
      <w:r w:rsidRPr="00011E0A">
        <w:rPr>
          <w:rFonts w:ascii="Times New Roman" w:cs="Times New Roman"/>
        </w:rPr>
        <w:t>图</w:t>
      </w:r>
      <w:r w:rsidRPr="00011E0A">
        <w:rPr>
          <w:rFonts w:ascii="Times New Roman" w:hAnsi="Times New Roman" w:cs="Times New Roman"/>
        </w:rPr>
        <w:t>6</w:t>
      </w:r>
      <w:r w:rsidRPr="00011E0A">
        <w:rPr>
          <w:rFonts w:ascii="Times New Roman" w:cs="Times New Roman"/>
        </w:rPr>
        <w:t>：</w:t>
      </w:r>
      <w:r w:rsidRPr="00011E0A">
        <w:rPr>
          <w:rFonts w:ascii="Times New Roman" w:hAnsi="Times New Roman" w:cs="Times New Roman"/>
        </w:rPr>
        <w:t>CPI</w:t>
      </w:r>
      <w:r w:rsidRPr="00011E0A">
        <w:rPr>
          <w:rFonts w:ascii="Times New Roman" w:cs="Times New Roman"/>
        </w:rPr>
        <w:t>非食品同比和环比增速</w:t>
      </w:r>
      <w:r w:rsidR="001D7989" w:rsidRPr="00011E0A">
        <w:rPr>
          <w:rFonts w:ascii="Times New Roman" w:hAnsi="Times New Roman" w:cs="Times New Roman"/>
        </w:rPr>
        <w:t xml:space="preserve">        </w:t>
      </w:r>
      <w:r w:rsidRPr="00011E0A">
        <w:rPr>
          <w:rFonts w:ascii="Times New Roman" w:hAnsi="Times New Roman" w:cs="Times New Roman"/>
        </w:rPr>
        <w:t xml:space="preserve">                              </w:t>
      </w:r>
      <w:r w:rsidR="00011E0A">
        <w:rPr>
          <w:rFonts w:ascii="Times New Roman" w:hAnsi="Times New Roman" w:cs="Times New Roman" w:hint="eastAsia"/>
        </w:rPr>
        <w:t xml:space="preserve">                        </w:t>
      </w:r>
      <w:r w:rsidRPr="00011E0A">
        <w:rPr>
          <w:rFonts w:ascii="Times New Roman" w:hAnsi="Times New Roman" w:cs="Times New Roman"/>
        </w:rPr>
        <w:t xml:space="preserve"> 3</w:t>
      </w:r>
    </w:p>
    <w:p w:rsidR="001D7989" w:rsidRPr="00011E0A" w:rsidRDefault="00653AFA"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7</w:t>
      </w:r>
      <w:r w:rsidRPr="00011E0A">
        <w:rPr>
          <w:rFonts w:ascii="Times New Roman" w:hAnsiTheme="minorEastAsia" w:cs="Times New Roman"/>
          <w:szCs w:val="21"/>
        </w:rPr>
        <w:t>：</w:t>
      </w:r>
      <w:r w:rsidRPr="00011E0A">
        <w:rPr>
          <w:rFonts w:ascii="Times New Roman" w:hAnsi="Times New Roman" w:cs="Times New Roman"/>
          <w:szCs w:val="21"/>
        </w:rPr>
        <w:t>PPI</w:t>
      </w:r>
      <w:r w:rsidRPr="00011E0A">
        <w:rPr>
          <w:rFonts w:ascii="Times New Roman" w:hAnsiTheme="minorEastAsia" w:cs="Times New Roman"/>
          <w:szCs w:val="21"/>
        </w:rPr>
        <w:t>同比和环比</w:t>
      </w:r>
      <w:r w:rsidR="001D7989" w:rsidRPr="00011E0A">
        <w:rPr>
          <w:rFonts w:ascii="Times New Roman" w:hAnsi="Times New Roman" w:cs="Times New Roman"/>
          <w:szCs w:val="21"/>
        </w:rPr>
        <w:t xml:space="preserve">                                                  </w:t>
      </w:r>
      <w:r w:rsidR="00011E0A">
        <w:rPr>
          <w:rFonts w:ascii="Times New Roman" w:hAnsi="Times New Roman" w:cs="Times New Roman" w:hint="eastAsia"/>
          <w:szCs w:val="21"/>
        </w:rPr>
        <w:t xml:space="preserve">                      </w:t>
      </w:r>
      <w:r w:rsidR="001D7989" w:rsidRPr="00011E0A">
        <w:rPr>
          <w:rFonts w:ascii="Times New Roman" w:hAnsi="Times New Roman" w:cs="Times New Roman"/>
          <w:szCs w:val="21"/>
        </w:rPr>
        <w:t xml:space="preserve"> </w:t>
      </w:r>
      <w:r w:rsidRPr="00011E0A">
        <w:rPr>
          <w:rFonts w:ascii="Times New Roman" w:hAnsi="Times New Roman" w:cs="Times New Roman"/>
        </w:rPr>
        <w:t>4</w:t>
      </w:r>
    </w:p>
    <w:p w:rsidR="001D7989" w:rsidRPr="00011E0A" w:rsidRDefault="00011E0A"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00653AFA" w:rsidRPr="00011E0A">
        <w:rPr>
          <w:rFonts w:ascii="Times New Roman" w:hAnsi="Times New Roman" w:cs="Times New Roman"/>
        </w:rPr>
        <w:t>8</w:t>
      </w:r>
      <w:r w:rsidR="00653AFA" w:rsidRPr="00011E0A">
        <w:rPr>
          <w:rFonts w:ascii="Times New Roman" w:cs="Times New Roman"/>
        </w:rPr>
        <w:t>：工业增加值、发电、粗钢产量同比增速下降</w:t>
      </w:r>
      <w:r w:rsidR="001D7989" w:rsidRPr="00011E0A">
        <w:rPr>
          <w:rFonts w:ascii="Times New Roman" w:hAnsi="Times New Roman" w:cs="Times New Roman"/>
        </w:rPr>
        <w:t xml:space="preserve"> </w:t>
      </w:r>
      <w:r w:rsidR="001D7989" w:rsidRPr="00011E0A">
        <w:rPr>
          <w:rFonts w:ascii="Times New Roman" w:hAnsi="Times New Roman" w:cs="Times New Roman"/>
          <w:szCs w:val="21"/>
        </w:rPr>
        <w:t xml:space="preserve">                                                  </w:t>
      </w:r>
      <w:r w:rsidR="001D7989" w:rsidRPr="00011E0A">
        <w:rPr>
          <w:rFonts w:ascii="Times New Roman" w:hAnsi="Times New Roman" w:cs="Times New Roman"/>
        </w:rPr>
        <w:t>5</w:t>
      </w:r>
    </w:p>
    <w:p w:rsidR="001D7989" w:rsidRPr="00011E0A" w:rsidRDefault="00653AFA"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9</w:t>
      </w:r>
      <w:r w:rsidRPr="00011E0A">
        <w:rPr>
          <w:rFonts w:ascii="Times New Roman" w:hAnsiTheme="minorEastAsia" w:cs="Times New Roman"/>
          <w:szCs w:val="21"/>
        </w:rPr>
        <w:t>：第一产业与第二产业投资增速</w:t>
      </w:r>
      <w:r w:rsidR="001D7989" w:rsidRPr="00011E0A">
        <w:rPr>
          <w:rFonts w:ascii="Times New Roman" w:hAnsi="Times New Roman" w:cs="Times New Roman"/>
          <w:szCs w:val="21"/>
        </w:rPr>
        <w:t xml:space="preserve">                                          </w:t>
      </w:r>
      <w:r w:rsidR="00011E0A">
        <w:rPr>
          <w:rFonts w:ascii="Times New Roman" w:hAnsi="Times New Roman" w:cs="Times New Roman" w:hint="eastAsia"/>
          <w:szCs w:val="21"/>
        </w:rPr>
        <w:t xml:space="preserve">                  </w:t>
      </w:r>
      <w:r w:rsidR="001D7989" w:rsidRPr="00011E0A">
        <w:rPr>
          <w:rFonts w:ascii="Times New Roman" w:hAnsi="Times New Roman" w:cs="Times New Roman"/>
          <w:szCs w:val="21"/>
        </w:rPr>
        <w:t xml:space="preserve"> </w:t>
      </w:r>
      <w:r w:rsidRPr="00011E0A">
        <w:rPr>
          <w:rFonts w:ascii="Times New Roman" w:hAnsi="Times New Roman" w:cs="Times New Roman"/>
        </w:rPr>
        <w:t>5</w:t>
      </w:r>
    </w:p>
    <w:p w:rsidR="001D7989" w:rsidRPr="00011E0A" w:rsidRDefault="00653AFA"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10</w:t>
      </w:r>
      <w:r w:rsidRPr="00011E0A">
        <w:rPr>
          <w:rFonts w:ascii="Times New Roman" w:hAnsiTheme="minorEastAsia" w:cs="Times New Roman"/>
          <w:szCs w:val="21"/>
        </w:rPr>
        <w:t>：消费品零售情况</w:t>
      </w:r>
      <w:r w:rsidR="001D7989" w:rsidRPr="00011E0A">
        <w:rPr>
          <w:rFonts w:ascii="Times New Roman" w:hAnsi="Times New Roman" w:cs="Times New Roman"/>
          <w:szCs w:val="21"/>
        </w:rPr>
        <w:t xml:space="preserve">                                                     </w:t>
      </w:r>
      <w:r w:rsidR="00011E0A">
        <w:rPr>
          <w:rFonts w:ascii="Times New Roman" w:hAnsi="Times New Roman" w:cs="Times New Roman" w:hint="eastAsia"/>
          <w:szCs w:val="21"/>
        </w:rPr>
        <w:t xml:space="preserve">                  </w:t>
      </w:r>
      <w:r w:rsidR="001D7989" w:rsidRPr="00011E0A">
        <w:rPr>
          <w:rFonts w:ascii="Times New Roman" w:hAnsi="Times New Roman" w:cs="Times New Roman"/>
          <w:szCs w:val="21"/>
        </w:rPr>
        <w:t xml:space="preserve"> </w:t>
      </w:r>
      <w:r w:rsidR="001D7989" w:rsidRPr="00011E0A">
        <w:rPr>
          <w:rFonts w:ascii="Times New Roman" w:hAnsi="Times New Roman" w:cs="Times New Roman"/>
        </w:rPr>
        <w:t>6</w:t>
      </w:r>
    </w:p>
    <w:p w:rsidR="001D7989" w:rsidRPr="00011E0A" w:rsidRDefault="00653AFA"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11</w:t>
      </w:r>
      <w:r w:rsidRPr="00011E0A">
        <w:rPr>
          <w:rFonts w:ascii="Times New Roman" w:hAnsiTheme="minorEastAsia" w:cs="Times New Roman"/>
          <w:szCs w:val="21"/>
        </w:rPr>
        <w:t>：</w:t>
      </w:r>
      <w:r w:rsidRPr="00011E0A">
        <w:rPr>
          <w:rFonts w:ascii="Times New Roman" w:hAnsi="Times New Roman" w:cs="Times New Roman"/>
          <w:szCs w:val="21"/>
        </w:rPr>
        <w:t>9</w:t>
      </w:r>
      <w:r w:rsidRPr="00011E0A">
        <w:rPr>
          <w:rFonts w:ascii="Times New Roman" w:hAnsiTheme="minorEastAsia" w:cs="Times New Roman"/>
          <w:szCs w:val="21"/>
        </w:rPr>
        <w:t>月份出口超出市场预测</w:t>
      </w:r>
      <w:r w:rsidR="001D7989" w:rsidRPr="00011E0A">
        <w:rPr>
          <w:rFonts w:ascii="Times New Roman" w:hAnsi="Times New Roman" w:cs="Times New Roman"/>
          <w:szCs w:val="21"/>
        </w:rPr>
        <w:t xml:space="preserve">                                                     </w:t>
      </w:r>
      <w:r w:rsidR="00011E0A">
        <w:rPr>
          <w:rFonts w:ascii="Times New Roman" w:hAnsi="Times New Roman" w:cs="Times New Roman" w:hint="eastAsia"/>
          <w:szCs w:val="21"/>
        </w:rPr>
        <w:t xml:space="preserve">          </w:t>
      </w:r>
      <w:r w:rsidR="001D7989" w:rsidRPr="00011E0A">
        <w:rPr>
          <w:rFonts w:ascii="Times New Roman" w:hAnsi="Times New Roman" w:cs="Times New Roman"/>
          <w:szCs w:val="21"/>
        </w:rPr>
        <w:t xml:space="preserve"> </w:t>
      </w:r>
      <w:r w:rsidR="001D7989" w:rsidRPr="00011E0A">
        <w:rPr>
          <w:rFonts w:ascii="Times New Roman" w:hAnsi="Times New Roman" w:cs="Times New Roman"/>
        </w:rPr>
        <w:t>7</w:t>
      </w:r>
    </w:p>
    <w:p w:rsidR="001D7989" w:rsidRPr="00011E0A" w:rsidRDefault="00653AFA"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12</w:t>
      </w:r>
      <w:r w:rsidRPr="00011E0A">
        <w:rPr>
          <w:rFonts w:ascii="Times New Roman" w:hAnsiTheme="minorEastAsia" w:cs="Times New Roman"/>
          <w:szCs w:val="21"/>
        </w:rPr>
        <w:t>：</w:t>
      </w:r>
      <w:r w:rsidRPr="00011E0A">
        <w:rPr>
          <w:rFonts w:ascii="Times New Roman" w:hAnsi="Times New Roman" w:cs="Times New Roman"/>
          <w:szCs w:val="21"/>
        </w:rPr>
        <w:t>9</w:t>
      </w:r>
      <w:r w:rsidRPr="00011E0A">
        <w:rPr>
          <w:rFonts w:ascii="Times New Roman" w:hAnsiTheme="minorEastAsia" w:cs="Times New Roman"/>
          <w:szCs w:val="21"/>
        </w:rPr>
        <w:t>月份进口超出预期</w:t>
      </w:r>
      <w:r w:rsidR="001D7989" w:rsidRPr="00011E0A">
        <w:rPr>
          <w:rFonts w:ascii="Times New Roman" w:hAnsi="Times New Roman" w:cs="Times New Roman"/>
          <w:szCs w:val="21"/>
        </w:rPr>
        <w:t xml:space="preserve">                                               </w:t>
      </w:r>
      <w:r w:rsidR="00011E0A">
        <w:rPr>
          <w:rFonts w:ascii="Times New Roman" w:hAnsi="Times New Roman" w:cs="Times New Roman" w:hint="eastAsia"/>
          <w:szCs w:val="21"/>
        </w:rPr>
        <w:t xml:space="preserve">                    </w:t>
      </w:r>
      <w:r w:rsidR="001D7989" w:rsidRPr="00011E0A">
        <w:rPr>
          <w:rFonts w:ascii="Times New Roman" w:hAnsi="Times New Roman" w:cs="Times New Roman"/>
          <w:szCs w:val="21"/>
        </w:rPr>
        <w:t xml:space="preserve"> </w:t>
      </w:r>
      <w:r w:rsidR="001D7989" w:rsidRPr="00011E0A">
        <w:rPr>
          <w:rFonts w:ascii="Times New Roman" w:hAnsi="Times New Roman" w:cs="Times New Roman"/>
        </w:rPr>
        <w:t>7</w:t>
      </w:r>
    </w:p>
    <w:p w:rsidR="001D7989" w:rsidRPr="00011E0A" w:rsidRDefault="00653AFA"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13</w:t>
      </w:r>
      <w:r w:rsidRPr="00011E0A">
        <w:rPr>
          <w:rFonts w:ascii="Times New Roman" w:hAnsiTheme="minorEastAsia" w:cs="Times New Roman"/>
          <w:szCs w:val="21"/>
        </w:rPr>
        <w:t>：</w:t>
      </w:r>
      <w:r w:rsidRPr="00011E0A">
        <w:rPr>
          <w:rFonts w:ascii="Times New Roman" w:hAnsi="Times New Roman" w:cs="Times New Roman"/>
          <w:szCs w:val="21"/>
        </w:rPr>
        <w:t xml:space="preserve"> </w:t>
      </w:r>
      <w:r w:rsidRPr="00011E0A">
        <w:rPr>
          <w:rFonts w:ascii="Times New Roman" w:hAnsiTheme="minorEastAsia" w:cs="Times New Roman"/>
          <w:szCs w:val="21"/>
        </w:rPr>
        <w:t>社会融资总量结构（单位：亿）</w:t>
      </w:r>
      <w:r w:rsidR="001D7989" w:rsidRPr="00011E0A">
        <w:rPr>
          <w:rFonts w:ascii="Times New Roman" w:hAnsi="Times New Roman" w:cs="Times New Roman"/>
          <w:szCs w:val="21"/>
        </w:rPr>
        <w:t xml:space="preserve">                                                     </w:t>
      </w:r>
      <w:r w:rsidR="00011E0A">
        <w:rPr>
          <w:rFonts w:ascii="Times New Roman" w:hAnsi="Times New Roman" w:cs="Times New Roman" w:hint="eastAsia"/>
          <w:szCs w:val="21"/>
        </w:rPr>
        <w:t xml:space="preserve">   </w:t>
      </w:r>
      <w:r w:rsidR="001D7989" w:rsidRPr="00011E0A">
        <w:rPr>
          <w:rFonts w:ascii="Times New Roman" w:hAnsi="Times New Roman" w:cs="Times New Roman"/>
          <w:szCs w:val="21"/>
        </w:rPr>
        <w:t xml:space="preserve"> </w:t>
      </w:r>
      <w:r w:rsidRPr="00011E0A">
        <w:rPr>
          <w:rFonts w:ascii="Times New Roman" w:hAnsi="Times New Roman" w:cs="Times New Roman"/>
        </w:rPr>
        <w:t>8</w:t>
      </w:r>
    </w:p>
    <w:p w:rsidR="001D7989" w:rsidRPr="00011E0A" w:rsidRDefault="00653AFA"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14</w:t>
      </w:r>
      <w:r w:rsidRPr="00011E0A">
        <w:rPr>
          <w:rFonts w:ascii="Times New Roman" w:hAnsiTheme="minorEastAsia" w:cs="Times New Roman"/>
          <w:szCs w:val="21"/>
        </w:rPr>
        <w:t>：</w:t>
      </w:r>
      <w:r w:rsidRPr="00011E0A">
        <w:rPr>
          <w:rFonts w:ascii="Times New Roman" w:hAnsi="Times New Roman" w:cs="Times New Roman"/>
          <w:szCs w:val="21"/>
        </w:rPr>
        <w:t xml:space="preserve">  M0</w:t>
      </w:r>
      <w:r w:rsidRPr="00011E0A">
        <w:rPr>
          <w:rFonts w:ascii="Times New Roman" w:hAnsiTheme="minorEastAsia" w:cs="Times New Roman"/>
          <w:szCs w:val="21"/>
        </w:rPr>
        <w:t>、</w:t>
      </w:r>
      <w:r w:rsidRPr="00011E0A">
        <w:rPr>
          <w:rFonts w:ascii="Times New Roman" w:hAnsi="Times New Roman" w:cs="Times New Roman"/>
          <w:szCs w:val="21"/>
        </w:rPr>
        <w:t>M1</w:t>
      </w:r>
      <w:r w:rsidRPr="00011E0A">
        <w:rPr>
          <w:rFonts w:ascii="Times New Roman" w:hAnsiTheme="minorEastAsia" w:cs="Times New Roman"/>
          <w:szCs w:val="21"/>
        </w:rPr>
        <w:t>、</w:t>
      </w:r>
      <w:r w:rsidRPr="00011E0A">
        <w:rPr>
          <w:rFonts w:ascii="Times New Roman" w:hAnsi="Times New Roman" w:cs="Times New Roman"/>
          <w:szCs w:val="21"/>
        </w:rPr>
        <w:t>M2</w:t>
      </w:r>
      <w:r w:rsidRPr="00011E0A">
        <w:rPr>
          <w:rFonts w:ascii="Times New Roman" w:hAnsiTheme="minorEastAsia" w:cs="Times New Roman"/>
          <w:szCs w:val="21"/>
        </w:rPr>
        <w:t>同比增速（单位：</w:t>
      </w:r>
      <w:r w:rsidRPr="00011E0A">
        <w:rPr>
          <w:rFonts w:ascii="Times New Roman" w:hAnsi="Times New Roman" w:cs="Times New Roman"/>
          <w:szCs w:val="21"/>
        </w:rPr>
        <w:t>%</w:t>
      </w:r>
      <w:r w:rsidRPr="00011E0A">
        <w:rPr>
          <w:rFonts w:ascii="Times New Roman" w:hAnsiTheme="minorEastAsia" w:cs="Times New Roman"/>
          <w:szCs w:val="21"/>
        </w:rPr>
        <w:t>）</w:t>
      </w:r>
      <w:r w:rsidR="001D7989" w:rsidRPr="00011E0A">
        <w:rPr>
          <w:rFonts w:ascii="Times New Roman" w:hAnsi="Times New Roman" w:cs="Times New Roman"/>
          <w:szCs w:val="21"/>
        </w:rPr>
        <w:t xml:space="preserve">                   </w:t>
      </w:r>
      <w:r w:rsidR="00011E0A">
        <w:rPr>
          <w:rFonts w:ascii="Times New Roman" w:hAnsi="Times New Roman" w:cs="Times New Roman"/>
          <w:szCs w:val="21"/>
        </w:rPr>
        <w:t xml:space="preserve">                              </w:t>
      </w:r>
      <w:r w:rsidR="00011E0A">
        <w:rPr>
          <w:rFonts w:ascii="Times New Roman" w:hAnsi="Times New Roman" w:cs="Times New Roman" w:hint="eastAsia"/>
          <w:szCs w:val="21"/>
        </w:rPr>
        <w:t xml:space="preserve"> </w:t>
      </w:r>
      <w:r w:rsidR="001D7989" w:rsidRPr="00011E0A">
        <w:rPr>
          <w:rFonts w:ascii="Times New Roman" w:hAnsi="Times New Roman" w:cs="Times New Roman"/>
          <w:szCs w:val="21"/>
        </w:rPr>
        <w:t xml:space="preserve"> </w:t>
      </w:r>
      <w:r w:rsidRPr="00011E0A">
        <w:rPr>
          <w:rFonts w:ascii="Times New Roman" w:hAnsi="Times New Roman" w:cs="Times New Roman"/>
        </w:rPr>
        <w:t>8</w:t>
      </w:r>
    </w:p>
    <w:p w:rsidR="001D7989" w:rsidRPr="00011E0A" w:rsidRDefault="00653AFA"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15</w:t>
      </w:r>
      <w:r w:rsidRPr="00011E0A">
        <w:rPr>
          <w:rFonts w:ascii="Times New Roman" w:hAnsiTheme="minorEastAsia" w:cs="Times New Roman"/>
          <w:szCs w:val="21"/>
        </w:rPr>
        <w:t>：</w:t>
      </w:r>
      <w:r w:rsidRPr="00011E0A">
        <w:rPr>
          <w:rFonts w:ascii="Times New Roman" w:hAnsi="Times New Roman" w:cs="Times New Roman"/>
          <w:szCs w:val="21"/>
        </w:rPr>
        <w:t xml:space="preserve"> </w:t>
      </w:r>
      <w:r w:rsidR="00751170" w:rsidRPr="00011E0A">
        <w:rPr>
          <w:rFonts w:ascii="Times New Roman" w:hAnsiTheme="minorEastAsia" w:cs="Times New Roman"/>
          <w:szCs w:val="21"/>
        </w:rPr>
        <w:t>新增短期</w:t>
      </w:r>
      <w:r w:rsidRPr="00011E0A">
        <w:rPr>
          <w:rFonts w:ascii="Times New Roman" w:hAnsiTheme="minorEastAsia" w:cs="Times New Roman"/>
          <w:szCs w:val="21"/>
        </w:rPr>
        <w:t>和中长期贷款占比</w:t>
      </w:r>
      <w:r w:rsidR="001D7989" w:rsidRPr="00011E0A">
        <w:rPr>
          <w:rFonts w:ascii="Times New Roman" w:hAnsi="Times New Roman" w:cs="Times New Roman"/>
          <w:szCs w:val="21"/>
        </w:rPr>
        <w:t xml:space="preserve">                                                          </w:t>
      </w:r>
      <w:r w:rsidR="00011E0A">
        <w:rPr>
          <w:rFonts w:ascii="Times New Roman" w:hAnsi="Times New Roman" w:cs="Times New Roman" w:hint="eastAsia"/>
          <w:szCs w:val="21"/>
        </w:rPr>
        <w:t xml:space="preserve"> </w:t>
      </w:r>
      <w:r w:rsidR="001D7989" w:rsidRPr="00011E0A">
        <w:rPr>
          <w:rFonts w:ascii="Times New Roman" w:hAnsi="Times New Roman" w:cs="Times New Roman"/>
          <w:szCs w:val="21"/>
        </w:rPr>
        <w:t xml:space="preserve"> </w:t>
      </w:r>
      <w:r w:rsidR="00011E0A">
        <w:rPr>
          <w:rFonts w:ascii="Times New Roman" w:hAnsi="Times New Roman" w:cs="Times New Roman" w:hint="eastAsia"/>
          <w:szCs w:val="21"/>
        </w:rPr>
        <w:t xml:space="preserve"> </w:t>
      </w:r>
      <w:r w:rsidR="00751170" w:rsidRPr="00011E0A">
        <w:rPr>
          <w:rFonts w:ascii="Times New Roman" w:hAnsi="Times New Roman" w:cs="Times New Roman"/>
        </w:rPr>
        <w:t>8</w:t>
      </w:r>
    </w:p>
    <w:p w:rsidR="001D7989" w:rsidRPr="00011E0A" w:rsidRDefault="00751170"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16</w:t>
      </w:r>
      <w:r w:rsidRPr="00011E0A">
        <w:rPr>
          <w:rFonts w:ascii="Times New Roman" w:hAnsiTheme="minorEastAsia" w:cs="Times New Roman"/>
          <w:szCs w:val="21"/>
        </w:rPr>
        <w:t>：</w:t>
      </w:r>
      <w:r w:rsidRPr="00011E0A">
        <w:rPr>
          <w:rFonts w:ascii="Times New Roman" w:hAnsi="Times New Roman" w:cs="Times New Roman"/>
          <w:szCs w:val="21"/>
        </w:rPr>
        <w:t xml:space="preserve"> 9</w:t>
      </w:r>
      <w:r w:rsidRPr="00011E0A">
        <w:rPr>
          <w:rFonts w:ascii="Times New Roman" w:hAnsiTheme="minorEastAsia" w:cs="Times New Roman"/>
          <w:szCs w:val="21"/>
        </w:rPr>
        <w:t>月票据直</w:t>
      </w:r>
      <w:proofErr w:type="gramStart"/>
      <w:r w:rsidRPr="00011E0A">
        <w:rPr>
          <w:rFonts w:ascii="Times New Roman" w:hAnsiTheme="minorEastAsia" w:cs="Times New Roman"/>
          <w:szCs w:val="21"/>
        </w:rPr>
        <w:t>贴利率</w:t>
      </w:r>
      <w:proofErr w:type="gramEnd"/>
      <w:r w:rsidRPr="00011E0A">
        <w:rPr>
          <w:rFonts w:ascii="Times New Roman" w:hAnsiTheme="minorEastAsia" w:cs="Times New Roman"/>
          <w:szCs w:val="21"/>
        </w:rPr>
        <w:t>缓慢上升</w:t>
      </w:r>
      <w:r w:rsidR="001D7989" w:rsidRPr="00011E0A">
        <w:rPr>
          <w:rFonts w:ascii="Times New Roman" w:hAnsi="Times New Roman" w:cs="Times New Roman"/>
          <w:szCs w:val="21"/>
        </w:rPr>
        <w:t xml:space="preserve">                                               </w:t>
      </w:r>
      <w:r w:rsidR="00011E0A">
        <w:rPr>
          <w:rFonts w:ascii="Times New Roman" w:hAnsi="Times New Roman" w:cs="Times New Roman" w:hint="eastAsia"/>
          <w:szCs w:val="21"/>
        </w:rPr>
        <w:t xml:space="preserve">    </w:t>
      </w:r>
      <w:r w:rsidR="001D7989" w:rsidRPr="00011E0A">
        <w:rPr>
          <w:rFonts w:ascii="Times New Roman" w:hAnsi="Times New Roman" w:cs="Times New Roman"/>
          <w:szCs w:val="21"/>
        </w:rPr>
        <w:t xml:space="preserve">         </w:t>
      </w:r>
      <w:r w:rsidR="00011E0A">
        <w:rPr>
          <w:rFonts w:ascii="Times New Roman" w:hAnsi="Times New Roman" w:cs="Times New Roman" w:hint="eastAsia"/>
          <w:szCs w:val="21"/>
        </w:rPr>
        <w:t xml:space="preserve"> </w:t>
      </w:r>
      <w:r w:rsidRPr="00011E0A">
        <w:rPr>
          <w:rFonts w:ascii="Times New Roman" w:hAnsi="Times New Roman" w:cs="Times New Roman"/>
        </w:rPr>
        <w:t>9</w:t>
      </w:r>
    </w:p>
    <w:p w:rsidR="001D7989" w:rsidRPr="00011E0A" w:rsidRDefault="00751170"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17</w:t>
      </w:r>
      <w:r w:rsidRPr="00011E0A">
        <w:rPr>
          <w:rFonts w:ascii="Times New Roman" w:hAnsiTheme="minorEastAsia" w:cs="Times New Roman"/>
          <w:szCs w:val="21"/>
        </w:rPr>
        <w:t>：</w:t>
      </w:r>
      <w:r w:rsidRPr="00011E0A">
        <w:rPr>
          <w:rFonts w:ascii="Times New Roman" w:hAnsi="Times New Roman" w:cs="Times New Roman"/>
          <w:szCs w:val="21"/>
        </w:rPr>
        <w:t xml:space="preserve"> </w:t>
      </w:r>
      <w:r w:rsidRPr="00011E0A">
        <w:rPr>
          <w:rFonts w:ascii="Times New Roman" w:hAnsiTheme="minorEastAsia" w:cs="Times New Roman"/>
          <w:szCs w:val="21"/>
        </w:rPr>
        <w:t>隔夜银行间拆借利率</w:t>
      </w:r>
      <w:r w:rsidRPr="00011E0A">
        <w:rPr>
          <w:rFonts w:ascii="Times New Roman" w:hAnsi="Times New Roman" w:cs="Times New Roman"/>
          <w:szCs w:val="21"/>
        </w:rPr>
        <w:t>9</w:t>
      </w:r>
      <w:r w:rsidRPr="00011E0A">
        <w:rPr>
          <w:rFonts w:ascii="Times New Roman" w:hAnsiTheme="minorEastAsia" w:cs="Times New Roman"/>
          <w:szCs w:val="21"/>
        </w:rPr>
        <w:t>月平稳收官</w:t>
      </w:r>
      <w:r w:rsidR="001D7989" w:rsidRPr="00011E0A">
        <w:rPr>
          <w:rFonts w:ascii="Times New Roman" w:hAnsi="Times New Roman" w:cs="Times New Roman"/>
          <w:szCs w:val="21"/>
        </w:rPr>
        <w:t xml:space="preserve">                                 </w:t>
      </w:r>
      <w:r w:rsidR="00011E0A">
        <w:rPr>
          <w:rFonts w:ascii="Times New Roman" w:hAnsi="Times New Roman" w:cs="Times New Roman" w:hint="eastAsia"/>
          <w:szCs w:val="21"/>
        </w:rPr>
        <w:t xml:space="preserve">                </w:t>
      </w:r>
      <w:r w:rsidR="001D7989" w:rsidRPr="00011E0A">
        <w:rPr>
          <w:rFonts w:ascii="Times New Roman" w:hAnsi="Times New Roman" w:cs="Times New Roman"/>
          <w:szCs w:val="21"/>
        </w:rPr>
        <w:t xml:space="preserve">    </w:t>
      </w:r>
      <w:r w:rsidR="00011E0A">
        <w:rPr>
          <w:rFonts w:ascii="Times New Roman" w:hAnsi="Times New Roman" w:cs="Times New Roman" w:hint="eastAsia"/>
          <w:szCs w:val="21"/>
        </w:rPr>
        <w:t xml:space="preserve"> </w:t>
      </w:r>
      <w:r w:rsidR="001D7989" w:rsidRPr="00011E0A">
        <w:rPr>
          <w:rFonts w:ascii="Times New Roman" w:hAnsi="Times New Roman" w:cs="Times New Roman"/>
          <w:szCs w:val="21"/>
        </w:rPr>
        <w:t xml:space="preserve"> </w:t>
      </w:r>
      <w:r w:rsidRPr="00011E0A">
        <w:rPr>
          <w:rFonts w:ascii="Times New Roman" w:hAnsi="Times New Roman" w:cs="Times New Roman"/>
        </w:rPr>
        <w:t>9</w:t>
      </w:r>
    </w:p>
    <w:p w:rsidR="001D7989" w:rsidRPr="00011E0A" w:rsidRDefault="00751170" w:rsidP="00011E0A">
      <w:pPr>
        <w:spacing w:line="360" w:lineRule="auto"/>
        <w:jc w:val="left"/>
        <w:rPr>
          <w:rFonts w:ascii="Times New Roman" w:hAnsi="Times New Roman" w:cs="Times New Roman"/>
        </w:rPr>
      </w:pPr>
      <w:r w:rsidRPr="00011E0A">
        <w:rPr>
          <w:rFonts w:ascii="Times New Roman" w:cs="Times New Roman"/>
        </w:rPr>
        <w:t>图</w:t>
      </w:r>
      <w:r w:rsidRPr="00011E0A">
        <w:rPr>
          <w:rFonts w:ascii="Times New Roman" w:hAnsi="Times New Roman" w:cs="Times New Roman"/>
        </w:rPr>
        <w:t>18</w:t>
      </w:r>
      <w:r w:rsidRPr="00011E0A">
        <w:rPr>
          <w:rFonts w:ascii="Times New Roman" w:cs="Times New Roman"/>
        </w:rPr>
        <w:t>：利率债收益率</w:t>
      </w:r>
      <w:r w:rsidR="001D7989" w:rsidRPr="00011E0A">
        <w:rPr>
          <w:rFonts w:ascii="Times New Roman" w:hAnsi="Times New Roman" w:cs="Times New Roman"/>
          <w:szCs w:val="21"/>
        </w:rPr>
        <w:t xml:space="preserve">                         </w:t>
      </w:r>
      <w:r w:rsidR="00011E0A">
        <w:rPr>
          <w:rFonts w:ascii="Times New Roman" w:hAnsi="Times New Roman" w:cs="Times New Roman" w:hint="eastAsia"/>
          <w:szCs w:val="21"/>
        </w:rPr>
        <w:t xml:space="preserve">                                              </w:t>
      </w:r>
      <w:r w:rsidR="001D7989" w:rsidRPr="00011E0A">
        <w:rPr>
          <w:rFonts w:ascii="Times New Roman" w:hAnsi="Times New Roman" w:cs="Times New Roman"/>
          <w:szCs w:val="21"/>
        </w:rPr>
        <w:t xml:space="preserve">  </w:t>
      </w:r>
      <w:r w:rsidR="00011E0A">
        <w:rPr>
          <w:rFonts w:ascii="Times New Roman" w:hAnsi="Times New Roman" w:cs="Times New Roman" w:hint="eastAsia"/>
        </w:rPr>
        <w:t>10</w:t>
      </w:r>
    </w:p>
    <w:p w:rsidR="001D7989" w:rsidRPr="00011E0A" w:rsidRDefault="00751170"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19</w:t>
      </w:r>
      <w:r w:rsidRPr="00011E0A">
        <w:rPr>
          <w:rFonts w:ascii="Times New Roman" w:hAnsiTheme="minorEastAsia" w:cs="Times New Roman"/>
          <w:szCs w:val="21"/>
        </w:rPr>
        <w:t>：信用债收益率变化（</w:t>
      </w:r>
      <w:proofErr w:type="spellStart"/>
      <w:r w:rsidRPr="00011E0A">
        <w:rPr>
          <w:rFonts w:ascii="Times New Roman" w:hAnsi="Times New Roman" w:cs="Times New Roman"/>
          <w:szCs w:val="21"/>
        </w:rPr>
        <w:t>bp</w:t>
      </w:r>
      <w:proofErr w:type="spellEnd"/>
      <w:r w:rsidRPr="00011E0A">
        <w:rPr>
          <w:rFonts w:ascii="Times New Roman" w:hAnsiTheme="minorEastAsia" w:cs="Times New Roman"/>
          <w:szCs w:val="21"/>
        </w:rPr>
        <w:t>）</w:t>
      </w:r>
      <w:r w:rsidR="001D7989" w:rsidRPr="00011E0A">
        <w:rPr>
          <w:rFonts w:ascii="Times New Roman" w:hAnsi="Times New Roman" w:cs="Times New Roman"/>
          <w:szCs w:val="21"/>
        </w:rPr>
        <w:t xml:space="preserve">                                                     </w:t>
      </w:r>
      <w:r w:rsidR="00011E0A">
        <w:rPr>
          <w:rFonts w:ascii="Times New Roman" w:hAnsi="Times New Roman" w:cs="Times New Roman" w:hint="eastAsia"/>
          <w:szCs w:val="21"/>
        </w:rPr>
        <w:t xml:space="preserve">         </w:t>
      </w:r>
      <w:r w:rsidR="001D7989" w:rsidRPr="00011E0A">
        <w:rPr>
          <w:rFonts w:ascii="Times New Roman" w:hAnsi="Times New Roman" w:cs="Times New Roman"/>
          <w:szCs w:val="21"/>
        </w:rPr>
        <w:t xml:space="preserve"> </w:t>
      </w:r>
      <w:r w:rsidRPr="00011E0A">
        <w:rPr>
          <w:rFonts w:ascii="Times New Roman" w:hAnsi="Times New Roman" w:cs="Times New Roman"/>
        </w:rPr>
        <w:t>11</w:t>
      </w:r>
    </w:p>
    <w:p w:rsidR="001D7989" w:rsidRPr="00011E0A" w:rsidRDefault="00751170"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20</w:t>
      </w:r>
      <w:r w:rsidRPr="00011E0A">
        <w:rPr>
          <w:rFonts w:ascii="Times New Roman" w:hAnsiTheme="minorEastAsia" w:cs="Times New Roman"/>
          <w:szCs w:val="21"/>
        </w:rPr>
        <w:t>：本月成立集合信托产品资金运用方式占比图</w:t>
      </w:r>
      <w:r w:rsidR="001D7989" w:rsidRPr="00011E0A">
        <w:rPr>
          <w:rFonts w:ascii="Times New Roman" w:hAnsi="Times New Roman" w:cs="Times New Roman"/>
          <w:szCs w:val="21"/>
        </w:rPr>
        <w:t xml:space="preserve">                                   </w:t>
      </w:r>
      <w:r w:rsidR="00011E0A">
        <w:rPr>
          <w:rFonts w:ascii="Times New Roman" w:hAnsi="Times New Roman" w:cs="Times New Roman" w:hint="eastAsia"/>
          <w:szCs w:val="21"/>
        </w:rPr>
        <w:t xml:space="preserve">           </w:t>
      </w:r>
      <w:r w:rsidR="001D7989" w:rsidRPr="00011E0A">
        <w:rPr>
          <w:rFonts w:ascii="Times New Roman" w:hAnsi="Times New Roman" w:cs="Times New Roman"/>
          <w:szCs w:val="21"/>
        </w:rPr>
        <w:t xml:space="preserve"> </w:t>
      </w:r>
      <w:r w:rsidRPr="00011E0A">
        <w:rPr>
          <w:rFonts w:ascii="Times New Roman" w:hAnsi="Times New Roman" w:cs="Times New Roman"/>
        </w:rPr>
        <w:t>12</w:t>
      </w:r>
    </w:p>
    <w:p w:rsidR="001D7989" w:rsidRPr="00011E0A" w:rsidRDefault="00751170"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21:</w:t>
      </w:r>
      <w:r w:rsidRPr="00011E0A">
        <w:rPr>
          <w:rFonts w:ascii="Times New Roman" w:hAnsiTheme="minorEastAsia" w:cs="Times New Roman"/>
          <w:szCs w:val="21"/>
        </w:rPr>
        <w:t>本月集合信托产品资金</w:t>
      </w:r>
      <w:proofErr w:type="gramStart"/>
      <w:r w:rsidRPr="00011E0A">
        <w:rPr>
          <w:rFonts w:ascii="Times New Roman" w:hAnsiTheme="minorEastAsia" w:cs="Times New Roman"/>
          <w:szCs w:val="21"/>
        </w:rPr>
        <w:t>投向占</w:t>
      </w:r>
      <w:proofErr w:type="gramEnd"/>
      <w:r w:rsidRPr="00011E0A">
        <w:rPr>
          <w:rFonts w:ascii="Times New Roman" w:hAnsiTheme="minorEastAsia" w:cs="Times New Roman"/>
          <w:szCs w:val="21"/>
        </w:rPr>
        <w:t>比图</w:t>
      </w:r>
      <w:r w:rsidR="001D7989" w:rsidRPr="00011E0A">
        <w:rPr>
          <w:rFonts w:ascii="Times New Roman" w:hAnsi="Times New Roman" w:cs="Times New Roman"/>
          <w:szCs w:val="21"/>
        </w:rPr>
        <w:t xml:space="preserve">                                                      </w:t>
      </w:r>
      <w:r w:rsidR="00011E0A">
        <w:rPr>
          <w:rFonts w:ascii="Times New Roman" w:hAnsi="Times New Roman" w:cs="Times New Roman" w:hint="eastAsia"/>
          <w:szCs w:val="21"/>
        </w:rPr>
        <w:t xml:space="preserve">  </w:t>
      </w:r>
      <w:r w:rsidRPr="00011E0A">
        <w:rPr>
          <w:rFonts w:ascii="Times New Roman" w:hAnsi="Times New Roman" w:cs="Times New Roman"/>
        </w:rPr>
        <w:t>12</w:t>
      </w:r>
    </w:p>
    <w:p w:rsidR="001D7989" w:rsidRPr="00011E0A" w:rsidRDefault="00751170" w:rsidP="00011E0A">
      <w:pPr>
        <w:spacing w:line="360" w:lineRule="auto"/>
        <w:jc w:val="left"/>
        <w:rPr>
          <w:rFonts w:ascii="Times New Roman" w:hAnsi="Times New Roman" w:cs="Times New Roman"/>
          <w:szCs w:val="21"/>
        </w:rPr>
      </w:pPr>
      <w:r w:rsidRPr="00011E0A">
        <w:rPr>
          <w:rFonts w:ascii="Times New Roman" w:hAnsiTheme="minorEastAsia" w:cs="Times New Roman"/>
          <w:noProof/>
          <w:szCs w:val="21"/>
        </w:rPr>
        <w:t>图</w:t>
      </w:r>
      <w:r w:rsidRPr="00011E0A">
        <w:rPr>
          <w:rFonts w:ascii="Times New Roman" w:hAnsi="Times New Roman" w:cs="Times New Roman"/>
          <w:noProof/>
          <w:szCs w:val="21"/>
        </w:rPr>
        <w:t>22</w:t>
      </w:r>
      <w:r w:rsidRPr="00011E0A">
        <w:rPr>
          <w:rFonts w:ascii="Times New Roman" w:hAnsiTheme="minorEastAsia" w:cs="Times New Roman"/>
          <w:noProof/>
          <w:szCs w:val="21"/>
        </w:rPr>
        <w:t>：</w:t>
      </w:r>
      <w:r w:rsidRPr="00011E0A">
        <w:rPr>
          <w:rFonts w:ascii="Times New Roman" w:hAnsi="Times New Roman" w:cs="Times New Roman"/>
          <w:noProof/>
          <w:szCs w:val="21"/>
        </w:rPr>
        <w:t>A</w:t>
      </w:r>
      <w:r w:rsidRPr="00011E0A">
        <w:rPr>
          <w:rFonts w:ascii="Times New Roman" w:hAnsiTheme="minorEastAsia" w:cs="Times New Roman"/>
          <w:noProof/>
          <w:szCs w:val="21"/>
        </w:rPr>
        <w:t>股主要指数</w:t>
      </w:r>
      <w:r w:rsidRPr="00011E0A">
        <w:rPr>
          <w:rFonts w:ascii="Times New Roman" w:hAnsi="Times New Roman" w:cs="Times New Roman"/>
          <w:noProof/>
          <w:szCs w:val="21"/>
        </w:rPr>
        <w:t>9</w:t>
      </w:r>
      <w:r w:rsidRPr="00011E0A">
        <w:rPr>
          <w:rFonts w:ascii="Times New Roman" w:hAnsiTheme="minorEastAsia" w:cs="Times New Roman"/>
          <w:noProof/>
          <w:szCs w:val="21"/>
        </w:rPr>
        <w:t>月表现（</w:t>
      </w:r>
      <w:r w:rsidRPr="00011E0A">
        <w:rPr>
          <w:rFonts w:ascii="Times New Roman" w:hAnsi="Times New Roman" w:cs="Times New Roman"/>
          <w:noProof/>
          <w:szCs w:val="21"/>
        </w:rPr>
        <w:t>%</w:t>
      </w:r>
      <w:r w:rsidRPr="00011E0A">
        <w:rPr>
          <w:rFonts w:ascii="Times New Roman" w:hAnsiTheme="minorEastAsia" w:cs="Times New Roman"/>
          <w:noProof/>
          <w:szCs w:val="21"/>
        </w:rPr>
        <w:t>）</w:t>
      </w:r>
      <w:r w:rsidR="001D7989" w:rsidRPr="00011E0A">
        <w:rPr>
          <w:rFonts w:ascii="Times New Roman" w:hAnsi="Times New Roman" w:cs="Times New Roman"/>
          <w:noProof/>
          <w:szCs w:val="21"/>
        </w:rPr>
        <w:t xml:space="preserve">                                    </w:t>
      </w:r>
      <w:r w:rsidR="00011E0A">
        <w:rPr>
          <w:rFonts w:ascii="Times New Roman" w:hAnsi="Times New Roman" w:cs="Times New Roman" w:hint="eastAsia"/>
          <w:noProof/>
          <w:szCs w:val="21"/>
        </w:rPr>
        <w:t xml:space="preserve">                     </w:t>
      </w:r>
      <w:r w:rsidR="001D7989" w:rsidRPr="00011E0A">
        <w:rPr>
          <w:rFonts w:ascii="Times New Roman" w:hAnsi="Times New Roman" w:cs="Times New Roman"/>
          <w:noProof/>
          <w:szCs w:val="21"/>
        </w:rPr>
        <w:t xml:space="preserve">   </w:t>
      </w:r>
      <w:r w:rsidRPr="00011E0A">
        <w:rPr>
          <w:rFonts w:ascii="Times New Roman" w:hAnsi="Times New Roman" w:cs="Times New Roman"/>
        </w:rPr>
        <w:t>14</w:t>
      </w:r>
    </w:p>
    <w:p w:rsidR="001D7989" w:rsidRPr="00011E0A" w:rsidRDefault="00751170"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23</w:t>
      </w:r>
      <w:r w:rsidRPr="00011E0A">
        <w:rPr>
          <w:rFonts w:ascii="Times New Roman" w:hAnsiTheme="minorEastAsia" w:cs="Times New Roman"/>
          <w:szCs w:val="21"/>
        </w:rPr>
        <w:t>：</w:t>
      </w:r>
      <w:r w:rsidRPr="00011E0A">
        <w:rPr>
          <w:rFonts w:ascii="Times New Roman" w:hAnsi="Times New Roman" w:cs="Times New Roman"/>
          <w:szCs w:val="21"/>
        </w:rPr>
        <w:t>A</w:t>
      </w:r>
      <w:r w:rsidRPr="00011E0A">
        <w:rPr>
          <w:rFonts w:ascii="Times New Roman" w:hAnsiTheme="minorEastAsia" w:cs="Times New Roman"/>
          <w:szCs w:val="21"/>
        </w:rPr>
        <w:t>股主要指数年初以来表现（</w:t>
      </w:r>
      <w:r w:rsidRPr="00011E0A">
        <w:rPr>
          <w:rFonts w:ascii="Times New Roman" w:hAnsi="Times New Roman" w:cs="Times New Roman"/>
          <w:szCs w:val="21"/>
        </w:rPr>
        <w:t>%</w:t>
      </w:r>
      <w:r w:rsidRPr="00011E0A">
        <w:rPr>
          <w:rFonts w:ascii="Times New Roman" w:hAnsiTheme="minorEastAsia" w:cs="Times New Roman"/>
          <w:szCs w:val="21"/>
        </w:rPr>
        <w:t>）</w:t>
      </w:r>
      <w:r w:rsidR="001D7989" w:rsidRPr="00011E0A">
        <w:rPr>
          <w:rFonts w:ascii="Times New Roman" w:hAnsi="Times New Roman" w:cs="Times New Roman"/>
          <w:szCs w:val="21"/>
        </w:rPr>
        <w:t xml:space="preserve">                                         </w:t>
      </w:r>
      <w:r w:rsidR="00011E0A">
        <w:rPr>
          <w:rFonts w:ascii="Times New Roman" w:hAnsi="Times New Roman" w:cs="Times New Roman" w:hint="eastAsia"/>
          <w:szCs w:val="21"/>
        </w:rPr>
        <w:t xml:space="preserve">              </w:t>
      </w:r>
      <w:r w:rsidRPr="00011E0A">
        <w:rPr>
          <w:rFonts w:ascii="Times New Roman" w:hAnsi="Times New Roman" w:cs="Times New Roman"/>
        </w:rPr>
        <w:t>14</w:t>
      </w:r>
    </w:p>
    <w:p w:rsidR="001D7989" w:rsidRPr="00011E0A" w:rsidRDefault="00751170"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24</w:t>
      </w:r>
      <w:r w:rsidRPr="00011E0A">
        <w:rPr>
          <w:rFonts w:ascii="Times New Roman" w:hAnsiTheme="minorEastAsia" w:cs="Times New Roman"/>
          <w:szCs w:val="21"/>
        </w:rPr>
        <w:t>：一个月大类行业表现</w:t>
      </w:r>
      <w:r w:rsidR="001D7989" w:rsidRPr="00011E0A">
        <w:rPr>
          <w:rFonts w:ascii="Times New Roman" w:hAnsi="Times New Roman" w:cs="Times New Roman"/>
          <w:szCs w:val="21"/>
        </w:rPr>
        <w:t xml:space="preserve">                                         </w:t>
      </w:r>
      <w:r w:rsidR="00011E0A">
        <w:rPr>
          <w:rFonts w:ascii="Times New Roman" w:hAnsi="Times New Roman" w:cs="Times New Roman" w:hint="eastAsia"/>
          <w:szCs w:val="21"/>
        </w:rPr>
        <w:t xml:space="preserve">                        </w:t>
      </w:r>
      <w:r w:rsidR="001D7989" w:rsidRPr="00011E0A">
        <w:rPr>
          <w:rFonts w:ascii="Times New Roman" w:hAnsi="Times New Roman" w:cs="Times New Roman"/>
          <w:szCs w:val="21"/>
        </w:rPr>
        <w:t xml:space="preserve"> </w:t>
      </w:r>
      <w:r w:rsidR="00011E0A">
        <w:rPr>
          <w:rFonts w:ascii="Times New Roman" w:hAnsi="Times New Roman" w:cs="Times New Roman" w:hint="eastAsia"/>
          <w:szCs w:val="21"/>
        </w:rPr>
        <w:t xml:space="preserve"> </w:t>
      </w:r>
      <w:r w:rsidRPr="00011E0A">
        <w:rPr>
          <w:rFonts w:ascii="Times New Roman" w:hAnsi="Times New Roman" w:cs="Times New Roman"/>
        </w:rPr>
        <w:t>15</w:t>
      </w:r>
    </w:p>
    <w:p w:rsidR="00DA1378" w:rsidRPr="00011E0A" w:rsidRDefault="00DA1378" w:rsidP="00011E0A">
      <w:pPr>
        <w:pStyle w:val="a7"/>
        <w:spacing w:line="360" w:lineRule="auto"/>
        <w:ind w:left="420" w:firstLineChars="0" w:firstLine="0"/>
        <w:jc w:val="left"/>
        <w:rPr>
          <w:rFonts w:ascii="Times New Roman" w:hAnsi="Times New Roman" w:cs="Times New Roman"/>
          <w:b/>
          <w:sz w:val="24"/>
          <w:szCs w:val="24"/>
        </w:rPr>
      </w:pPr>
    </w:p>
    <w:p w:rsidR="00DA1378" w:rsidRPr="00011E0A" w:rsidRDefault="00DA1378" w:rsidP="00011E0A">
      <w:pPr>
        <w:widowControl/>
        <w:jc w:val="left"/>
        <w:rPr>
          <w:rFonts w:ascii="Times New Roman" w:hAnsi="Times New Roman" w:cs="Times New Roman"/>
          <w:b/>
          <w:sz w:val="24"/>
          <w:szCs w:val="24"/>
        </w:rPr>
      </w:pPr>
      <w:r w:rsidRPr="00011E0A">
        <w:rPr>
          <w:rFonts w:ascii="Times New Roman" w:hAnsi="Times New Roman" w:cs="Times New Roman"/>
          <w:b/>
          <w:sz w:val="24"/>
          <w:szCs w:val="24"/>
        </w:rPr>
        <w:br w:type="page"/>
      </w:r>
    </w:p>
    <w:p w:rsidR="00751170" w:rsidRPr="00011E0A" w:rsidRDefault="00751170" w:rsidP="00011E0A">
      <w:pPr>
        <w:spacing w:line="360" w:lineRule="auto"/>
        <w:jc w:val="left"/>
        <w:rPr>
          <w:rFonts w:ascii="Times New Roman" w:hAnsi="Times New Roman" w:cs="Times New Roman"/>
        </w:rPr>
      </w:pPr>
      <w:r w:rsidRPr="00011E0A">
        <w:rPr>
          <w:rFonts w:ascii="Times New Roman" w:hAnsi="Times New Roman" w:cs="Times New Roman"/>
          <w:noProof/>
        </w:rPr>
        <w:lastRenderedPageBreak/>
        <w:drawing>
          <wp:anchor distT="0" distB="0" distL="114300" distR="114300" simplePos="0" relativeHeight="251917312" behindDoc="1" locked="0" layoutInCell="1" allowOverlap="1">
            <wp:simplePos x="0" y="0"/>
            <wp:positionH relativeFrom="column">
              <wp:posOffset>-683895</wp:posOffset>
            </wp:positionH>
            <wp:positionV relativeFrom="paragraph">
              <wp:posOffset>-1392555</wp:posOffset>
            </wp:positionV>
            <wp:extent cx="7581900" cy="10725150"/>
            <wp:effectExtent l="19050" t="0" r="0" b="0"/>
            <wp:wrapNone/>
            <wp:docPr id="201"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Pr="00011E0A">
        <w:rPr>
          <w:rFonts w:ascii="Times New Roman" w:cs="Times New Roman"/>
        </w:rPr>
        <w:t>图</w:t>
      </w:r>
      <w:r w:rsidRPr="00011E0A">
        <w:rPr>
          <w:rFonts w:ascii="Times New Roman" w:hAnsi="Times New Roman" w:cs="Times New Roman"/>
        </w:rPr>
        <w:t>25</w:t>
      </w:r>
      <w:r w:rsidRPr="00011E0A">
        <w:rPr>
          <w:rFonts w:ascii="Times New Roman" w:cs="Times New Roman"/>
        </w:rPr>
        <w:t>：大类行业年初以来表现</w:t>
      </w:r>
      <w:r w:rsidRPr="00011E0A">
        <w:rPr>
          <w:rFonts w:ascii="Times New Roman" w:hAnsi="Times New Roman" w:cs="Times New Roman"/>
        </w:rPr>
        <w:t xml:space="preserve">                                               </w:t>
      </w:r>
      <w:r w:rsidR="00011E0A">
        <w:rPr>
          <w:rFonts w:ascii="Times New Roman" w:hAnsi="Times New Roman" w:cs="Times New Roman" w:hint="eastAsia"/>
        </w:rPr>
        <w:t xml:space="preserve">                 </w:t>
      </w:r>
      <w:r w:rsidRPr="00011E0A">
        <w:rPr>
          <w:rFonts w:ascii="Times New Roman" w:hAnsi="Times New Roman" w:cs="Times New Roman"/>
        </w:rPr>
        <w:t xml:space="preserve"> 14</w:t>
      </w:r>
    </w:p>
    <w:p w:rsidR="00751170" w:rsidRPr="00011E0A" w:rsidRDefault="00751170" w:rsidP="00011E0A">
      <w:pPr>
        <w:spacing w:line="360" w:lineRule="auto"/>
        <w:jc w:val="left"/>
        <w:rPr>
          <w:rFonts w:ascii="Times New Roman" w:hAnsi="Times New Roman" w:cs="Times New Roman"/>
        </w:rPr>
      </w:pPr>
      <w:r w:rsidRPr="00011E0A">
        <w:rPr>
          <w:rFonts w:ascii="Times New Roman" w:cs="Times New Roman"/>
        </w:rPr>
        <w:t>图</w:t>
      </w:r>
      <w:r w:rsidRPr="00011E0A">
        <w:rPr>
          <w:rFonts w:ascii="Times New Roman" w:hAnsi="Times New Roman" w:cs="Times New Roman"/>
        </w:rPr>
        <w:t>26:</w:t>
      </w:r>
      <w:r w:rsidRPr="00011E0A">
        <w:rPr>
          <w:rFonts w:ascii="Times New Roman" w:cs="Times New Roman"/>
        </w:rPr>
        <w:t>私</w:t>
      </w:r>
      <w:proofErr w:type="gramStart"/>
      <w:r w:rsidRPr="00011E0A">
        <w:rPr>
          <w:rFonts w:ascii="Times New Roman" w:cs="Times New Roman"/>
        </w:rPr>
        <w:t>募股权投资</w:t>
      </w:r>
      <w:proofErr w:type="gramEnd"/>
      <w:r w:rsidRPr="00011E0A">
        <w:rPr>
          <w:rFonts w:ascii="Times New Roman" w:cs="Times New Roman"/>
        </w:rPr>
        <w:t>基金募资总量比较（</w:t>
      </w:r>
      <w:r w:rsidRPr="00011E0A">
        <w:rPr>
          <w:rFonts w:ascii="Times New Roman" w:hAnsi="Times New Roman" w:cs="Times New Roman"/>
        </w:rPr>
        <w:t>Q1</w:t>
      </w:r>
      <w:proofErr w:type="gramStart"/>
      <w:r w:rsidRPr="00011E0A">
        <w:rPr>
          <w:rFonts w:ascii="Times New Roman" w:hAnsi="Times New Roman" w:cs="Times New Roman"/>
        </w:rPr>
        <w:t>’</w:t>
      </w:r>
      <w:proofErr w:type="gramEnd"/>
      <w:r w:rsidRPr="00011E0A">
        <w:rPr>
          <w:rFonts w:ascii="Times New Roman" w:hAnsi="Times New Roman" w:cs="Times New Roman"/>
        </w:rPr>
        <w:t>11-Q3</w:t>
      </w:r>
      <w:proofErr w:type="gramStart"/>
      <w:r w:rsidRPr="00011E0A">
        <w:rPr>
          <w:rFonts w:ascii="Times New Roman" w:hAnsi="Times New Roman" w:cs="Times New Roman"/>
        </w:rPr>
        <w:t>’</w:t>
      </w:r>
      <w:proofErr w:type="gramEnd"/>
      <w:r w:rsidRPr="00011E0A">
        <w:rPr>
          <w:rFonts w:ascii="Times New Roman" w:hAnsi="Times New Roman" w:cs="Times New Roman"/>
        </w:rPr>
        <w:t>13</w:t>
      </w:r>
      <w:r w:rsidRPr="00011E0A">
        <w:rPr>
          <w:rFonts w:ascii="Times New Roman" w:cs="Times New Roman"/>
        </w:rPr>
        <w:t>）</w:t>
      </w:r>
      <w:r w:rsidRPr="00011E0A">
        <w:rPr>
          <w:rFonts w:ascii="Times New Roman" w:hAnsi="Times New Roman" w:cs="Times New Roman"/>
        </w:rPr>
        <w:t xml:space="preserve">                                            16</w:t>
      </w:r>
    </w:p>
    <w:p w:rsidR="00751170" w:rsidRPr="00011E0A" w:rsidRDefault="00794FFF" w:rsidP="00011E0A">
      <w:pPr>
        <w:spacing w:line="360" w:lineRule="auto"/>
        <w:jc w:val="left"/>
        <w:rPr>
          <w:rFonts w:ascii="Times New Roman" w:hAnsi="Times New Roman" w:cs="Times New Roman"/>
        </w:rPr>
      </w:pPr>
      <w:r w:rsidRPr="00011E0A">
        <w:rPr>
          <w:rFonts w:ascii="Times New Roman" w:cs="Times New Roman"/>
        </w:rPr>
        <w:t>图</w:t>
      </w:r>
      <w:r w:rsidRPr="00011E0A">
        <w:rPr>
          <w:rFonts w:ascii="Times New Roman" w:hAnsi="Times New Roman" w:cs="Times New Roman"/>
        </w:rPr>
        <w:t>27</w:t>
      </w:r>
      <w:r w:rsidRPr="00011E0A">
        <w:rPr>
          <w:rFonts w:ascii="Times New Roman" w:cs="Times New Roman"/>
        </w:rPr>
        <w:t>：</w:t>
      </w:r>
      <w:r w:rsidRPr="00011E0A">
        <w:rPr>
          <w:rFonts w:ascii="Times New Roman" w:hAnsi="Times New Roman" w:cs="Times New Roman"/>
        </w:rPr>
        <w:t>2013</w:t>
      </w:r>
      <w:r w:rsidRPr="00011E0A">
        <w:rPr>
          <w:rFonts w:ascii="Times New Roman" w:cs="Times New Roman"/>
        </w:rPr>
        <w:t>年三季度</w:t>
      </w:r>
      <w:proofErr w:type="gramStart"/>
      <w:r w:rsidRPr="00011E0A">
        <w:rPr>
          <w:rFonts w:ascii="Times New Roman" w:cs="Times New Roman"/>
        </w:rPr>
        <w:t>新私募股权基金</w:t>
      </w:r>
      <w:proofErr w:type="gramEnd"/>
      <w:r w:rsidRPr="00011E0A">
        <w:rPr>
          <w:rFonts w:ascii="Times New Roman" w:cs="Times New Roman"/>
        </w:rPr>
        <w:t>类型统计（按募资金额）</w:t>
      </w:r>
      <w:r w:rsidR="00751170" w:rsidRPr="00011E0A">
        <w:rPr>
          <w:rFonts w:ascii="Times New Roman" w:hAnsi="Times New Roman" w:cs="Times New Roman"/>
        </w:rPr>
        <w:t xml:space="preserve">                      </w:t>
      </w:r>
      <w:r w:rsidRPr="00011E0A">
        <w:rPr>
          <w:rFonts w:ascii="Times New Roman" w:hAnsi="Times New Roman" w:cs="Times New Roman"/>
        </w:rPr>
        <w:t xml:space="preserve">                16               </w:t>
      </w:r>
    </w:p>
    <w:p w:rsidR="00794FFF" w:rsidRPr="00011E0A" w:rsidRDefault="00794FFF"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28</w:t>
      </w:r>
      <w:r w:rsidRPr="00011E0A">
        <w:rPr>
          <w:rFonts w:ascii="Times New Roman" w:hAnsiTheme="minorEastAsia" w:cs="Times New Roman"/>
          <w:szCs w:val="21"/>
        </w:rPr>
        <w:t>：</w:t>
      </w:r>
      <w:r w:rsidRPr="00011E0A">
        <w:rPr>
          <w:rFonts w:ascii="Times New Roman" w:hAnsi="Times New Roman" w:cs="Times New Roman"/>
          <w:szCs w:val="21"/>
        </w:rPr>
        <w:t>Q1</w:t>
      </w:r>
      <w:proofErr w:type="gramStart"/>
      <w:r w:rsidRPr="00011E0A">
        <w:rPr>
          <w:rFonts w:ascii="Times New Roman" w:hAnsi="Times New Roman" w:cs="Times New Roman"/>
          <w:szCs w:val="21"/>
        </w:rPr>
        <w:t>’</w:t>
      </w:r>
      <w:proofErr w:type="gramEnd"/>
      <w:r w:rsidRPr="00011E0A">
        <w:rPr>
          <w:rFonts w:ascii="Times New Roman" w:hAnsi="Times New Roman" w:cs="Times New Roman"/>
          <w:szCs w:val="21"/>
        </w:rPr>
        <w:t>11-Q3</w:t>
      </w:r>
      <w:proofErr w:type="gramStart"/>
      <w:r w:rsidRPr="00011E0A">
        <w:rPr>
          <w:rFonts w:ascii="Times New Roman" w:hAnsi="Times New Roman" w:cs="Times New Roman"/>
          <w:szCs w:val="21"/>
        </w:rPr>
        <w:t>’</w:t>
      </w:r>
      <w:proofErr w:type="gramEnd"/>
      <w:r w:rsidRPr="00011E0A">
        <w:rPr>
          <w:rFonts w:ascii="Times New Roman" w:hAnsi="Times New Roman" w:cs="Times New Roman"/>
          <w:szCs w:val="21"/>
        </w:rPr>
        <w:t>13</w:t>
      </w:r>
      <w:r w:rsidRPr="00011E0A">
        <w:rPr>
          <w:rFonts w:ascii="Times New Roman" w:hAnsiTheme="minorEastAsia" w:cs="Times New Roman"/>
          <w:szCs w:val="21"/>
        </w:rPr>
        <w:t>中国私</w:t>
      </w:r>
      <w:proofErr w:type="gramStart"/>
      <w:r w:rsidRPr="00011E0A">
        <w:rPr>
          <w:rFonts w:ascii="Times New Roman" w:hAnsiTheme="minorEastAsia" w:cs="Times New Roman"/>
          <w:szCs w:val="21"/>
        </w:rPr>
        <w:t>募股权投资</w:t>
      </w:r>
      <w:proofErr w:type="gramEnd"/>
      <w:r w:rsidRPr="00011E0A">
        <w:rPr>
          <w:rFonts w:ascii="Times New Roman" w:hAnsiTheme="minorEastAsia" w:cs="Times New Roman"/>
          <w:szCs w:val="21"/>
        </w:rPr>
        <w:t>基金投资</w:t>
      </w:r>
      <w:proofErr w:type="gramStart"/>
      <w:r w:rsidRPr="00011E0A">
        <w:rPr>
          <w:rFonts w:ascii="Times New Roman" w:hAnsiTheme="minorEastAsia" w:cs="Times New Roman"/>
          <w:szCs w:val="21"/>
        </w:rPr>
        <w:t>总量环</w:t>
      </w:r>
      <w:proofErr w:type="gramEnd"/>
      <w:r w:rsidRPr="00011E0A">
        <w:rPr>
          <w:rFonts w:ascii="Times New Roman" w:hAnsiTheme="minorEastAsia" w:cs="Times New Roman"/>
          <w:szCs w:val="21"/>
        </w:rPr>
        <w:t>比比较</w:t>
      </w:r>
      <w:r w:rsidRPr="00011E0A">
        <w:rPr>
          <w:rFonts w:ascii="Times New Roman" w:hAnsi="Times New Roman" w:cs="Times New Roman"/>
          <w:szCs w:val="21"/>
        </w:rPr>
        <w:t xml:space="preserve">                                  </w:t>
      </w:r>
      <w:r w:rsidR="00011E0A">
        <w:rPr>
          <w:rFonts w:ascii="Times New Roman" w:hAnsi="Times New Roman" w:cs="Times New Roman" w:hint="eastAsia"/>
          <w:szCs w:val="21"/>
        </w:rPr>
        <w:t xml:space="preserve">  </w:t>
      </w:r>
      <w:r w:rsidRPr="00011E0A">
        <w:rPr>
          <w:rFonts w:ascii="Times New Roman" w:hAnsi="Times New Roman" w:cs="Times New Roman"/>
          <w:szCs w:val="21"/>
        </w:rPr>
        <w:t xml:space="preserve"> 17</w:t>
      </w:r>
    </w:p>
    <w:p w:rsidR="00794FFF" w:rsidRPr="00011E0A" w:rsidRDefault="00794FFF"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29</w:t>
      </w:r>
      <w:r w:rsidRPr="00011E0A">
        <w:rPr>
          <w:rFonts w:ascii="Times New Roman" w:hAnsiTheme="minorEastAsia" w:cs="Times New Roman"/>
          <w:szCs w:val="21"/>
        </w:rPr>
        <w:t>：</w:t>
      </w:r>
      <w:r w:rsidRPr="00011E0A">
        <w:rPr>
          <w:rFonts w:ascii="Times New Roman" w:hAnsi="Times New Roman" w:cs="Times New Roman"/>
          <w:szCs w:val="21"/>
        </w:rPr>
        <w:t>2013</w:t>
      </w:r>
      <w:r w:rsidRPr="00011E0A">
        <w:rPr>
          <w:rFonts w:ascii="Times New Roman" w:hAnsiTheme="minorEastAsia" w:cs="Times New Roman"/>
          <w:szCs w:val="21"/>
        </w:rPr>
        <w:t>年三季度中国私</w:t>
      </w:r>
      <w:proofErr w:type="gramStart"/>
      <w:r w:rsidRPr="00011E0A">
        <w:rPr>
          <w:rFonts w:ascii="Times New Roman" w:hAnsiTheme="minorEastAsia" w:cs="Times New Roman"/>
          <w:szCs w:val="21"/>
        </w:rPr>
        <w:t>募股权投资</w:t>
      </w:r>
      <w:proofErr w:type="gramEnd"/>
      <w:r w:rsidRPr="00011E0A">
        <w:rPr>
          <w:rFonts w:ascii="Times New Roman" w:hAnsiTheme="minorEastAsia" w:cs="Times New Roman"/>
          <w:szCs w:val="21"/>
        </w:rPr>
        <w:t>市场投资策略统计（按投资金额）</w:t>
      </w:r>
      <w:r w:rsidRPr="00011E0A">
        <w:rPr>
          <w:rFonts w:ascii="Times New Roman" w:hAnsi="Times New Roman" w:cs="Times New Roman"/>
          <w:szCs w:val="21"/>
        </w:rPr>
        <w:t xml:space="preserve">                           18</w:t>
      </w:r>
    </w:p>
    <w:p w:rsidR="00794FFF" w:rsidRPr="00011E0A" w:rsidRDefault="00794FFF"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30</w:t>
      </w:r>
      <w:r w:rsidRPr="00011E0A">
        <w:rPr>
          <w:rFonts w:ascii="Times New Roman" w:hAnsiTheme="minorEastAsia" w:cs="Times New Roman"/>
          <w:szCs w:val="21"/>
        </w:rPr>
        <w:t>：三季度</w:t>
      </w:r>
      <w:r w:rsidRPr="00011E0A">
        <w:rPr>
          <w:rFonts w:ascii="Times New Roman" w:hAnsi="Times New Roman" w:cs="Times New Roman"/>
          <w:szCs w:val="21"/>
        </w:rPr>
        <w:t>PE</w:t>
      </w:r>
      <w:r w:rsidRPr="00011E0A">
        <w:rPr>
          <w:rFonts w:ascii="Times New Roman" w:hAnsiTheme="minorEastAsia" w:cs="Times New Roman"/>
          <w:szCs w:val="21"/>
        </w:rPr>
        <w:t>市场行业投资分布（按案例数）</w:t>
      </w:r>
      <w:r w:rsidRPr="00011E0A">
        <w:rPr>
          <w:rFonts w:ascii="Times New Roman" w:hAnsi="Times New Roman" w:cs="Times New Roman"/>
          <w:szCs w:val="21"/>
        </w:rPr>
        <w:t xml:space="preserve">                                                19</w:t>
      </w:r>
    </w:p>
    <w:p w:rsidR="00794FFF" w:rsidRPr="00011E0A" w:rsidRDefault="00794FFF"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31</w:t>
      </w:r>
      <w:r w:rsidRPr="00011E0A">
        <w:rPr>
          <w:rFonts w:ascii="Times New Roman" w:hAnsiTheme="minorEastAsia" w:cs="Times New Roman"/>
          <w:szCs w:val="21"/>
        </w:rPr>
        <w:t>：三季度</w:t>
      </w:r>
      <w:r w:rsidRPr="00011E0A">
        <w:rPr>
          <w:rFonts w:ascii="Times New Roman" w:hAnsi="Times New Roman" w:cs="Times New Roman"/>
          <w:szCs w:val="21"/>
        </w:rPr>
        <w:t>PE</w:t>
      </w:r>
      <w:r w:rsidRPr="00011E0A">
        <w:rPr>
          <w:rFonts w:ascii="Times New Roman" w:hAnsiTheme="minorEastAsia" w:cs="Times New Roman"/>
          <w:szCs w:val="21"/>
        </w:rPr>
        <w:t>市场行业投资分布（按投资金额）</w:t>
      </w:r>
      <w:r w:rsidRPr="00011E0A">
        <w:rPr>
          <w:rFonts w:ascii="Times New Roman" w:hAnsi="Times New Roman" w:cs="Times New Roman"/>
          <w:szCs w:val="21"/>
        </w:rPr>
        <w:t xml:space="preserve">                                              19</w:t>
      </w:r>
    </w:p>
    <w:p w:rsidR="00794FFF" w:rsidRPr="00011E0A" w:rsidRDefault="00794FFF"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32:9</w:t>
      </w:r>
      <w:r w:rsidRPr="00011E0A">
        <w:rPr>
          <w:rFonts w:ascii="Times New Roman" w:hAnsiTheme="minorEastAsia" w:cs="Times New Roman"/>
          <w:szCs w:val="21"/>
        </w:rPr>
        <w:t>月商品房销售面积同比增长</w:t>
      </w:r>
      <w:r w:rsidRPr="00011E0A">
        <w:rPr>
          <w:rFonts w:ascii="Times New Roman" w:hAnsi="Times New Roman" w:cs="Times New Roman"/>
          <w:szCs w:val="21"/>
        </w:rPr>
        <w:t>22.81%</w:t>
      </w:r>
      <w:r w:rsidRPr="00011E0A">
        <w:rPr>
          <w:rFonts w:ascii="Times New Roman" w:hAnsiTheme="minorEastAsia" w:cs="Times New Roman"/>
          <w:szCs w:val="21"/>
        </w:rPr>
        <w:t>，环比增加</w:t>
      </w:r>
      <w:r w:rsidRPr="00011E0A">
        <w:rPr>
          <w:rFonts w:ascii="Times New Roman" w:hAnsi="Times New Roman" w:cs="Times New Roman"/>
          <w:szCs w:val="21"/>
        </w:rPr>
        <w:t>39.48%                                     20</w:t>
      </w:r>
    </w:p>
    <w:p w:rsidR="00794FFF" w:rsidRPr="00011E0A" w:rsidRDefault="00794FFF"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33</w:t>
      </w:r>
      <w:r w:rsidRPr="00011E0A">
        <w:rPr>
          <w:rFonts w:ascii="Times New Roman" w:hAnsiTheme="minorEastAsia" w:cs="Times New Roman"/>
          <w:szCs w:val="21"/>
        </w:rPr>
        <w:t>：</w:t>
      </w:r>
      <w:r w:rsidRPr="00011E0A">
        <w:rPr>
          <w:rFonts w:ascii="Times New Roman" w:hAnsi="Times New Roman" w:cs="Times New Roman"/>
          <w:szCs w:val="21"/>
        </w:rPr>
        <w:t>9</w:t>
      </w:r>
      <w:r w:rsidRPr="00011E0A">
        <w:rPr>
          <w:rFonts w:ascii="Times New Roman" w:hAnsiTheme="minorEastAsia" w:cs="Times New Roman"/>
          <w:szCs w:val="21"/>
        </w:rPr>
        <w:t>月商品房销售额同比增长</w:t>
      </w:r>
      <w:r w:rsidRPr="00011E0A">
        <w:rPr>
          <w:rFonts w:ascii="Times New Roman" w:hAnsi="Times New Roman" w:cs="Times New Roman"/>
          <w:szCs w:val="21"/>
        </w:rPr>
        <w:t>16.26%</w:t>
      </w:r>
      <w:r w:rsidRPr="00011E0A">
        <w:rPr>
          <w:rFonts w:ascii="Times New Roman" w:hAnsiTheme="minorEastAsia" w:cs="Times New Roman"/>
          <w:szCs w:val="21"/>
        </w:rPr>
        <w:t>，环比增加</w:t>
      </w:r>
      <w:r w:rsidRPr="00011E0A">
        <w:rPr>
          <w:rFonts w:ascii="Times New Roman" w:hAnsi="Times New Roman" w:cs="Times New Roman"/>
          <w:szCs w:val="21"/>
        </w:rPr>
        <w:t>0.04%                                       20</w:t>
      </w:r>
    </w:p>
    <w:p w:rsidR="00794FFF" w:rsidRPr="00011E0A" w:rsidRDefault="00794FFF"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34</w:t>
      </w:r>
      <w:r w:rsidRPr="00011E0A">
        <w:rPr>
          <w:rFonts w:ascii="Times New Roman" w:hAnsiTheme="minorEastAsia" w:cs="Times New Roman"/>
          <w:szCs w:val="21"/>
        </w:rPr>
        <w:t>：全国商品房销售均价同比上涨</w:t>
      </w:r>
      <w:r w:rsidRPr="00011E0A">
        <w:rPr>
          <w:rFonts w:ascii="Times New Roman" w:hAnsi="Times New Roman" w:cs="Times New Roman"/>
          <w:szCs w:val="21"/>
        </w:rPr>
        <w:t xml:space="preserve">                                                           21</w:t>
      </w:r>
    </w:p>
    <w:p w:rsidR="00794FFF" w:rsidRPr="00011E0A" w:rsidRDefault="00794FFF"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35</w:t>
      </w:r>
      <w:r w:rsidRPr="00011E0A">
        <w:rPr>
          <w:rFonts w:ascii="Times New Roman" w:hAnsiTheme="minorEastAsia" w:cs="Times New Roman"/>
          <w:szCs w:val="21"/>
        </w:rPr>
        <w:t>：</w:t>
      </w:r>
      <w:r w:rsidRPr="00011E0A">
        <w:rPr>
          <w:rFonts w:ascii="Times New Roman" w:hAnsi="Times New Roman" w:cs="Times New Roman"/>
          <w:szCs w:val="21"/>
        </w:rPr>
        <w:t>9</w:t>
      </w:r>
      <w:r w:rsidRPr="00011E0A">
        <w:rPr>
          <w:rFonts w:ascii="Times New Roman" w:hAnsiTheme="minorEastAsia" w:cs="Times New Roman"/>
          <w:szCs w:val="21"/>
        </w:rPr>
        <w:t>月全国房屋新开工面积同比上涨</w:t>
      </w:r>
      <w:r w:rsidRPr="00011E0A">
        <w:rPr>
          <w:rFonts w:ascii="Times New Roman" w:hAnsi="Times New Roman" w:cs="Times New Roman"/>
          <w:szCs w:val="21"/>
        </w:rPr>
        <w:t xml:space="preserve">                                                        21</w:t>
      </w:r>
    </w:p>
    <w:p w:rsidR="00794FFF" w:rsidRPr="00011E0A" w:rsidRDefault="00794FFF"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36</w:t>
      </w:r>
      <w:r w:rsidRPr="00011E0A">
        <w:rPr>
          <w:rFonts w:ascii="Times New Roman" w:hAnsiTheme="minorEastAsia" w:cs="Times New Roman"/>
          <w:szCs w:val="21"/>
        </w:rPr>
        <w:t>：</w:t>
      </w:r>
      <w:r w:rsidRPr="00011E0A">
        <w:rPr>
          <w:rFonts w:ascii="Times New Roman" w:hAnsi="Times New Roman" w:cs="Times New Roman"/>
          <w:szCs w:val="21"/>
        </w:rPr>
        <w:t>9</w:t>
      </w:r>
      <w:r w:rsidRPr="00011E0A">
        <w:rPr>
          <w:rFonts w:ascii="Times New Roman" w:hAnsiTheme="minorEastAsia" w:cs="Times New Roman"/>
          <w:szCs w:val="21"/>
        </w:rPr>
        <w:t>月全国房屋竣工面积同比上涨</w:t>
      </w:r>
      <w:r w:rsidRPr="00011E0A">
        <w:rPr>
          <w:rFonts w:ascii="Times New Roman" w:hAnsi="Times New Roman" w:cs="Times New Roman"/>
          <w:szCs w:val="21"/>
        </w:rPr>
        <w:t xml:space="preserve">                                                         21</w:t>
      </w:r>
    </w:p>
    <w:p w:rsidR="00794FFF" w:rsidRPr="00011E0A" w:rsidRDefault="00794FFF"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 xml:space="preserve"> 37</w:t>
      </w:r>
      <w:r w:rsidRPr="00011E0A">
        <w:rPr>
          <w:rFonts w:ascii="Times New Roman" w:hAnsiTheme="minorEastAsia" w:cs="Times New Roman"/>
          <w:szCs w:val="21"/>
        </w:rPr>
        <w:t>：</w:t>
      </w:r>
      <w:r w:rsidRPr="00011E0A">
        <w:rPr>
          <w:rFonts w:ascii="Times New Roman" w:hAnsi="Times New Roman" w:cs="Times New Roman"/>
          <w:szCs w:val="21"/>
        </w:rPr>
        <w:t xml:space="preserve"> </w:t>
      </w:r>
      <w:r w:rsidRPr="00011E0A">
        <w:rPr>
          <w:rFonts w:ascii="Times New Roman" w:hAnsiTheme="minorEastAsia" w:cs="Times New Roman"/>
          <w:szCs w:val="21"/>
        </w:rPr>
        <w:t>房地产开发投资额增速基本持平图</w:t>
      </w:r>
      <w:r w:rsidRPr="00011E0A">
        <w:rPr>
          <w:rFonts w:ascii="Times New Roman" w:hAnsi="Times New Roman" w:cs="Times New Roman"/>
          <w:szCs w:val="21"/>
        </w:rPr>
        <w:t xml:space="preserve">                                                     22</w:t>
      </w:r>
    </w:p>
    <w:p w:rsidR="00794FFF" w:rsidRPr="00011E0A" w:rsidRDefault="00794FFF"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 xml:space="preserve"> 38</w:t>
      </w:r>
      <w:r w:rsidRPr="00011E0A">
        <w:rPr>
          <w:rFonts w:ascii="Times New Roman" w:hAnsiTheme="minorEastAsia" w:cs="Times New Roman"/>
          <w:szCs w:val="21"/>
        </w:rPr>
        <w:t>：</w:t>
      </w:r>
      <w:r w:rsidRPr="00011E0A">
        <w:rPr>
          <w:rFonts w:ascii="Times New Roman" w:hAnsi="Times New Roman" w:cs="Times New Roman"/>
          <w:szCs w:val="21"/>
        </w:rPr>
        <w:t xml:space="preserve"> </w:t>
      </w:r>
      <w:r w:rsidRPr="00011E0A">
        <w:rPr>
          <w:rFonts w:ascii="Times New Roman" w:hAnsiTheme="minorEastAsia" w:cs="Times New Roman"/>
          <w:szCs w:val="21"/>
        </w:rPr>
        <w:t>住宅开发投资额增速与去年略有下降</w:t>
      </w:r>
      <w:r w:rsidRPr="00011E0A">
        <w:rPr>
          <w:rFonts w:ascii="Times New Roman" w:hAnsi="Times New Roman" w:cs="Times New Roman"/>
          <w:szCs w:val="21"/>
        </w:rPr>
        <w:t xml:space="preserve">                                                   22</w:t>
      </w:r>
    </w:p>
    <w:p w:rsidR="00794FFF" w:rsidRPr="00011E0A" w:rsidRDefault="00794FFF"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39</w:t>
      </w:r>
      <w:r w:rsidRPr="00011E0A">
        <w:rPr>
          <w:rFonts w:ascii="Times New Roman" w:hAnsiTheme="minorEastAsia" w:cs="Times New Roman"/>
          <w:szCs w:val="21"/>
        </w:rPr>
        <w:t>：大宗商品价格指数</w:t>
      </w:r>
      <w:r w:rsidRPr="00011E0A">
        <w:rPr>
          <w:rFonts w:ascii="Times New Roman" w:hAnsi="Times New Roman" w:cs="Times New Roman"/>
          <w:szCs w:val="21"/>
        </w:rPr>
        <w:t xml:space="preserve">                                                                     23</w:t>
      </w:r>
    </w:p>
    <w:p w:rsidR="00794FFF" w:rsidRPr="00011E0A" w:rsidRDefault="00794FFF"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40</w:t>
      </w:r>
      <w:r w:rsidRPr="00011E0A">
        <w:rPr>
          <w:rFonts w:ascii="Times New Roman" w:hAnsiTheme="minorEastAsia" w:cs="Times New Roman"/>
          <w:szCs w:val="21"/>
        </w:rPr>
        <w:t>：本季度各产品期货品种主力合约涨跌幅</w:t>
      </w:r>
      <w:r w:rsidRPr="00011E0A">
        <w:rPr>
          <w:rFonts w:ascii="Times New Roman" w:hAnsi="Times New Roman" w:cs="Times New Roman"/>
          <w:szCs w:val="21"/>
        </w:rPr>
        <w:t xml:space="preserve">                                                   23</w:t>
      </w:r>
    </w:p>
    <w:p w:rsidR="00794FFF" w:rsidRPr="00011E0A" w:rsidRDefault="00794FFF" w:rsidP="00011E0A">
      <w:pPr>
        <w:spacing w:line="360" w:lineRule="auto"/>
        <w:ind w:left="630" w:hangingChars="300" w:hanging="630"/>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41</w:t>
      </w:r>
      <w:r w:rsidRPr="00011E0A">
        <w:rPr>
          <w:rFonts w:ascii="Times New Roman" w:hAnsiTheme="minorEastAsia" w:cs="Times New Roman"/>
          <w:szCs w:val="21"/>
        </w:rPr>
        <w:t>：储蓄存款变动情况</w:t>
      </w:r>
      <w:r w:rsidRPr="00011E0A">
        <w:rPr>
          <w:rFonts w:ascii="Times New Roman" w:hAnsi="Times New Roman" w:cs="Times New Roman"/>
          <w:szCs w:val="21"/>
        </w:rPr>
        <w:t xml:space="preserve">                                                                     24</w:t>
      </w:r>
    </w:p>
    <w:p w:rsidR="00794FFF" w:rsidRPr="00011E0A" w:rsidRDefault="00794FFF"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42</w:t>
      </w:r>
      <w:r w:rsidRPr="00011E0A">
        <w:rPr>
          <w:rFonts w:ascii="Times New Roman" w:hAnsiTheme="minorEastAsia" w:cs="Times New Roman"/>
          <w:szCs w:val="21"/>
        </w:rPr>
        <w:t>：银行理财产品发行量和收益率变动图</w:t>
      </w:r>
      <w:r w:rsidRPr="00011E0A">
        <w:rPr>
          <w:rFonts w:ascii="Times New Roman" w:hAnsi="Times New Roman" w:cs="Times New Roman"/>
          <w:szCs w:val="21"/>
        </w:rPr>
        <w:t xml:space="preserve">                                                     25</w:t>
      </w:r>
    </w:p>
    <w:p w:rsidR="00794FFF" w:rsidRPr="00011E0A" w:rsidRDefault="00794FFF"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43</w:t>
      </w:r>
      <w:r w:rsidRPr="00011E0A">
        <w:rPr>
          <w:rFonts w:ascii="Times New Roman" w:hAnsiTheme="minorEastAsia" w:cs="Times New Roman"/>
          <w:szCs w:val="21"/>
        </w:rPr>
        <w:t>：银行类型</w:t>
      </w:r>
      <w:r w:rsidRPr="00011E0A">
        <w:rPr>
          <w:rFonts w:ascii="Times New Roman" w:hAnsi="Times New Roman" w:cs="Times New Roman"/>
          <w:szCs w:val="21"/>
        </w:rPr>
        <w:t>-</w:t>
      </w:r>
      <w:r w:rsidRPr="00011E0A">
        <w:rPr>
          <w:rFonts w:ascii="Times New Roman" w:hAnsiTheme="minorEastAsia" w:cs="Times New Roman"/>
          <w:szCs w:val="21"/>
        </w:rPr>
        <w:t>银行理财产品数量及收益率走势</w:t>
      </w:r>
      <w:r w:rsidRPr="00011E0A">
        <w:rPr>
          <w:rFonts w:ascii="Times New Roman" w:hAnsi="Times New Roman" w:cs="Times New Roman"/>
          <w:szCs w:val="21"/>
        </w:rPr>
        <w:t xml:space="preserve">                                                25</w:t>
      </w:r>
    </w:p>
    <w:p w:rsidR="00794FFF" w:rsidRPr="00011E0A" w:rsidRDefault="00794FFF" w:rsidP="00011E0A">
      <w:pPr>
        <w:spacing w:line="360" w:lineRule="auto"/>
        <w:jc w:val="left"/>
        <w:rPr>
          <w:rFonts w:ascii="Times New Roman" w:hAnsi="Times New Roman" w:cs="Times New Roman"/>
          <w:szCs w:val="21"/>
        </w:rPr>
      </w:pPr>
      <w:r w:rsidRPr="00011E0A">
        <w:rPr>
          <w:rFonts w:ascii="Times New Roman" w:hAnsiTheme="minorEastAsia" w:cs="Times New Roman"/>
          <w:szCs w:val="21"/>
        </w:rPr>
        <w:t>图</w:t>
      </w:r>
      <w:r w:rsidRPr="00011E0A">
        <w:rPr>
          <w:rFonts w:ascii="Times New Roman" w:hAnsi="Times New Roman" w:cs="Times New Roman"/>
          <w:szCs w:val="21"/>
        </w:rPr>
        <w:t xml:space="preserve"> 44</w:t>
      </w:r>
      <w:r w:rsidRPr="00011E0A">
        <w:rPr>
          <w:rFonts w:ascii="Times New Roman" w:hAnsiTheme="minorEastAsia" w:cs="Times New Roman"/>
          <w:szCs w:val="21"/>
        </w:rPr>
        <w:t>：</w:t>
      </w:r>
      <w:r w:rsidRPr="00011E0A">
        <w:rPr>
          <w:rFonts w:ascii="Times New Roman" w:hAnsi="Times New Roman" w:cs="Times New Roman"/>
          <w:szCs w:val="21"/>
        </w:rPr>
        <w:t xml:space="preserve"> </w:t>
      </w:r>
      <w:r w:rsidRPr="00011E0A">
        <w:rPr>
          <w:rFonts w:ascii="Times New Roman" w:hAnsiTheme="minorEastAsia" w:cs="Times New Roman"/>
          <w:szCs w:val="21"/>
        </w:rPr>
        <w:t>期限类型</w:t>
      </w:r>
      <w:r w:rsidRPr="00011E0A">
        <w:rPr>
          <w:rFonts w:ascii="Times New Roman" w:hAnsi="Times New Roman" w:cs="Times New Roman"/>
          <w:szCs w:val="21"/>
        </w:rPr>
        <w:t>-</w:t>
      </w:r>
      <w:r w:rsidRPr="00011E0A">
        <w:rPr>
          <w:rFonts w:ascii="Times New Roman" w:hAnsiTheme="minorEastAsia" w:cs="Times New Roman"/>
          <w:szCs w:val="21"/>
        </w:rPr>
        <w:t>银行理财产品数量及收益率走势</w:t>
      </w:r>
      <w:r w:rsidRPr="00011E0A">
        <w:rPr>
          <w:rFonts w:ascii="Times New Roman" w:hAnsi="Times New Roman" w:cs="Times New Roman"/>
          <w:szCs w:val="21"/>
        </w:rPr>
        <w:t xml:space="preserve">:                                          </w:t>
      </w:r>
      <w:r w:rsidR="00011E0A">
        <w:rPr>
          <w:rFonts w:ascii="Times New Roman" w:hAnsi="Times New Roman" w:cs="Times New Roman" w:hint="eastAsia"/>
          <w:szCs w:val="21"/>
        </w:rPr>
        <w:t xml:space="preserve"> </w:t>
      </w:r>
      <w:r w:rsidRPr="00011E0A">
        <w:rPr>
          <w:rFonts w:ascii="Times New Roman" w:hAnsi="Times New Roman" w:cs="Times New Roman"/>
          <w:szCs w:val="21"/>
        </w:rPr>
        <w:t xml:space="preserve">   26</w:t>
      </w:r>
    </w:p>
    <w:p w:rsidR="00794FFF" w:rsidRPr="00011E0A" w:rsidRDefault="00794FFF" w:rsidP="00011E0A">
      <w:pPr>
        <w:pStyle w:val="a8"/>
        <w:spacing w:line="360" w:lineRule="auto"/>
        <w:rPr>
          <w:rFonts w:ascii="Times New Roman" w:hAnsi="Times New Roman" w:cs="Times New Roman"/>
        </w:rPr>
      </w:pPr>
      <w:r w:rsidRPr="00011E0A">
        <w:rPr>
          <w:rFonts w:ascii="Times New Roman" w:cs="Times New Roman"/>
        </w:rPr>
        <w:t>表</w:t>
      </w:r>
      <w:r w:rsidRPr="00011E0A">
        <w:rPr>
          <w:rFonts w:ascii="Times New Roman" w:hAnsi="Times New Roman" w:cs="Times New Roman"/>
        </w:rPr>
        <w:t>1</w:t>
      </w:r>
      <w:r w:rsidRPr="00011E0A">
        <w:rPr>
          <w:rFonts w:ascii="Times New Roman" w:cs="Times New Roman"/>
        </w:rPr>
        <w:t>：</w:t>
      </w:r>
      <w:r w:rsidRPr="00011E0A">
        <w:rPr>
          <w:rFonts w:ascii="Times New Roman" w:hAnsi="Times New Roman" w:cs="Times New Roman"/>
        </w:rPr>
        <w:t xml:space="preserve"> PPI</w:t>
      </w:r>
      <w:r w:rsidRPr="00011E0A">
        <w:rPr>
          <w:rFonts w:ascii="Times New Roman" w:cs="Times New Roman"/>
        </w:rPr>
        <w:t>主要分项环比增速</w:t>
      </w:r>
      <w:r w:rsidR="00AB5FAC" w:rsidRPr="00011E0A">
        <w:rPr>
          <w:rFonts w:ascii="Times New Roman" w:hAnsi="Times New Roman" w:cs="Times New Roman"/>
        </w:rPr>
        <w:t xml:space="preserve">                                                              5</w:t>
      </w:r>
    </w:p>
    <w:p w:rsidR="00794FFF" w:rsidRPr="00011E0A" w:rsidRDefault="00794FFF" w:rsidP="00011E0A">
      <w:pPr>
        <w:pStyle w:val="a8"/>
        <w:spacing w:line="360" w:lineRule="auto"/>
        <w:rPr>
          <w:rFonts w:ascii="Times New Roman" w:hAnsi="Times New Roman" w:cs="Times New Roman"/>
        </w:rPr>
      </w:pPr>
      <w:r w:rsidRPr="00011E0A">
        <w:rPr>
          <w:rFonts w:ascii="Times New Roman" w:hAnsiTheme="minorEastAsia" w:cs="Times New Roman"/>
        </w:rPr>
        <w:t>表</w:t>
      </w:r>
      <w:r w:rsidRPr="00011E0A">
        <w:rPr>
          <w:rFonts w:ascii="Times New Roman" w:hAnsi="Times New Roman" w:cs="Times New Roman"/>
        </w:rPr>
        <w:t>2</w:t>
      </w:r>
      <w:r w:rsidRPr="00011E0A">
        <w:rPr>
          <w:rFonts w:ascii="Times New Roman" w:hAnsiTheme="minorEastAsia" w:cs="Times New Roman"/>
        </w:rPr>
        <w:t>：</w:t>
      </w:r>
      <w:r w:rsidRPr="00011E0A">
        <w:rPr>
          <w:rFonts w:ascii="Times New Roman" w:hAnsi="Times New Roman" w:cs="Times New Roman"/>
        </w:rPr>
        <w:t>9</w:t>
      </w:r>
      <w:r w:rsidRPr="00011E0A">
        <w:rPr>
          <w:rFonts w:ascii="Times New Roman" w:hAnsiTheme="minorEastAsia" w:cs="Times New Roman"/>
        </w:rPr>
        <w:t>月集合信托产品成立情况</w:t>
      </w:r>
      <w:r w:rsidR="00AB5FAC" w:rsidRPr="00011E0A">
        <w:rPr>
          <w:rFonts w:ascii="Times New Roman" w:hAnsi="Times New Roman" w:cs="Times New Roman"/>
        </w:rPr>
        <w:t xml:space="preserve">                                                          </w:t>
      </w:r>
      <w:r w:rsidRPr="00011E0A">
        <w:rPr>
          <w:rFonts w:ascii="Times New Roman" w:hAnsi="Times New Roman" w:cs="Times New Roman"/>
        </w:rPr>
        <w:t>11</w:t>
      </w:r>
    </w:p>
    <w:p w:rsidR="00794FFF" w:rsidRPr="00011E0A" w:rsidRDefault="00794FFF" w:rsidP="00011E0A">
      <w:pPr>
        <w:pStyle w:val="a8"/>
        <w:spacing w:line="360" w:lineRule="auto"/>
        <w:rPr>
          <w:rFonts w:ascii="Times New Roman" w:hAnsi="Times New Roman" w:cs="Times New Roman"/>
        </w:rPr>
      </w:pPr>
      <w:r w:rsidRPr="00011E0A">
        <w:rPr>
          <w:rFonts w:ascii="Times New Roman" w:cs="Times New Roman"/>
        </w:rPr>
        <w:t>表</w:t>
      </w:r>
      <w:r w:rsidRPr="00011E0A">
        <w:rPr>
          <w:rFonts w:ascii="Times New Roman" w:hAnsi="Times New Roman" w:cs="Times New Roman"/>
        </w:rPr>
        <w:t>3</w:t>
      </w:r>
      <w:r w:rsidRPr="00011E0A">
        <w:rPr>
          <w:rFonts w:ascii="Times New Roman" w:cs="Times New Roman"/>
        </w:rPr>
        <w:t>：货币型基金投资标的</w:t>
      </w:r>
      <w:r w:rsidR="00AB5FAC" w:rsidRPr="00011E0A">
        <w:rPr>
          <w:rFonts w:ascii="Times New Roman" w:hAnsi="Times New Roman" w:cs="Times New Roman"/>
        </w:rPr>
        <w:t xml:space="preserve">                                                                </w:t>
      </w:r>
      <w:r w:rsidRPr="00011E0A">
        <w:rPr>
          <w:rFonts w:ascii="Times New Roman" w:hAnsi="Times New Roman" w:cs="Times New Roman"/>
        </w:rPr>
        <w:t>26</w:t>
      </w:r>
    </w:p>
    <w:p w:rsidR="00794FFF" w:rsidRPr="00011E0A" w:rsidRDefault="00794FFF" w:rsidP="00011E0A">
      <w:pPr>
        <w:pStyle w:val="a8"/>
        <w:spacing w:line="360" w:lineRule="auto"/>
        <w:rPr>
          <w:rFonts w:ascii="Times New Roman" w:hAnsi="Times New Roman" w:cs="Times New Roman"/>
        </w:rPr>
      </w:pPr>
      <w:r w:rsidRPr="00011E0A">
        <w:rPr>
          <w:rFonts w:ascii="Times New Roman" w:cs="Times New Roman"/>
        </w:rPr>
        <w:t>表</w:t>
      </w:r>
      <w:r w:rsidRPr="00011E0A">
        <w:rPr>
          <w:rFonts w:ascii="Times New Roman" w:hAnsi="Times New Roman" w:cs="Times New Roman"/>
        </w:rPr>
        <w:t>4</w:t>
      </w:r>
      <w:r w:rsidRPr="00011E0A">
        <w:rPr>
          <w:rFonts w:ascii="Times New Roman" w:cs="Times New Roman"/>
        </w:rPr>
        <w:t>：</w:t>
      </w:r>
      <w:r w:rsidRPr="00011E0A">
        <w:rPr>
          <w:rFonts w:ascii="Times New Roman" w:hAnsi="Times New Roman" w:cs="Times New Roman"/>
        </w:rPr>
        <w:t>2013</w:t>
      </w:r>
      <w:r w:rsidRPr="00011E0A">
        <w:rPr>
          <w:rFonts w:ascii="Times New Roman" w:cs="Times New Roman"/>
        </w:rPr>
        <w:t>年第</w:t>
      </w:r>
      <w:r w:rsidR="00E22601">
        <w:rPr>
          <w:rFonts w:ascii="Times New Roman" w:cs="Times New Roman" w:hint="eastAsia"/>
        </w:rPr>
        <w:t>四</w:t>
      </w:r>
      <w:r w:rsidRPr="00011E0A">
        <w:rPr>
          <w:rFonts w:ascii="Times New Roman" w:cs="Times New Roman"/>
        </w:rPr>
        <w:t>季度资产配置建议表</w:t>
      </w:r>
      <w:r w:rsidRPr="00011E0A">
        <w:rPr>
          <w:rFonts w:ascii="Times New Roman" w:hAnsi="Times New Roman" w:cs="Times New Roman"/>
        </w:rPr>
        <w:t xml:space="preserve">  </w:t>
      </w:r>
      <w:r w:rsidR="00AB5FAC" w:rsidRPr="00011E0A">
        <w:rPr>
          <w:rFonts w:ascii="Times New Roman" w:hAnsi="Times New Roman" w:cs="Times New Roman"/>
        </w:rPr>
        <w:t xml:space="preserve">                                                    </w:t>
      </w:r>
      <w:r w:rsidRPr="00011E0A">
        <w:rPr>
          <w:rFonts w:ascii="Times New Roman" w:hAnsi="Times New Roman" w:cs="Times New Roman"/>
        </w:rPr>
        <w:t>31</w:t>
      </w:r>
    </w:p>
    <w:p w:rsidR="00751170" w:rsidRPr="00794FFF" w:rsidRDefault="00751170" w:rsidP="00751170">
      <w:pPr>
        <w:pStyle w:val="a7"/>
        <w:spacing w:line="360" w:lineRule="auto"/>
        <w:ind w:left="420" w:firstLineChars="0" w:firstLine="0"/>
        <w:rPr>
          <w:rFonts w:asciiTheme="minorEastAsia" w:hAnsiTheme="minorEastAsia"/>
          <w:b/>
          <w:sz w:val="24"/>
          <w:szCs w:val="24"/>
        </w:rPr>
      </w:pPr>
    </w:p>
    <w:p w:rsidR="00751170" w:rsidRDefault="00751170" w:rsidP="00751170">
      <w:pPr>
        <w:pStyle w:val="a7"/>
        <w:spacing w:line="360" w:lineRule="auto"/>
        <w:ind w:left="420" w:firstLineChars="0" w:firstLine="0"/>
        <w:rPr>
          <w:rFonts w:asciiTheme="minorEastAsia" w:hAnsiTheme="minorEastAsia"/>
          <w:b/>
          <w:sz w:val="24"/>
          <w:szCs w:val="24"/>
        </w:rPr>
      </w:pPr>
    </w:p>
    <w:p w:rsidR="00751170" w:rsidRDefault="00751170">
      <w:pPr>
        <w:widowControl/>
        <w:jc w:val="left"/>
        <w:rPr>
          <w:rFonts w:asciiTheme="minorEastAsia" w:hAnsiTheme="minorEastAsia"/>
          <w:b/>
          <w:sz w:val="24"/>
          <w:szCs w:val="24"/>
        </w:rPr>
      </w:pPr>
      <w:r>
        <w:rPr>
          <w:rFonts w:asciiTheme="minorEastAsia" w:hAnsiTheme="minorEastAsia"/>
          <w:b/>
          <w:sz w:val="24"/>
          <w:szCs w:val="24"/>
        </w:rPr>
        <w:br w:type="page"/>
      </w:r>
    </w:p>
    <w:p w:rsidR="00BE3F04" w:rsidRPr="00DA1378" w:rsidRDefault="00AA6E68" w:rsidP="00DA1378">
      <w:pPr>
        <w:pStyle w:val="a7"/>
        <w:numPr>
          <w:ilvl w:val="0"/>
          <w:numId w:val="7"/>
        </w:numPr>
        <w:spacing w:line="360" w:lineRule="auto"/>
        <w:ind w:firstLineChars="0"/>
        <w:rPr>
          <w:rFonts w:asciiTheme="minorEastAsia" w:hAnsiTheme="minorEastAsia"/>
          <w:b/>
          <w:sz w:val="24"/>
          <w:szCs w:val="24"/>
        </w:rPr>
      </w:pPr>
      <w:r w:rsidRPr="00AA6E68">
        <w:rPr>
          <w:noProof/>
        </w:rPr>
        <w:lastRenderedPageBreak/>
        <w:pict>
          <v:shape id="_x0000_s2094" type="#_x0000_t202" style="position:absolute;left:0;text-align:left;margin-left:261pt;margin-top:-54.15pt;width:228pt;height:38.4pt;z-index:251743232;mso-height-percent:200;mso-height-percent:200;mso-width-relative:margin;mso-height-relative:margin" filled="f" stroked="f">
            <v:textbox style="mso-next-textbox:#_x0000_s2094;mso-fit-shape-to-text:t">
              <w:txbxContent>
                <w:p w:rsidR="00832D5A" w:rsidRPr="00676CF6" w:rsidRDefault="00832D5A" w:rsidP="00FD7BD0">
                  <w:pPr>
                    <w:rPr>
                      <w:rFonts w:ascii="黑体" w:eastAsia="黑体" w:hAnsi="黑体"/>
                      <w:color w:val="7B2427"/>
                      <w:sz w:val="36"/>
                      <w:szCs w:val="36"/>
                    </w:rPr>
                  </w:pPr>
                  <w:r>
                    <w:rPr>
                      <w:rFonts w:ascii="黑体" w:eastAsia="黑体" w:hAnsi="黑体" w:hint="eastAsia"/>
                      <w:color w:val="7B2427"/>
                      <w:sz w:val="36"/>
                      <w:szCs w:val="36"/>
                    </w:rPr>
                    <w:t>研究报告</w:t>
                  </w:r>
                  <w:r w:rsidRPr="00676CF6">
                    <w:rPr>
                      <w:rFonts w:ascii="黑体" w:eastAsia="黑体" w:hAnsi="黑体" w:hint="eastAsia"/>
                      <w:color w:val="7B2427"/>
                      <w:sz w:val="36"/>
                      <w:szCs w:val="36"/>
                    </w:rPr>
                    <w:t>—</w:t>
                  </w:r>
                  <w:r>
                    <w:rPr>
                      <w:rFonts w:ascii="黑体" w:eastAsia="黑体" w:hAnsi="黑体" w:hint="eastAsia"/>
                      <w:color w:val="7B2427"/>
                      <w:sz w:val="36"/>
                      <w:szCs w:val="36"/>
                    </w:rPr>
                    <w:t>资产配置季报</w:t>
                  </w:r>
                </w:p>
              </w:txbxContent>
            </v:textbox>
          </v:shape>
        </w:pict>
      </w:r>
      <w:r w:rsidR="004F1718">
        <w:rPr>
          <w:rFonts w:asciiTheme="minorEastAsia" w:hAnsiTheme="minorEastAsia" w:hint="eastAsia"/>
          <w:b/>
          <w:noProof/>
          <w:sz w:val="24"/>
          <w:szCs w:val="24"/>
        </w:rPr>
        <w:drawing>
          <wp:anchor distT="0" distB="0" distL="114300" distR="114300" simplePos="0" relativeHeight="251813888" behindDoc="1" locked="0" layoutInCell="1" allowOverlap="1">
            <wp:simplePos x="0" y="0"/>
            <wp:positionH relativeFrom="column">
              <wp:posOffset>-674370</wp:posOffset>
            </wp:positionH>
            <wp:positionV relativeFrom="paragraph">
              <wp:posOffset>-1440180</wp:posOffset>
            </wp:positionV>
            <wp:extent cx="7581900" cy="10725150"/>
            <wp:effectExtent l="19050" t="0" r="0" b="0"/>
            <wp:wrapNone/>
            <wp:docPr id="47"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00EE73D9" w:rsidRPr="00DA1378">
        <w:rPr>
          <w:rFonts w:asciiTheme="minorEastAsia" w:hAnsiTheme="minorEastAsia" w:hint="eastAsia"/>
          <w:b/>
          <w:sz w:val="24"/>
          <w:szCs w:val="24"/>
        </w:rPr>
        <w:t>资产配置</w:t>
      </w:r>
      <w:r w:rsidR="005A5976">
        <w:rPr>
          <w:rFonts w:asciiTheme="minorEastAsia" w:hAnsiTheme="minorEastAsia" w:hint="eastAsia"/>
          <w:b/>
          <w:sz w:val="24"/>
          <w:szCs w:val="24"/>
        </w:rPr>
        <w:t>策略概述</w:t>
      </w:r>
    </w:p>
    <w:p w:rsidR="007910EB" w:rsidRDefault="008B65D6" w:rsidP="00D534AB">
      <w:pPr>
        <w:spacing w:line="360" w:lineRule="auto"/>
        <w:ind w:firstLineChars="200" w:firstLine="420"/>
        <w:jc w:val="left"/>
        <w:rPr>
          <w:rFonts w:asciiTheme="minorEastAsia" w:hAnsiTheme="minorEastAsia"/>
          <w:szCs w:val="21"/>
        </w:rPr>
      </w:pPr>
      <w:r>
        <w:rPr>
          <w:rFonts w:asciiTheme="minorEastAsia" w:hAnsiTheme="minorEastAsia" w:hint="eastAsia"/>
          <w:szCs w:val="21"/>
        </w:rPr>
        <w:t>资产配置是指投资者按照其自身情况和投资目标，将资金分配到不同种类资产之上（如：股票、债券、房地产或现金等），以便获得理想</w:t>
      </w:r>
      <w:r w:rsidR="00D66F0B">
        <w:rPr>
          <w:rFonts w:asciiTheme="minorEastAsia" w:hAnsiTheme="minorEastAsia" w:hint="eastAsia"/>
          <w:szCs w:val="21"/>
        </w:rPr>
        <w:t>收益，降低投资风险。资产配置作为一种常用的理财方式，其</w:t>
      </w:r>
      <w:r w:rsidR="00CE4EEA">
        <w:rPr>
          <w:rFonts w:asciiTheme="minorEastAsia" w:hAnsiTheme="minorEastAsia" w:hint="eastAsia"/>
          <w:szCs w:val="21"/>
        </w:rPr>
        <w:t>需要根据投资者自身投资计划及其可承受风险大小，配置资产组合，其投资范围较证券投资更为广泛。由于目前市场上没有一种具有绝对优势的单一资产，因此资产配置将成为财富管理的重要手段。投资者可将不同类型资产组合一起，单一资产之间的弱相关性和负相关性会抵消一部分风险，这使得资产组合的低风险高收益成为可能。</w:t>
      </w:r>
    </w:p>
    <w:p w:rsidR="00CE4EEA" w:rsidRDefault="00CE4EEA" w:rsidP="00EB2EB9">
      <w:pPr>
        <w:spacing w:line="360" w:lineRule="auto"/>
        <w:ind w:firstLine="420"/>
        <w:jc w:val="left"/>
        <w:rPr>
          <w:rFonts w:asciiTheme="minorEastAsia" w:hAnsiTheme="minorEastAsia"/>
          <w:szCs w:val="21"/>
        </w:rPr>
      </w:pPr>
      <w:r>
        <w:rPr>
          <w:rFonts w:asciiTheme="minorEastAsia" w:hAnsiTheme="minorEastAsia" w:hint="eastAsia"/>
          <w:szCs w:val="21"/>
        </w:rPr>
        <w:t>目前有关资产配置的理论有很多种，</w:t>
      </w:r>
      <w:r w:rsidR="00DF75F9">
        <w:rPr>
          <w:rFonts w:asciiTheme="minorEastAsia" w:hAnsiTheme="minorEastAsia" w:hint="eastAsia"/>
          <w:szCs w:val="21"/>
        </w:rPr>
        <w:t>如马克维茨的均值方差模型，VAR模型以及Black-</w:t>
      </w:r>
      <w:proofErr w:type="spellStart"/>
      <w:r w:rsidR="00DF75F9">
        <w:rPr>
          <w:rFonts w:asciiTheme="minorEastAsia" w:hAnsiTheme="minorEastAsia" w:hint="eastAsia"/>
          <w:szCs w:val="21"/>
        </w:rPr>
        <w:t>Litterman</w:t>
      </w:r>
      <w:proofErr w:type="spellEnd"/>
      <w:r w:rsidR="00DF75F9">
        <w:rPr>
          <w:rFonts w:asciiTheme="minorEastAsia" w:hAnsiTheme="minorEastAsia" w:hint="eastAsia"/>
          <w:szCs w:val="21"/>
        </w:rPr>
        <w:t>模型等，但从经验数据来看，最令人信服的还属经济周期理论。根据梅耶和温伯格的经济周期划分方法，我们可以将经济划分成衰退、复苏、通胀和滞胀四个阶段，不同经济阶段资产配置方法将有所差异。</w:t>
      </w:r>
      <w:r w:rsidR="006519A5">
        <w:rPr>
          <w:rFonts w:asciiTheme="minorEastAsia" w:hAnsiTheme="minorEastAsia" w:hint="eastAsia"/>
          <w:szCs w:val="21"/>
        </w:rPr>
        <w:t>假设</w:t>
      </w:r>
      <w:r w:rsidR="00737ACA">
        <w:rPr>
          <w:rFonts w:asciiTheme="minorEastAsia" w:hAnsiTheme="minorEastAsia" w:hint="eastAsia"/>
          <w:szCs w:val="21"/>
        </w:rPr>
        <w:t>金融市场目前可供选择资产只包括：大宗商品、债券、股票和现金四类，下面我们将对经济周期理论进行详细</w:t>
      </w:r>
      <w:r w:rsidR="00D534AB">
        <w:rPr>
          <w:rFonts w:asciiTheme="minorEastAsia" w:hAnsiTheme="minorEastAsia" w:hint="eastAsia"/>
          <w:szCs w:val="21"/>
        </w:rPr>
        <w:t>阐述</w:t>
      </w:r>
      <w:r w:rsidR="00737ACA">
        <w:rPr>
          <w:rFonts w:asciiTheme="minorEastAsia" w:hAnsiTheme="minorEastAsia" w:hint="eastAsia"/>
          <w:szCs w:val="21"/>
        </w:rPr>
        <w:t>。</w:t>
      </w:r>
    </w:p>
    <w:p w:rsidR="00737ACA" w:rsidRDefault="00737ACA" w:rsidP="00EB2EB9">
      <w:pPr>
        <w:spacing w:line="360" w:lineRule="auto"/>
        <w:ind w:firstLine="420"/>
        <w:jc w:val="left"/>
        <w:rPr>
          <w:rFonts w:asciiTheme="minorEastAsia" w:hAnsiTheme="minorEastAsia"/>
          <w:szCs w:val="21"/>
        </w:rPr>
      </w:pPr>
      <w:r>
        <w:rPr>
          <w:rFonts w:asciiTheme="minorEastAsia" w:hAnsiTheme="minorEastAsia" w:hint="eastAsia"/>
          <w:szCs w:val="21"/>
        </w:rPr>
        <w:t>在经济衰退阶段经济增长停滞，企业生产能力下降，大宗商品价格下降将引起通货紧缩，此时企业盈利微弱，实际收益率下降，股票价格相对于实体经济资产存在较大价值低估。出于宏观经济调控需求，此时中央银行会</w:t>
      </w:r>
      <w:proofErr w:type="gramStart"/>
      <w:r>
        <w:rPr>
          <w:rFonts w:asciiTheme="minorEastAsia" w:hAnsiTheme="minorEastAsia" w:hint="eastAsia"/>
          <w:szCs w:val="21"/>
        </w:rPr>
        <w:t>消减短期</w:t>
      </w:r>
      <w:proofErr w:type="gramEnd"/>
      <w:r>
        <w:rPr>
          <w:rFonts w:asciiTheme="minorEastAsia" w:hAnsiTheme="minorEastAsia" w:hint="eastAsia"/>
          <w:szCs w:val="21"/>
        </w:rPr>
        <w:t>利率，以刺激经济增长，这将导致收益率曲线急剧下行，此时债券</w:t>
      </w:r>
      <w:r w:rsidR="00B80B74">
        <w:rPr>
          <w:rFonts w:asciiTheme="minorEastAsia" w:hAnsiTheme="minorEastAsia" w:hint="eastAsia"/>
          <w:szCs w:val="21"/>
        </w:rPr>
        <w:t>是最佳投资选择，而股票市场则适合观望和少量加仓。</w:t>
      </w:r>
    </w:p>
    <w:p w:rsidR="00B80B74" w:rsidRDefault="00B80B74" w:rsidP="00EB2EB9">
      <w:pPr>
        <w:spacing w:line="360" w:lineRule="auto"/>
        <w:ind w:firstLine="420"/>
        <w:jc w:val="left"/>
        <w:rPr>
          <w:rFonts w:asciiTheme="minorEastAsia" w:hAnsiTheme="minorEastAsia"/>
          <w:szCs w:val="21"/>
        </w:rPr>
      </w:pPr>
      <w:r>
        <w:rPr>
          <w:rFonts w:asciiTheme="minorEastAsia" w:hAnsiTheme="minorEastAsia" w:hint="eastAsia"/>
          <w:szCs w:val="21"/>
        </w:rPr>
        <w:t>在经济复苏阶段，股票价格相对于实体经济资产仍然处于价值低估状态，但此时宽松的政策已经开始发挥作用，GDP增长率有所增加，经济处于潜在产能之上，但是此时的通胀率则继续下降，这是因为空置的生产能力还未耗尽，周期性的生产能力</w:t>
      </w:r>
      <w:proofErr w:type="gramStart"/>
      <w:r>
        <w:rPr>
          <w:rFonts w:asciiTheme="minorEastAsia" w:hAnsiTheme="minorEastAsia" w:hint="eastAsia"/>
          <w:szCs w:val="21"/>
        </w:rPr>
        <w:t>扩充</w:t>
      </w:r>
      <w:r w:rsidR="00406B95">
        <w:rPr>
          <w:rFonts w:asciiTheme="minorEastAsia" w:hAnsiTheme="minorEastAsia" w:hint="eastAsia"/>
          <w:szCs w:val="21"/>
        </w:rPr>
        <w:t>正</w:t>
      </w:r>
      <w:proofErr w:type="gramEnd"/>
      <w:r w:rsidR="00406B95">
        <w:rPr>
          <w:rFonts w:asciiTheme="minorEastAsia" w:hAnsiTheme="minorEastAsia" w:hint="eastAsia"/>
          <w:szCs w:val="21"/>
        </w:rPr>
        <w:t>逐渐增强，企业盈利大幅上升，债券收益率仍然处于低位，中央银行仍然保持着宽松的货币政策，此时是股权投资的“黄金时期”，股票是最佳投资产品，投资者可大量买入股票并持有。</w:t>
      </w:r>
    </w:p>
    <w:p w:rsidR="00406B95" w:rsidRDefault="00406B95" w:rsidP="00EB2EB9">
      <w:pPr>
        <w:spacing w:line="360" w:lineRule="auto"/>
        <w:ind w:firstLine="426"/>
        <w:jc w:val="left"/>
        <w:rPr>
          <w:rFonts w:asciiTheme="minorEastAsia" w:hAnsiTheme="minorEastAsia"/>
          <w:szCs w:val="21"/>
        </w:rPr>
      </w:pPr>
      <w:r>
        <w:rPr>
          <w:rFonts w:asciiTheme="minorEastAsia" w:hAnsiTheme="minorEastAsia" w:hint="eastAsia"/>
          <w:szCs w:val="21"/>
        </w:rPr>
        <w:t>在通货膨胀阶段，股票价格相对于实体经济处于价值高估状态，企业</w:t>
      </w:r>
      <w:r w:rsidR="00FC40AD">
        <w:rPr>
          <w:rFonts w:asciiTheme="minorEastAsia" w:hAnsiTheme="minorEastAsia" w:hint="eastAsia"/>
          <w:szCs w:val="21"/>
        </w:rPr>
        <w:t>生产能力增长幅度开始减慢，其将面临产能约束，通货膨胀开始抬头，处于宏观调控目的中央银行加息，以便将经济拉回到可持续增长路径上来，此时GDP增长率仍然处于潜在增长率之上，收益率曲线开始上行，且变得平缓，债券的市场表现将非常糟糕，股票的投资回报率将取决于较强的利润增长与估值评级不断下降的平衡，此时大宗商品将是投资者的最佳投资产品，而股票则应清仓卖出。、</w:t>
      </w:r>
    </w:p>
    <w:p w:rsidR="00FC40AD" w:rsidRDefault="00AA6E68" w:rsidP="00EB2EB9">
      <w:pPr>
        <w:spacing w:line="360" w:lineRule="auto"/>
        <w:ind w:firstLine="420"/>
        <w:jc w:val="left"/>
        <w:rPr>
          <w:rFonts w:asciiTheme="minorEastAsia" w:hAnsiTheme="minorEastAsia"/>
          <w:szCs w:val="21"/>
        </w:rPr>
      </w:pPr>
      <w:r>
        <w:rPr>
          <w:rFonts w:asciiTheme="minorEastAsia" w:hAnsiTheme="minorEastAsia"/>
          <w:noProof/>
          <w:szCs w:val="21"/>
        </w:rPr>
        <w:pict>
          <v:shape id="_x0000_s2064" type="#_x0000_t202" style="position:absolute;left:0;text-align:left;margin-left:214.5pt;margin-top:78.45pt;width:58.5pt;height:21pt;z-index:251714560" stroked="f">
            <v:textbox>
              <w:txbxContent>
                <w:p w:rsidR="00832D5A" w:rsidRDefault="00832D5A" w:rsidP="00453D44">
                  <w:pPr>
                    <w:jc w:val="center"/>
                  </w:pPr>
                  <w:r>
                    <w:rPr>
                      <w:rFonts w:hint="eastAsia"/>
                    </w:rPr>
                    <w:t>第</w:t>
                  </w:r>
                  <w:r>
                    <w:rPr>
                      <w:rFonts w:hint="eastAsia"/>
                    </w:rPr>
                    <w:t>1</w:t>
                  </w:r>
                  <w:r>
                    <w:rPr>
                      <w:rFonts w:hint="eastAsia"/>
                    </w:rPr>
                    <w:t>页</w:t>
                  </w:r>
                </w:p>
                <w:p w:rsidR="00832D5A" w:rsidRPr="00453D44" w:rsidRDefault="00832D5A" w:rsidP="00453D44"/>
              </w:txbxContent>
            </v:textbox>
          </v:shape>
        </w:pict>
      </w:r>
      <w:r w:rsidR="00FC40AD">
        <w:rPr>
          <w:rFonts w:asciiTheme="minorEastAsia" w:hAnsiTheme="minorEastAsia" w:hint="eastAsia"/>
          <w:szCs w:val="21"/>
        </w:rPr>
        <w:t>在经济滞胀阶段，股票价格相对于实体经济资产处于价格高估阶段，GDP增长率降到了潜在增长率之下，而通货膨胀却在持续上升，通常这种情况的部分原因是由于</w:t>
      </w:r>
      <w:r w:rsidR="00300A7D">
        <w:rPr>
          <w:rFonts w:asciiTheme="minorEastAsia" w:hAnsiTheme="minorEastAsia" w:hint="eastAsia"/>
          <w:szCs w:val="21"/>
        </w:rPr>
        <w:t>石油危机导致企业产能下滑，为了保持盈利，</w:t>
      </w:r>
      <w:r w:rsidR="00300A7D">
        <w:rPr>
          <w:rFonts w:asciiTheme="minorEastAsia" w:hAnsiTheme="minorEastAsia" w:hint="eastAsia"/>
          <w:szCs w:val="21"/>
        </w:rPr>
        <w:lastRenderedPageBreak/>
        <w:t>企业会提高产品价格，这将导致工资——价格的螺旋上涨，只有等通胀开始下降后，中央银行才能实行宽松的货币政策，这就限制了债券市场的回暖步伐，此时企业盈利将有所恶化，股票表现</w:t>
      </w:r>
      <w:r w:rsidR="0008479B">
        <w:rPr>
          <w:rFonts w:asciiTheme="minorEastAsia" w:hAnsiTheme="minorEastAsia" w:hint="eastAsia"/>
          <w:szCs w:val="21"/>
        </w:rPr>
        <w:t>比较糟糕，而现金则是投资者最佳选择产品，股票市场比较适合空仓等待。</w:t>
      </w:r>
    </w:p>
    <w:p w:rsidR="0008479B" w:rsidRDefault="004F1718" w:rsidP="00EB2EB9">
      <w:pPr>
        <w:spacing w:line="360" w:lineRule="auto"/>
        <w:ind w:firstLine="426"/>
        <w:jc w:val="left"/>
        <w:rPr>
          <w:rFonts w:asciiTheme="minorEastAsia" w:hAnsiTheme="minorEastAsia"/>
          <w:szCs w:val="21"/>
        </w:rPr>
      </w:pPr>
      <w:r w:rsidRPr="004F1718">
        <w:rPr>
          <w:rFonts w:asciiTheme="minorEastAsia" w:hAnsiTheme="minorEastAsia" w:hint="eastAsia"/>
          <w:noProof/>
          <w:szCs w:val="21"/>
        </w:rPr>
        <w:drawing>
          <wp:anchor distT="0" distB="0" distL="114300" distR="114300" simplePos="0" relativeHeight="251817984" behindDoc="1" locked="0" layoutInCell="1" allowOverlap="1">
            <wp:simplePos x="0" y="0"/>
            <wp:positionH relativeFrom="column">
              <wp:posOffset>-674370</wp:posOffset>
            </wp:positionH>
            <wp:positionV relativeFrom="paragraph">
              <wp:posOffset>-2331720</wp:posOffset>
            </wp:positionV>
            <wp:extent cx="7539990" cy="10715625"/>
            <wp:effectExtent l="19050" t="0" r="3810" b="0"/>
            <wp:wrapNone/>
            <wp:docPr id="91"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39990" cy="10715625"/>
                    </a:xfrm>
                    <a:prstGeom prst="rect">
                      <a:avLst/>
                    </a:prstGeom>
                  </pic:spPr>
                </pic:pic>
              </a:graphicData>
            </a:graphic>
          </wp:anchor>
        </w:drawing>
      </w:r>
      <w:r w:rsidR="00DA1378">
        <w:rPr>
          <w:rFonts w:asciiTheme="minorEastAsia" w:hAnsiTheme="minorEastAsia" w:hint="eastAsia"/>
          <w:noProof/>
          <w:szCs w:val="21"/>
        </w:rPr>
        <w:drawing>
          <wp:anchor distT="0" distB="0" distL="114300" distR="114300" simplePos="0" relativeHeight="251667456" behindDoc="1" locked="0" layoutInCell="1" allowOverlap="1">
            <wp:simplePos x="0" y="0"/>
            <wp:positionH relativeFrom="column">
              <wp:posOffset>-674370</wp:posOffset>
            </wp:positionH>
            <wp:positionV relativeFrom="paragraph">
              <wp:posOffset>-2331720</wp:posOffset>
            </wp:positionV>
            <wp:extent cx="7539990" cy="10715625"/>
            <wp:effectExtent l="19050" t="0" r="3810" b="0"/>
            <wp:wrapNone/>
            <wp:docPr id="13"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39990" cy="10715625"/>
                    </a:xfrm>
                    <a:prstGeom prst="rect">
                      <a:avLst/>
                    </a:prstGeom>
                  </pic:spPr>
                </pic:pic>
              </a:graphicData>
            </a:graphic>
          </wp:anchor>
        </w:drawing>
      </w:r>
      <w:r w:rsidR="00DA1378">
        <w:rPr>
          <w:rFonts w:asciiTheme="minorEastAsia" w:hAnsiTheme="minorEastAsia" w:hint="eastAsia"/>
          <w:noProof/>
          <w:szCs w:val="21"/>
        </w:rPr>
        <w:drawing>
          <wp:anchor distT="0" distB="0" distL="114300" distR="114300" simplePos="0" relativeHeight="251811840" behindDoc="1" locked="0" layoutInCell="1" allowOverlap="1">
            <wp:simplePos x="0" y="0"/>
            <wp:positionH relativeFrom="column">
              <wp:posOffset>2146797856</wp:posOffset>
            </wp:positionH>
            <wp:positionV relativeFrom="paragraph">
              <wp:posOffset>2145205276</wp:posOffset>
            </wp:positionV>
            <wp:extent cx="7581900" cy="10725150"/>
            <wp:effectExtent l="19050" t="0" r="0" b="0"/>
            <wp:wrapNone/>
            <wp:docPr id="46"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0008479B">
        <w:rPr>
          <w:rFonts w:asciiTheme="minorEastAsia" w:hAnsiTheme="minorEastAsia" w:hint="eastAsia"/>
          <w:szCs w:val="21"/>
        </w:rPr>
        <w:t>综上所述，经济发展</w:t>
      </w:r>
      <w:r w:rsidR="0013718C">
        <w:rPr>
          <w:rFonts w:asciiTheme="minorEastAsia" w:hAnsiTheme="minorEastAsia" w:hint="eastAsia"/>
          <w:szCs w:val="21"/>
        </w:rPr>
        <w:t>状况与资产配置息息相关，在经济衰退阶段债券是最佳选择，而在经济复苏阶段股票则适合大量买入，通货膨胀阶段大宗商品是最优投资产品，当经济处于滞胀阶段时，投资者</w:t>
      </w:r>
      <w:proofErr w:type="gramStart"/>
      <w:r w:rsidR="0013718C">
        <w:rPr>
          <w:rFonts w:asciiTheme="minorEastAsia" w:hAnsiTheme="minorEastAsia" w:hint="eastAsia"/>
          <w:szCs w:val="21"/>
        </w:rPr>
        <w:t>最</w:t>
      </w:r>
      <w:proofErr w:type="gramEnd"/>
      <w:r w:rsidR="0013718C">
        <w:rPr>
          <w:rFonts w:asciiTheme="minorEastAsia" w:hAnsiTheme="minorEastAsia" w:hint="eastAsia"/>
          <w:szCs w:val="21"/>
        </w:rPr>
        <w:t>宜持有现金类产品。</w:t>
      </w:r>
    </w:p>
    <w:p w:rsidR="00554C8B" w:rsidRDefault="00EB2EB9" w:rsidP="00954E53">
      <w:pPr>
        <w:spacing w:line="360" w:lineRule="auto"/>
        <w:jc w:val="center"/>
        <w:rPr>
          <w:rFonts w:asciiTheme="minorEastAsia" w:hAnsiTheme="minorEastAsia"/>
          <w:szCs w:val="21"/>
        </w:rPr>
      </w:pPr>
      <w:r>
        <w:rPr>
          <w:rFonts w:asciiTheme="minorEastAsia" w:hAnsiTheme="minorEastAsia" w:hint="eastAsia"/>
          <w:szCs w:val="21"/>
        </w:rPr>
        <w:t>图1：经济周期与资产配置原理图</w:t>
      </w:r>
    </w:p>
    <w:p w:rsidR="00554C8B" w:rsidRDefault="00AA6E68" w:rsidP="00EB2EB9">
      <w:pPr>
        <w:spacing w:line="360" w:lineRule="auto"/>
        <w:jc w:val="center"/>
        <w:rPr>
          <w:rFonts w:asciiTheme="minorEastAsia" w:hAnsiTheme="minorEastAsia"/>
          <w:szCs w:val="21"/>
        </w:rPr>
      </w:pPr>
      <w:r w:rsidRPr="00AA6E68">
        <w:rPr>
          <w:rFonts w:asciiTheme="minorEastAsia" w:hAnsiTheme="minorEastAsia"/>
          <w:noProof/>
          <w:sz w:val="20"/>
          <w:szCs w:val="20"/>
        </w:rPr>
        <w:pict>
          <v:group id="_x0000_s2050" style="position:absolute;left:0;text-align:left;margin-left:65.1pt;margin-top:6.9pt;width:318.15pt;height:267.45pt;z-index:251658240" coordorigin="2625,6015" coordsize="6735,639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2051" type="#_x0000_t105" style="position:absolute;left:4890;top:6630;width:2370;height:345" fillcolor="white [3201]" strokecolor="#8064a2 [3207]" strokeweight="1pt">
              <v:stroke dashstyle="dash"/>
              <v:shadow color="#868686"/>
            </v:shape>
            <v:shape id="_x0000_s2052" type="#_x0000_t105" style="position:absolute;left:7253;top:9090;width:2370;height:345;rotation:5701940fd" fillcolor="white [3201]" strokecolor="#f79646 [3209]" strokeweight="1pt">
              <v:stroke dashstyle="dash"/>
              <v:shadow color="#868686"/>
            </v:shape>
            <v:shape id="_x0000_s2053" type="#_x0000_t105" style="position:absolute;left:4590;top:11490;width:2370;height:345;rotation:180" fillcolor="white [3201]" strokecolor="#9bbb59 [3206]" strokeweight="1pt">
              <v:stroke dashstyle="dash"/>
              <v:shadow color="#868686"/>
            </v:shape>
            <v:shape id="_x0000_s2054" type="#_x0000_t105" style="position:absolute;left:2348;top:9000;width:2370;height:345;rotation:270" fillcolor="white [3201]" strokecolor="#c0504d [3205]" strokeweight="1pt">
              <v:stroke dashstyle="dash"/>
              <v:shadow color="#868686"/>
            </v:shape>
            <v:shape id="_x0000_s2055" type="#_x0000_t202" style="position:absolute;left:5208;top:6015;width:1650;height:480" fillcolor="#8064a2 [3207]" stroked="f" strokeweight="0">
              <v:fill color2="#5e4878 [2375]" focusposition=".5,.5" focussize="" focus="100%" type="gradientRadial"/>
              <v:shadow on="t" type="perspective" color="#3f3151 [1607]" offset="1pt" offset2="-3pt"/>
              <v:textbox style="mso-next-textbox:#_x0000_s2055">
                <w:txbxContent>
                  <w:p w:rsidR="00832D5A" w:rsidRPr="00374FDC" w:rsidRDefault="00832D5A" w:rsidP="00554C8B">
                    <w:pPr>
                      <w:rPr>
                        <w:b/>
                      </w:rPr>
                    </w:pPr>
                    <w:r w:rsidRPr="00374FDC">
                      <w:rPr>
                        <w:rFonts w:hint="eastAsia"/>
                        <w:b/>
                      </w:rPr>
                      <w:t>通货膨胀上升</w:t>
                    </w:r>
                  </w:p>
                </w:txbxContent>
              </v:textbox>
            </v:shape>
            <v:shape id="_x0000_s2056" type="#_x0000_t202" style="position:absolute;left:5073;top:11925;width:1650;height:480" fillcolor="#9bbb59 [3206]" stroked="f" strokeweight="0">
              <v:fill color2="#74903b [2374]" focusposition=".5,.5" focussize="" focus="100%" type="gradientRadial"/>
              <v:shadow on="t" type="perspective" color="#4e6128 [1606]" offset="1pt" offset2="-3pt"/>
              <v:textbox style="mso-next-textbox:#_x0000_s2056">
                <w:txbxContent>
                  <w:p w:rsidR="00832D5A" w:rsidRPr="00374FDC" w:rsidRDefault="00832D5A" w:rsidP="00554C8B">
                    <w:pPr>
                      <w:rPr>
                        <w:b/>
                      </w:rPr>
                    </w:pPr>
                    <w:r w:rsidRPr="00374FDC">
                      <w:rPr>
                        <w:rFonts w:hint="eastAsia"/>
                        <w:b/>
                      </w:rPr>
                      <w:t>通货膨胀下降</w:t>
                    </w:r>
                  </w:p>
                </w:txbxContent>
              </v:textbox>
            </v:shape>
            <v:shape id="_x0000_s2057" type="#_x0000_t202" style="position:absolute;left:2625;top:8445;width:612;height:1515" fillcolor="#c0504d [3205]" stroked="f" strokeweight="0">
              <v:fill color2="#923633 [2373]" focusposition=".5,.5" focussize="" focus="100%" type="gradientRadial"/>
              <v:shadow on="t" type="perspective" color="#622423 [1605]" offset="1pt" offset2="-3pt"/>
              <v:textbox style="layout-flow:vertical-ideographic;mso-next-textbox:#_x0000_s2057">
                <w:txbxContent>
                  <w:p w:rsidR="00832D5A" w:rsidRPr="00374FDC" w:rsidRDefault="00832D5A" w:rsidP="00554C8B">
                    <w:pPr>
                      <w:jc w:val="center"/>
                      <w:rPr>
                        <w:b/>
                      </w:rPr>
                    </w:pPr>
                    <w:r w:rsidRPr="00374FDC">
                      <w:rPr>
                        <w:rFonts w:hint="eastAsia"/>
                        <w:b/>
                      </w:rPr>
                      <w:t>经济复苏</w:t>
                    </w:r>
                  </w:p>
                </w:txbxContent>
              </v:textbox>
            </v:shape>
            <v:shape id="_x0000_s2058" type="#_x0000_t202" style="position:absolute;left:8748;top:8445;width:612;height:1515" fillcolor="#f79646 [3209]" stroked="f" strokeweight="0">
              <v:fill color2="#df6a09 [2377]" focusposition=".5,.5" focussize="" focus="100%" type="gradientRadial"/>
              <v:shadow on="t" type="perspective" color="#974706 [1609]" offset="1pt" offset2="-3pt"/>
              <v:textbox style="layout-flow:vertical-ideographic;mso-next-textbox:#_x0000_s2058">
                <w:txbxContent>
                  <w:p w:rsidR="00832D5A" w:rsidRPr="00374FDC" w:rsidRDefault="00832D5A" w:rsidP="00554C8B">
                    <w:pPr>
                      <w:jc w:val="center"/>
                      <w:rPr>
                        <w:b/>
                      </w:rPr>
                    </w:pPr>
                    <w:r>
                      <w:rPr>
                        <w:rFonts w:hint="eastAsia"/>
                        <w:b/>
                      </w:rPr>
                      <w:t>经济衰退</w:t>
                    </w:r>
                  </w:p>
                </w:txbxContent>
              </v:textbox>
            </v:shape>
          </v:group>
        </w:pict>
      </w:r>
    </w:p>
    <w:p w:rsidR="00EB2EB9" w:rsidRPr="00554C8B" w:rsidRDefault="00EB2EB9" w:rsidP="00EB2EB9">
      <w:pPr>
        <w:spacing w:line="360" w:lineRule="auto"/>
        <w:jc w:val="center"/>
        <w:rPr>
          <w:rFonts w:asciiTheme="minorEastAsia" w:hAnsiTheme="minorEastAsia"/>
          <w:szCs w:val="21"/>
        </w:rPr>
      </w:pPr>
    </w:p>
    <w:p w:rsidR="00EE73D9" w:rsidRPr="00EB2EB9" w:rsidRDefault="00554C8B" w:rsidP="00EB2EB9">
      <w:pPr>
        <w:spacing w:line="360" w:lineRule="auto"/>
        <w:jc w:val="left"/>
        <w:rPr>
          <w:rFonts w:asciiTheme="minorEastAsia" w:hAnsiTheme="minorEastAsia"/>
          <w:sz w:val="20"/>
          <w:szCs w:val="20"/>
        </w:rPr>
      </w:pPr>
      <w:r w:rsidRPr="00554C8B">
        <w:rPr>
          <w:rFonts w:asciiTheme="minorEastAsia" w:hAnsiTheme="minorEastAsia" w:hint="eastAsia"/>
          <w:noProof/>
          <w:sz w:val="20"/>
          <w:szCs w:val="20"/>
        </w:rPr>
        <w:drawing>
          <wp:inline distT="0" distB="0" distL="0" distR="0">
            <wp:extent cx="5762625" cy="2362200"/>
            <wp:effectExtent l="0" t="0" r="0" b="0"/>
            <wp:docPr id="9" name="图示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52208" w:rsidRDefault="00952208" w:rsidP="00EE73D9">
      <w:pPr>
        <w:spacing w:line="360" w:lineRule="auto"/>
        <w:jc w:val="left"/>
        <w:rPr>
          <w:rFonts w:asciiTheme="minorEastAsia" w:hAnsiTheme="minorEastAsia"/>
          <w:sz w:val="20"/>
          <w:szCs w:val="20"/>
        </w:rPr>
      </w:pPr>
    </w:p>
    <w:p w:rsidR="00EE555D" w:rsidRPr="00926246" w:rsidRDefault="00EE555D" w:rsidP="00EE73D9">
      <w:pPr>
        <w:spacing w:line="360" w:lineRule="auto"/>
        <w:jc w:val="left"/>
        <w:rPr>
          <w:rFonts w:asciiTheme="minorEastAsia" w:hAnsiTheme="minorEastAsia"/>
          <w:sz w:val="20"/>
          <w:szCs w:val="20"/>
        </w:rPr>
      </w:pPr>
    </w:p>
    <w:p w:rsidR="00BE3F04" w:rsidRDefault="00203957" w:rsidP="00BE3F04">
      <w:pPr>
        <w:pStyle w:val="a7"/>
        <w:numPr>
          <w:ilvl w:val="0"/>
          <w:numId w:val="7"/>
        </w:numPr>
        <w:spacing w:line="360" w:lineRule="auto"/>
        <w:ind w:firstLineChars="0"/>
        <w:rPr>
          <w:rFonts w:asciiTheme="minorEastAsia" w:hAnsiTheme="minorEastAsia"/>
          <w:b/>
          <w:sz w:val="24"/>
          <w:szCs w:val="24"/>
        </w:rPr>
      </w:pPr>
      <w:r>
        <w:rPr>
          <w:rFonts w:asciiTheme="minorEastAsia" w:hAnsiTheme="minorEastAsia" w:hint="eastAsia"/>
          <w:b/>
          <w:sz w:val="24"/>
          <w:szCs w:val="24"/>
        </w:rPr>
        <w:t>宏观经济</w:t>
      </w:r>
      <w:r w:rsidR="005A5976">
        <w:rPr>
          <w:rFonts w:asciiTheme="minorEastAsia" w:hAnsiTheme="minorEastAsia" w:hint="eastAsia"/>
          <w:b/>
          <w:sz w:val="24"/>
          <w:szCs w:val="24"/>
        </w:rPr>
        <w:t>：复苏持续，</w:t>
      </w:r>
      <w:r w:rsidR="00D30D0E">
        <w:rPr>
          <w:rFonts w:asciiTheme="minorEastAsia" w:hAnsiTheme="minorEastAsia" w:hint="eastAsia"/>
          <w:b/>
          <w:sz w:val="24"/>
          <w:szCs w:val="24"/>
        </w:rPr>
        <w:t>力度有限</w:t>
      </w:r>
    </w:p>
    <w:p w:rsidR="004F1718" w:rsidRDefault="004F1718" w:rsidP="004F1718">
      <w:pPr>
        <w:spacing w:line="360" w:lineRule="auto"/>
        <w:ind w:firstLine="420"/>
        <w:rPr>
          <w:szCs w:val="21"/>
        </w:rPr>
      </w:pPr>
      <w:r w:rsidRPr="0097481C">
        <w:rPr>
          <w:rFonts w:hint="eastAsia"/>
          <w:szCs w:val="21"/>
        </w:rPr>
        <w:t>10</w:t>
      </w:r>
      <w:r w:rsidRPr="0097481C">
        <w:rPr>
          <w:rFonts w:hint="eastAsia"/>
          <w:szCs w:val="21"/>
        </w:rPr>
        <w:t>月</w:t>
      </w:r>
      <w:r w:rsidRPr="0097481C">
        <w:rPr>
          <w:rFonts w:hint="eastAsia"/>
          <w:szCs w:val="21"/>
        </w:rPr>
        <w:t>1</w:t>
      </w:r>
      <w:r w:rsidRPr="0097481C">
        <w:rPr>
          <w:rFonts w:hint="eastAsia"/>
          <w:szCs w:val="21"/>
        </w:rPr>
        <w:t>日公布的</w:t>
      </w:r>
      <w:r w:rsidRPr="0097481C">
        <w:rPr>
          <w:rFonts w:hint="eastAsia"/>
          <w:szCs w:val="21"/>
        </w:rPr>
        <w:t>9</w:t>
      </w:r>
      <w:r w:rsidRPr="0097481C">
        <w:rPr>
          <w:rFonts w:hint="eastAsia"/>
          <w:szCs w:val="21"/>
        </w:rPr>
        <w:t>月中国制造业采购经理指数（</w:t>
      </w:r>
      <w:r w:rsidRPr="0097481C">
        <w:rPr>
          <w:rFonts w:hint="eastAsia"/>
          <w:szCs w:val="21"/>
        </w:rPr>
        <w:t>PMI</w:t>
      </w:r>
      <w:r w:rsidRPr="0097481C">
        <w:rPr>
          <w:rFonts w:hint="eastAsia"/>
          <w:szCs w:val="21"/>
        </w:rPr>
        <w:t>）为</w:t>
      </w:r>
      <w:r w:rsidRPr="0097481C">
        <w:rPr>
          <w:rFonts w:hint="eastAsia"/>
          <w:szCs w:val="21"/>
        </w:rPr>
        <w:t xml:space="preserve"> 51.1%</w:t>
      </w:r>
      <w:r w:rsidRPr="0097481C">
        <w:rPr>
          <w:rFonts w:hint="eastAsia"/>
          <w:szCs w:val="21"/>
        </w:rPr>
        <w:t>，比</w:t>
      </w:r>
      <w:r w:rsidRPr="0097481C">
        <w:rPr>
          <w:rFonts w:hint="eastAsia"/>
          <w:szCs w:val="21"/>
        </w:rPr>
        <w:t xml:space="preserve"> 8 </w:t>
      </w:r>
      <w:r w:rsidRPr="0097481C">
        <w:rPr>
          <w:rFonts w:hint="eastAsia"/>
          <w:szCs w:val="21"/>
        </w:rPr>
        <w:t>月份微升</w:t>
      </w:r>
      <w:r w:rsidRPr="0097481C">
        <w:rPr>
          <w:rFonts w:hint="eastAsia"/>
          <w:szCs w:val="21"/>
        </w:rPr>
        <w:t xml:space="preserve"> 0.1 </w:t>
      </w:r>
      <w:proofErr w:type="gramStart"/>
      <w:r>
        <w:rPr>
          <w:rFonts w:hint="eastAsia"/>
          <w:szCs w:val="21"/>
        </w:rPr>
        <w:t>个</w:t>
      </w:r>
      <w:proofErr w:type="gramEnd"/>
      <w:r>
        <w:rPr>
          <w:rFonts w:hint="eastAsia"/>
          <w:szCs w:val="21"/>
        </w:rPr>
        <w:t>百分点，继续创出年内新高，显示</w:t>
      </w:r>
      <w:r w:rsidRPr="0097481C">
        <w:rPr>
          <w:rFonts w:hint="eastAsia"/>
          <w:szCs w:val="21"/>
        </w:rPr>
        <w:t>我国制造业经济复苏态势明显，经济企稳态势更加明确。</w:t>
      </w:r>
      <w:r w:rsidRPr="00360BB2">
        <w:rPr>
          <w:rFonts w:hint="eastAsia"/>
        </w:rPr>
        <w:t>从分项来看，</w:t>
      </w:r>
      <w:r w:rsidRPr="00360BB2">
        <w:rPr>
          <w:rFonts w:hint="eastAsia"/>
        </w:rPr>
        <w:t xml:space="preserve">PMI </w:t>
      </w:r>
      <w:r w:rsidRPr="00360BB2">
        <w:rPr>
          <w:rFonts w:hint="eastAsia"/>
        </w:rPr>
        <w:t>指数的继续回暖主要来源于需求端的继续好转。新订单指数为</w:t>
      </w:r>
      <w:r w:rsidRPr="00360BB2">
        <w:rPr>
          <w:rFonts w:hint="eastAsia"/>
        </w:rPr>
        <w:t>52.8%</w:t>
      </w:r>
      <w:r w:rsidRPr="00360BB2">
        <w:rPr>
          <w:rFonts w:hint="eastAsia"/>
        </w:rPr>
        <w:t>，比</w:t>
      </w:r>
      <w:r>
        <w:rPr>
          <w:rFonts w:hint="eastAsia"/>
        </w:rPr>
        <w:t>8</w:t>
      </w:r>
      <w:r w:rsidRPr="00360BB2">
        <w:rPr>
          <w:rFonts w:hint="eastAsia"/>
        </w:rPr>
        <w:t>月份上升</w:t>
      </w:r>
      <w:r w:rsidRPr="00360BB2">
        <w:rPr>
          <w:rFonts w:hint="eastAsia"/>
        </w:rPr>
        <w:t>0.4</w:t>
      </w:r>
      <w:r w:rsidRPr="00360BB2">
        <w:rPr>
          <w:rFonts w:hint="eastAsia"/>
        </w:rPr>
        <w:t>个百分点，创出</w:t>
      </w:r>
      <w:r w:rsidRPr="00360BB2">
        <w:rPr>
          <w:rFonts w:hint="eastAsia"/>
        </w:rPr>
        <w:t>17</w:t>
      </w:r>
      <w:r w:rsidRPr="00360BB2">
        <w:rPr>
          <w:rFonts w:hint="eastAsia"/>
        </w:rPr>
        <w:t>个月新高，</w:t>
      </w:r>
      <w:r w:rsidRPr="00360BB2">
        <w:rPr>
          <w:rFonts w:hint="eastAsia"/>
        </w:rPr>
        <w:t xml:space="preserve"> </w:t>
      </w:r>
      <w:r w:rsidRPr="00360BB2">
        <w:rPr>
          <w:rFonts w:hint="eastAsia"/>
        </w:rPr>
        <w:t>同时生产指数也继续出现回升，达到</w:t>
      </w:r>
      <w:r w:rsidRPr="00360BB2">
        <w:rPr>
          <w:rFonts w:hint="eastAsia"/>
        </w:rPr>
        <w:t>52.9%</w:t>
      </w:r>
      <w:r>
        <w:rPr>
          <w:rFonts w:hint="eastAsia"/>
        </w:rPr>
        <w:t>。然而</w:t>
      </w:r>
      <w:r w:rsidRPr="00360BB2">
        <w:rPr>
          <w:rFonts w:hint="eastAsia"/>
        </w:rPr>
        <w:t>原材料库存回升</w:t>
      </w:r>
      <w:r>
        <w:rPr>
          <w:rFonts w:hint="eastAsia"/>
        </w:rPr>
        <w:t>的同时，产成品库存和从业人员并</w:t>
      </w:r>
      <w:r w:rsidRPr="00360BB2">
        <w:rPr>
          <w:rFonts w:hint="eastAsia"/>
        </w:rPr>
        <w:t>没有相应回升，而是继续下降；这说明了目前虽然需求有所回升，但制造业整体上仍处于去库存阶段，企业在面对这轮经济复苏时更多的持着谨慎的态度</w:t>
      </w:r>
      <w:r>
        <w:rPr>
          <w:rFonts w:hint="eastAsia"/>
          <w:szCs w:val="21"/>
        </w:rPr>
        <w:t>。</w:t>
      </w:r>
    </w:p>
    <w:p w:rsidR="004F1718" w:rsidRDefault="004F1718" w:rsidP="004F1718">
      <w:pPr>
        <w:spacing w:line="360" w:lineRule="auto"/>
        <w:ind w:firstLine="420"/>
        <w:rPr>
          <w:szCs w:val="21"/>
        </w:rPr>
      </w:pPr>
    </w:p>
    <w:p w:rsidR="004F1718" w:rsidRDefault="00AA6E68" w:rsidP="004F1718">
      <w:pPr>
        <w:spacing w:line="360" w:lineRule="auto"/>
        <w:ind w:firstLine="420"/>
        <w:rPr>
          <w:szCs w:val="21"/>
        </w:rPr>
      </w:pPr>
      <w:r w:rsidRPr="00AA6E68">
        <w:rPr>
          <w:rFonts w:asciiTheme="minorEastAsia" w:hAnsiTheme="minorEastAsia"/>
          <w:noProof/>
          <w:szCs w:val="21"/>
        </w:rPr>
        <w:pict>
          <v:shape id="_x0000_s2116" type="#_x0000_t202" style="position:absolute;left:0;text-align:left;margin-left:225.55pt;margin-top:56.55pt;width:58.5pt;height:21pt;z-index:251882496" stroked="f">
            <v:textbox>
              <w:txbxContent>
                <w:p w:rsidR="00832D5A" w:rsidRDefault="00832D5A" w:rsidP="00453D44">
                  <w:pPr>
                    <w:jc w:val="center"/>
                  </w:pPr>
                  <w:r>
                    <w:rPr>
                      <w:rFonts w:hint="eastAsia"/>
                    </w:rPr>
                    <w:t>第</w:t>
                  </w:r>
                  <w:r>
                    <w:rPr>
                      <w:rFonts w:hint="eastAsia"/>
                    </w:rPr>
                    <w:t>2</w:t>
                  </w:r>
                  <w:r>
                    <w:rPr>
                      <w:rFonts w:hint="eastAsia"/>
                    </w:rPr>
                    <w:t>页</w:t>
                  </w:r>
                  <w:r>
                    <w:rPr>
                      <w:rFonts w:hint="eastAsia"/>
                      <w:noProof/>
                    </w:rPr>
                    <w:drawing>
                      <wp:inline distT="0" distB="0" distL="0" distR="0">
                        <wp:extent cx="560070" cy="201051"/>
                        <wp:effectExtent l="19050" t="0" r="0" b="0"/>
                        <wp:docPr id="1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60070" cy="201051"/>
                                </a:xfrm>
                                <a:prstGeom prst="rect">
                                  <a:avLst/>
                                </a:prstGeom>
                                <a:noFill/>
                                <a:ln w="9525">
                                  <a:noFill/>
                                  <a:miter lim="800000"/>
                                  <a:headEnd/>
                                  <a:tailEnd/>
                                </a:ln>
                              </pic:spPr>
                            </pic:pic>
                          </a:graphicData>
                        </a:graphic>
                      </wp:inline>
                    </w:drawing>
                  </w:r>
                  <w:r>
                    <w:rPr>
                      <w:rFonts w:hint="eastAsia"/>
                    </w:rPr>
                    <w:t>页</w:t>
                  </w:r>
                </w:p>
                <w:p w:rsidR="00832D5A" w:rsidRPr="00453D44" w:rsidRDefault="00832D5A" w:rsidP="00453D44"/>
              </w:txbxContent>
            </v:textbox>
          </v:shape>
        </w:pict>
      </w:r>
    </w:p>
    <w:p w:rsidR="004F1718" w:rsidRDefault="00453D44" w:rsidP="004F1718">
      <w:pPr>
        <w:spacing w:line="360" w:lineRule="auto"/>
        <w:ind w:firstLine="420"/>
        <w:jc w:val="center"/>
        <w:rPr>
          <w:szCs w:val="21"/>
        </w:rPr>
      </w:pPr>
      <w:r w:rsidRPr="00453D44">
        <w:rPr>
          <w:rFonts w:hint="eastAsia"/>
          <w:noProof/>
          <w:szCs w:val="21"/>
        </w:rPr>
        <w:lastRenderedPageBreak/>
        <w:drawing>
          <wp:anchor distT="0" distB="0" distL="114300" distR="114300" simplePos="0" relativeHeight="251884544" behindDoc="1" locked="0" layoutInCell="1" allowOverlap="1">
            <wp:simplePos x="0" y="0"/>
            <wp:positionH relativeFrom="column">
              <wp:posOffset>-674370</wp:posOffset>
            </wp:positionH>
            <wp:positionV relativeFrom="paragraph">
              <wp:posOffset>-1440180</wp:posOffset>
            </wp:positionV>
            <wp:extent cx="7539990" cy="10715625"/>
            <wp:effectExtent l="19050" t="0" r="3810" b="0"/>
            <wp:wrapNone/>
            <wp:docPr id="130"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39990" cy="10715625"/>
                    </a:xfrm>
                    <a:prstGeom prst="rect">
                      <a:avLst/>
                    </a:prstGeom>
                  </pic:spPr>
                </pic:pic>
              </a:graphicData>
            </a:graphic>
          </wp:anchor>
        </w:drawing>
      </w:r>
      <w:r w:rsidR="004F1718" w:rsidRPr="004F1718">
        <w:rPr>
          <w:rFonts w:hint="eastAsia"/>
          <w:noProof/>
          <w:szCs w:val="21"/>
        </w:rPr>
        <w:drawing>
          <wp:anchor distT="0" distB="0" distL="114300" distR="114300" simplePos="0" relativeHeight="251820032" behindDoc="1" locked="0" layoutInCell="1" allowOverlap="1">
            <wp:simplePos x="0" y="0"/>
            <wp:positionH relativeFrom="column">
              <wp:posOffset>-521970</wp:posOffset>
            </wp:positionH>
            <wp:positionV relativeFrom="paragraph">
              <wp:posOffset>-1287780</wp:posOffset>
            </wp:positionV>
            <wp:extent cx="7581900" cy="10725150"/>
            <wp:effectExtent l="19050" t="0" r="0" b="0"/>
            <wp:wrapNone/>
            <wp:docPr id="92"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004F1718">
        <w:rPr>
          <w:rFonts w:hint="eastAsia"/>
          <w:szCs w:val="21"/>
        </w:rPr>
        <w:t>图</w:t>
      </w:r>
      <w:r w:rsidR="004F1718">
        <w:rPr>
          <w:rFonts w:hint="eastAsia"/>
          <w:szCs w:val="21"/>
        </w:rPr>
        <w:t>2</w:t>
      </w:r>
      <w:r w:rsidR="004F1718">
        <w:rPr>
          <w:rFonts w:hint="eastAsia"/>
          <w:szCs w:val="21"/>
        </w:rPr>
        <w:t>：</w:t>
      </w:r>
      <w:r w:rsidR="004F1718">
        <w:rPr>
          <w:rFonts w:hint="eastAsia"/>
          <w:szCs w:val="21"/>
        </w:rPr>
        <w:t>PMI</w:t>
      </w:r>
      <w:r w:rsidR="004F1718">
        <w:rPr>
          <w:rFonts w:hint="eastAsia"/>
          <w:szCs w:val="21"/>
        </w:rPr>
        <w:t>指数</w:t>
      </w:r>
      <w:r w:rsidR="004F1718">
        <w:rPr>
          <w:rFonts w:hint="eastAsia"/>
          <w:szCs w:val="21"/>
        </w:rPr>
        <w:t xml:space="preserve">                                   </w:t>
      </w:r>
      <w:r w:rsidR="004F1718">
        <w:rPr>
          <w:rFonts w:ascii="宋体" w:eastAsia="宋体" w:cs="宋体" w:hint="eastAsia"/>
          <w:kern w:val="0"/>
          <w:szCs w:val="21"/>
        </w:rPr>
        <w:t>图3：PMI分项指数</w:t>
      </w:r>
    </w:p>
    <w:p w:rsidR="004F1718" w:rsidRDefault="004F1718" w:rsidP="004F1718">
      <w:pPr>
        <w:spacing w:line="360" w:lineRule="auto"/>
        <w:ind w:firstLine="420"/>
        <w:jc w:val="left"/>
        <w:rPr>
          <w:rFonts w:ascii="宋体" w:eastAsia="宋体" w:cs="宋体"/>
          <w:kern w:val="0"/>
          <w:szCs w:val="21"/>
        </w:rPr>
      </w:pPr>
      <w:r w:rsidRPr="00AE789D">
        <w:rPr>
          <w:noProof/>
          <w:szCs w:val="21"/>
        </w:rPr>
        <w:drawing>
          <wp:inline distT="0" distB="0" distL="0" distR="0">
            <wp:extent cx="2962275" cy="2543175"/>
            <wp:effectExtent l="19050" t="0" r="9525" b="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B238E7">
        <w:rPr>
          <w:rFonts w:ascii="宋体" w:eastAsia="宋体" w:cs="宋体"/>
          <w:noProof/>
          <w:kern w:val="0"/>
          <w:szCs w:val="21"/>
        </w:rPr>
        <w:drawing>
          <wp:inline distT="0" distB="0" distL="0" distR="0">
            <wp:extent cx="2857500" cy="2543175"/>
            <wp:effectExtent l="19050" t="0" r="19050" b="0"/>
            <wp:docPr id="49"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F1718" w:rsidRDefault="004F1718" w:rsidP="004F1718">
      <w:pPr>
        <w:spacing w:line="360" w:lineRule="auto"/>
        <w:ind w:firstLineChars="200" w:firstLine="420"/>
        <w:rPr>
          <w:szCs w:val="21"/>
        </w:rPr>
      </w:pPr>
      <w:r w:rsidRPr="00485576">
        <w:rPr>
          <w:rFonts w:hint="eastAsia"/>
        </w:rPr>
        <w:t>9</w:t>
      </w:r>
      <w:r w:rsidRPr="00485576">
        <w:rPr>
          <w:rFonts w:hint="eastAsia"/>
        </w:rPr>
        <w:t>月，全国居民消费价格</w:t>
      </w:r>
      <w:r w:rsidRPr="00485576">
        <w:rPr>
          <w:rFonts w:hint="eastAsia"/>
        </w:rPr>
        <w:t>CPI</w:t>
      </w:r>
      <w:r w:rsidRPr="00485576">
        <w:rPr>
          <w:rFonts w:hint="eastAsia"/>
        </w:rPr>
        <w:t>同比增速为</w:t>
      </w:r>
      <w:r w:rsidRPr="00485576">
        <w:rPr>
          <w:rFonts w:hint="eastAsia"/>
        </w:rPr>
        <w:t>3.1%</w:t>
      </w:r>
      <w:r w:rsidRPr="00485576">
        <w:rPr>
          <w:rFonts w:hint="eastAsia"/>
        </w:rPr>
        <w:t>，环比增速为</w:t>
      </w:r>
      <w:r w:rsidRPr="00485576">
        <w:rPr>
          <w:rFonts w:hint="eastAsia"/>
        </w:rPr>
        <w:t>0.8%</w:t>
      </w:r>
      <w:r w:rsidRPr="00485576">
        <w:rPr>
          <w:rFonts w:hint="eastAsia"/>
        </w:rPr>
        <w:t>，高于市场预期；其中，</w:t>
      </w:r>
      <w:r w:rsidRPr="00485576">
        <w:rPr>
          <w:rFonts w:hint="eastAsia"/>
        </w:rPr>
        <w:t xml:space="preserve"> </w:t>
      </w:r>
      <w:r w:rsidRPr="00485576">
        <w:rPr>
          <w:rFonts w:hint="eastAsia"/>
        </w:rPr>
        <w:t>食品价格上涨</w:t>
      </w:r>
      <w:r w:rsidRPr="00485576">
        <w:rPr>
          <w:rFonts w:hint="eastAsia"/>
        </w:rPr>
        <w:t xml:space="preserve"> 6.1 %</w:t>
      </w:r>
      <w:r w:rsidRPr="00485576">
        <w:rPr>
          <w:rFonts w:hint="eastAsia"/>
        </w:rPr>
        <w:t>，非食品价格上涨</w:t>
      </w:r>
      <w:r w:rsidRPr="00485576">
        <w:rPr>
          <w:rFonts w:hint="eastAsia"/>
        </w:rPr>
        <w:t xml:space="preserve"> 1.6%</w:t>
      </w:r>
      <w:r w:rsidRPr="00485576">
        <w:rPr>
          <w:rFonts w:hint="eastAsia"/>
        </w:rPr>
        <w:t>；消费品价格上涨</w:t>
      </w:r>
      <w:r w:rsidRPr="00485576">
        <w:rPr>
          <w:rFonts w:hint="eastAsia"/>
        </w:rPr>
        <w:t xml:space="preserve"> 3.1 %</w:t>
      </w:r>
      <w:r w:rsidRPr="00485576">
        <w:rPr>
          <w:rFonts w:hint="eastAsia"/>
        </w:rPr>
        <w:t>，服务价格上涨</w:t>
      </w:r>
      <w:r w:rsidRPr="00485576">
        <w:rPr>
          <w:rFonts w:hint="eastAsia"/>
        </w:rPr>
        <w:t xml:space="preserve"> 2.9%</w:t>
      </w:r>
      <w:r w:rsidRPr="00485576">
        <w:rPr>
          <w:rFonts w:hint="eastAsia"/>
        </w:rPr>
        <w:t>。</w:t>
      </w:r>
      <w:r w:rsidRPr="0097481C">
        <w:rPr>
          <w:rFonts w:hint="eastAsia"/>
          <w:szCs w:val="21"/>
        </w:rPr>
        <w:t>食品价格环比上涨</w:t>
      </w:r>
      <w:r w:rsidRPr="0097481C">
        <w:rPr>
          <w:rFonts w:hint="eastAsia"/>
          <w:szCs w:val="21"/>
        </w:rPr>
        <w:t>1.5%</w:t>
      </w:r>
      <w:r w:rsidRPr="0097481C">
        <w:rPr>
          <w:rFonts w:hint="eastAsia"/>
          <w:szCs w:val="21"/>
        </w:rPr>
        <w:t>，高于历史平均涨幅</w:t>
      </w:r>
      <w:r w:rsidRPr="0097481C">
        <w:rPr>
          <w:rFonts w:hint="eastAsia"/>
          <w:szCs w:val="21"/>
        </w:rPr>
        <w:t>1.16%</w:t>
      </w:r>
      <w:r>
        <w:rPr>
          <w:rFonts w:hint="eastAsia"/>
          <w:szCs w:val="21"/>
        </w:rPr>
        <w:t>，</w:t>
      </w:r>
      <w:r w:rsidRPr="0097481C">
        <w:rPr>
          <w:rFonts w:hint="eastAsia"/>
          <w:szCs w:val="21"/>
        </w:rPr>
        <w:t>既有中秋、国庆节日因素，也有季节性影响因素，还与部分地区旱涝灾害有关。非食品价格环比增速为</w:t>
      </w:r>
      <w:r w:rsidRPr="0097481C">
        <w:rPr>
          <w:rFonts w:hint="eastAsia"/>
          <w:szCs w:val="21"/>
        </w:rPr>
        <w:t>0.4%</w:t>
      </w:r>
      <w:r w:rsidRPr="0097481C">
        <w:rPr>
          <w:rFonts w:hint="eastAsia"/>
          <w:szCs w:val="21"/>
        </w:rPr>
        <w:t>，其中主要推动因素为交通通讯和医药服务</w:t>
      </w:r>
      <w:r>
        <w:rPr>
          <w:rFonts w:hint="eastAsia"/>
          <w:szCs w:val="21"/>
        </w:rPr>
        <w:t>。</w:t>
      </w:r>
      <w:r w:rsidRPr="0097481C">
        <w:rPr>
          <w:rFonts w:hint="eastAsia"/>
          <w:szCs w:val="21"/>
        </w:rPr>
        <w:t>房地产市场在前期透支消费后表现平淡，在各地试验收紧首套房贷折扣情况下，房租价格环比涨幅并没有超季节上涨，后期也不会成为推动</w:t>
      </w:r>
      <w:r w:rsidRPr="0097481C">
        <w:rPr>
          <w:rFonts w:hint="eastAsia"/>
          <w:szCs w:val="21"/>
        </w:rPr>
        <w:t>CPI</w:t>
      </w:r>
      <w:r w:rsidRPr="0097481C">
        <w:rPr>
          <w:rFonts w:hint="eastAsia"/>
          <w:szCs w:val="21"/>
        </w:rPr>
        <w:t>非食品项的正面力量。</w:t>
      </w:r>
    </w:p>
    <w:p w:rsidR="004F1718" w:rsidRPr="00B238E7" w:rsidRDefault="004F1718" w:rsidP="004F1718">
      <w:pPr>
        <w:widowControl/>
        <w:jc w:val="center"/>
        <w:rPr>
          <w:szCs w:val="21"/>
        </w:rPr>
      </w:pPr>
      <w:r>
        <w:rPr>
          <w:rFonts w:hint="eastAsia"/>
          <w:szCs w:val="21"/>
        </w:rPr>
        <w:t>图</w:t>
      </w:r>
      <w:r>
        <w:rPr>
          <w:rFonts w:hint="eastAsia"/>
          <w:szCs w:val="21"/>
        </w:rPr>
        <w:t>4</w:t>
      </w:r>
      <w:r>
        <w:rPr>
          <w:rFonts w:hint="eastAsia"/>
          <w:szCs w:val="21"/>
        </w:rPr>
        <w:t>：</w:t>
      </w:r>
      <w:r w:rsidRPr="00AE789D">
        <w:rPr>
          <w:rFonts w:hint="eastAsia"/>
          <w:szCs w:val="21"/>
        </w:rPr>
        <w:t>CPI</w:t>
      </w:r>
      <w:r w:rsidRPr="00AE789D">
        <w:rPr>
          <w:rFonts w:hint="eastAsia"/>
          <w:szCs w:val="21"/>
        </w:rPr>
        <w:t>同比和环比增速</w:t>
      </w:r>
      <w:r>
        <w:rPr>
          <w:rFonts w:hint="eastAsia"/>
          <w:szCs w:val="21"/>
        </w:rPr>
        <w:t xml:space="preserve">                            </w:t>
      </w:r>
      <w:r w:rsidRPr="00C06C57">
        <w:rPr>
          <w:rFonts w:hint="eastAsia"/>
          <w:szCs w:val="21"/>
        </w:rPr>
        <w:t>图</w:t>
      </w:r>
      <w:r w:rsidRPr="00C06C57">
        <w:rPr>
          <w:rFonts w:hint="eastAsia"/>
          <w:szCs w:val="21"/>
        </w:rPr>
        <w:t>5</w:t>
      </w:r>
      <w:r w:rsidRPr="00C06C57">
        <w:rPr>
          <w:rFonts w:hint="eastAsia"/>
          <w:szCs w:val="21"/>
        </w:rPr>
        <w:t>：</w:t>
      </w:r>
      <w:r w:rsidRPr="00C06C57">
        <w:rPr>
          <w:rFonts w:hint="eastAsia"/>
          <w:szCs w:val="21"/>
        </w:rPr>
        <w:t>CPI</w:t>
      </w:r>
      <w:r w:rsidRPr="00C06C57">
        <w:rPr>
          <w:rFonts w:hint="eastAsia"/>
          <w:szCs w:val="21"/>
        </w:rPr>
        <w:t>食品同比和环比增速</w:t>
      </w:r>
    </w:p>
    <w:p w:rsidR="004F1718" w:rsidRDefault="004F1718" w:rsidP="004F1718">
      <w:pPr>
        <w:spacing w:line="360" w:lineRule="auto"/>
        <w:ind w:firstLineChars="200" w:firstLine="420"/>
        <w:jc w:val="left"/>
        <w:rPr>
          <w:rFonts w:asciiTheme="minorEastAsia" w:hAnsiTheme="minorEastAsia"/>
          <w:szCs w:val="21"/>
        </w:rPr>
      </w:pPr>
      <w:r w:rsidRPr="00AE789D">
        <w:rPr>
          <w:noProof/>
          <w:szCs w:val="21"/>
        </w:rPr>
        <w:drawing>
          <wp:inline distT="0" distB="0" distL="0" distR="0">
            <wp:extent cx="2962275" cy="2447925"/>
            <wp:effectExtent l="19050" t="0" r="9525" b="0"/>
            <wp:docPr id="66"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B238E7">
        <w:rPr>
          <w:rFonts w:asciiTheme="minorEastAsia" w:hAnsiTheme="minorEastAsia"/>
          <w:noProof/>
          <w:szCs w:val="21"/>
        </w:rPr>
        <w:drawing>
          <wp:inline distT="0" distB="0" distL="0" distR="0">
            <wp:extent cx="2857500" cy="2447925"/>
            <wp:effectExtent l="19050" t="0" r="19050" b="0"/>
            <wp:docPr id="50"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F1718" w:rsidRDefault="00AA6E68" w:rsidP="004F1718">
      <w:pPr>
        <w:spacing w:line="360" w:lineRule="auto"/>
        <w:ind w:firstLineChars="200" w:firstLine="420"/>
      </w:pPr>
      <w:r>
        <w:rPr>
          <w:noProof/>
        </w:rPr>
        <w:pict>
          <v:shape id="_x0000_s2117" type="#_x0000_t202" style="position:absolute;left:0;text-align:left;margin-left:226.3pt;margin-top:102.6pt;width:58.5pt;height:21pt;z-index:251885568" stroked="f">
            <v:textbox>
              <w:txbxContent>
                <w:p w:rsidR="00832D5A" w:rsidRDefault="00832D5A" w:rsidP="007B0AB0">
                  <w:pPr>
                    <w:jc w:val="center"/>
                  </w:pPr>
                  <w:r>
                    <w:rPr>
                      <w:rFonts w:hint="eastAsia"/>
                    </w:rPr>
                    <w:t>第</w:t>
                  </w:r>
                  <w:r>
                    <w:rPr>
                      <w:rFonts w:hint="eastAsia"/>
                    </w:rPr>
                    <w:t>3</w:t>
                  </w:r>
                  <w:r>
                    <w:rPr>
                      <w:rFonts w:hint="eastAsia"/>
                    </w:rPr>
                    <w:t>页</w:t>
                  </w:r>
                  <w:r>
                    <w:rPr>
                      <w:rFonts w:hint="eastAsia"/>
                      <w:noProof/>
                    </w:rPr>
                    <w:drawing>
                      <wp:inline distT="0" distB="0" distL="0" distR="0">
                        <wp:extent cx="560070" cy="201051"/>
                        <wp:effectExtent l="19050" t="0" r="0" b="0"/>
                        <wp:docPr id="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60070" cy="201051"/>
                                </a:xfrm>
                                <a:prstGeom prst="rect">
                                  <a:avLst/>
                                </a:prstGeom>
                                <a:noFill/>
                                <a:ln w="9525">
                                  <a:noFill/>
                                  <a:miter lim="800000"/>
                                  <a:headEnd/>
                                  <a:tailEnd/>
                                </a:ln>
                              </pic:spPr>
                            </pic:pic>
                          </a:graphicData>
                        </a:graphic>
                      </wp:inline>
                    </w:drawing>
                  </w:r>
                  <w:r>
                    <w:rPr>
                      <w:rFonts w:hint="eastAsia"/>
                    </w:rPr>
                    <w:t>页</w:t>
                  </w:r>
                </w:p>
                <w:p w:rsidR="00832D5A" w:rsidRPr="00453D44" w:rsidRDefault="00832D5A" w:rsidP="007B0AB0"/>
              </w:txbxContent>
            </v:textbox>
          </v:shape>
        </w:pict>
      </w:r>
      <w:r w:rsidR="004F1718" w:rsidRPr="00FD02C0">
        <w:rPr>
          <w:rFonts w:hint="eastAsia"/>
        </w:rPr>
        <w:t>9</w:t>
      </w:r>
      <w:r w:rsidR="004F1718" w:rsidRPr="00FD02C0">
        <w:rPr>
          <w:rFonts w:hint="eastAsia"/>
        </w:rPr>
        <w:t>月份工业生产者出厂价格</w:t>
      </w:r>
      <w:r w:rsidR="004F1718">
        <w:rPr>
          <w:rFonts w:hint="eastAsia"/>
        </w:rPr>
        <w:t>在</w:t>
      </w:r>
      <w:r w:rsidR="004F1718" w:rsidRPr="00FD02C0">
        <w:rPr>
          <w:rFonts w:hint="eastAsia"/>
        </w:rPr>
        <w:t>8</w:t>
      </w:r>
      <w:r w:rsidR="004F1718" w:rsidRPr="00FD02C0">
        <w:rPr>
          <w:rFonts w:hint="eastAsia"/>
        </w:rPr>
        <w:t>月份环比上涨</w:t>
      </w:r>
      <w:r w:rsidR="004F1718" w:rsidRPr="00FD02C0">
        <w:rPr>
          <w:rFonts w:hint="eastAsia"/>
        </w:rPr>
        <w:t>0.1%</w:t>
      </w:r>
      <w:r w:rsidR="004F1718" w:rsidRPr="00FD02C0">
        <w:rPr>
          <w:rFonts w:hint="eastAsia"/>
        </w:rPr>
        <w:t>的基础上继续上涨，环比涨幅为</w:t>
      </w:r>
      <w:r w:rsidR="004F1718" w:rsidRPr="00FD02C0">
        <w:rPr>
          <w:rFonts w:hint="eastAsia"/>
        </w:rPr>
        <w:t>0.2%</w:t>
      </w:r>
      <w:r w:rsidR="004F1718">
        <w:rPr>
          <w:rFonts w:hint="eastAsia"/>
        </w:rPr>
        <w:t>，</w:t>
      </w:r>
      <w:r w:rsidR="004F1718" w:rsidRPr="00FD02C0">
        <w:rPr>
          <w:rFonts w:hint="eastAsia"/>
        </w:rPr>
        <w:t>显示总需求趋于回暖，宏观经济继续稳中有升</w:t>
      </w:r>
      <w:r w:rsidR="004F1718">
        <w:rPr>
          <w:rFonts w:hint="eastAsia"/>
        </w:rPr>
        <w:t>。</w:t>
      </w:r>
      <w:r w:rsidR="004F1718" w:rsidRPr="00FD02C0">
        <w:rPr>
          <w:rFonts w:hint="eastAsia"/>
        </w:rPr>
        <w:t>其中上游采掘以及原材料价格上涨幅度高于中游加工价格上涨幅度，而下游日用品以及耐用品价格保持不变，经济体中并没有出现价格全面上涨，也从侧面表明经济复苏力度</w:t>
      </w:r>
      <w:r w:rsidR="004F1718" w:rsidRPr="00FD02C0">
        <w:rPr>
          <w:rFonts w:hint="eastAsia"/>
        </w:rPr>
        <w:lastRenderedPageBreak/>
        <w:t>有限。随着经济继续环比回升，</w:t>
      </w:r>
      <w:r w:rsidR="004F1718" w:rsidRPr="00FD02C0">
        <w:rPr>
          <w:rFonts w:hint="eastAsia"/>
        </w:rPr>
        <w:t>PPI</w:t>
      </w:r>
      <w:r w:rsidR="004F1718" w:rsidRPr="00FD02C0">
        <w:rPr>
          <w:rFonts w:hint="eastAsia"/>
        </w:rPr>
        <w:t>有望继续收窄。</w:t>
      </w:r>
      <w:proofErr w:type="gramStart"/>
      <w:r w:rsidR="004F1718" w:rsidRPr="00FD02C0">
        <w:rPr>
          <w:rFonts w:hint="eastAsia"/>
        </w:rPr>
        <w:t>另外看</w:t>
      </w:r>
      <w:proofErr w:type="gramEnd"/>
      <w:r w:rsidR="004F1718" w:rsidRPr="00FD02C0">
        <w:rPr>
          <w:rFonts w:hint="eastAsia"/>
        </w:rPr>
        <w:t>大宗商品价格走势，短期内并没有刺激因素导致价格大幅上涨，因而</w:t>
      </w:r>
      <w:r w:rsidR="004F1718" w:rsidRPr="00FD02C0">
        <w:rPr>
          <w:rFonts w:hint="eastAsia"/>
        </w:rPr>
        <w:t>PPI</w:t>
      </w:r>
      <w:r w:rsidR="004F1718" w:rsidRPr="00FD02C0">
        <w:rPr>
          <w:rFonts w:hint="eastAsia"/>
        </w:rPr>
        <w:t>收窄幅度恐将有限。</w:t>
      </w:r>
    </w:p>
    <w:p w:rsidR="004F1718" w:rsidRPr="00C06C57" w:rsidRDefault="004F1718" w:rsidP="005570E2">
      <w:pPr>
        <w:spacing w:afterLines="50" w:line="360" w:lineRule="auto"/>
        <w:ind w:firstLine="420"/>
        <w:jc w:val="center"/>
        <w:rPr>
          <w:szCs w:val="21"/>
        </w:rPr>
      </w:pPr>
      <w:r>
        <w:rPr>
          <w:rFonts w:hint="eastAsia"/>
          <w:noProof/>
          <w:szCs w:val="21"/>
        </w:rPr>
        <w:drawing>
          <wp:anchor distT="0" distB="0" distL="114300" distR="114300" simplePos="0" relativeHeight="251822080" behindDoc="1" locked="0" layoutInCell="1" allowOverlap="1">
            <wp:simplePos x="0" y="0"/>
            <wp:positionH relativeFrom="column">
              <wp:posOffset>-683895</wp:posOffset>
            </wp:positionH>
            <wp:positionV relativeFrom="paragraph">
              <wp:posOffset>-2034540</wp:posOffset>
            </wp:positionV>
            <wp:extent cx="7581900" cy="10725150"/>
            <wp:effectExtent l="19050" t="0" r="0" b="0"/>
            <wp:wrapNone/>
            <wp:docPr id="93"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Pr="00C06C57">
        <w:rPr>
          <w:rFonts w:hint="eastAsia"/>
          <w:szCs w:val="21"/>
        </w:rPr>
        <w:t>图</w:t>
      </w:r>
      <w:r w:rsidRPr="00C06C57">
        <w:rPr>
          <w:rFonts w:hint="eastAsia"/>
          <w:szCs w:val="21"/>
        </w:rPr>
        <w:t>7</w:t>
      </w:r>
      <w:r w:rsidRPr="00C06C57">
        <w:rPr>
          <w:rFonts w:hint="eastAsia"/>
          <w:szCs w:val="21"/>
        </w:rPr>
        <w:t>：</w:t>
      </w:r>
      <w:r w:rsidRPr="00C06C57">
        <w:rPr>
          <w:rFonts w:hint="eastAsia"/>
          <w:szCs w:val="21"/>
        </w:rPr>
        <w:t>PPI</w:t>
      </w:r>
      <w:r w:rsidRPr="00C06C57">
        <w:rPr>
          <w:rFonts w:hint="eastAsia"/>
          <w:szCs w:val="21"/>
        </w:rPr>
        <w:t>同比和环比</w:t>
      </w:r>
    </w:p>
    <w:p w:rsidR="004F1718" w:rsidRDefault="004F1718" w:rsidP="005570E2">
      <w:pPr>
        <w:spacing w:afterLines="50" w:line="360" w:lineRule="auto"/>
        <w:ind w:firstLine="420"/>
        <w:jc w:val="center"/>
      </w:pPr>
      <w:r w:rsidRPr="006C0A8C">
        <w:rPr>
          <w:noProof/>
        </w:rPr>
        <w:drawing>
          <wp:inline distT="0" distB="0" distL="0" distR="0">
            <wp:extent cx="4257675" cy="2524125"/>
            <wp:effectExtent l="19050" t="0" r="9525" b="0"/>
            <wp:docPr id="69"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F1718" w:rsidRPr="00C06C57" w:rsidRDefault="004F1718" w:rsidP="005570E2">
      <w:pPr>
        <w:spacing w:afterLines="50" w:line="360" w:lineRule="auto"/>
        <w:ind w:firstLine="420"/>
        <w:jc w:val="center"/>
        <w:rPr>
          <w:szCs w:val="21"/>
        </w:rPr>
      </w:pPr>
      <w:r w:rsidRPr="00C06C57">
        <w:rPr>
          <w:rFonts w:hint="eastAsia"/>
          <w:szCs w:val="21"/>
        </w:rPr>
        <w:t>表</w:t>
      </w:r>
      <w:r w:rsidRPr="00C06C57">
        <w:rPr>
          <w:rFonts w:hint="eastAsia"/>
          <w:szCs w:val="21"/>
        </w:rPr>
        <w:t>1</w:t>
      </w:r>
      <w:r w:rsidRPr="00C06C57">
        <w:rPr>
          <w:rFonts w:hint="eastAsia"/>
          <w:szCs w:val="21"/>
        </w:rPr>
        <w:t>：</w:t>
      </w:r>
      <w:r w:rsidRPr="00C06C57">
        <w:rPr>
          <w:rFonts w:hint="eastAsia"/>
          <w:szCs w:val="21"/>
        </w:rPr>
        <w:t xml:space="preserve"> PPI</w:t>
      </w:r>
      <w:r w:rsidRPr="00C06C57">
        <w:rPr>
          <w:rFonts w:hint="eastAsia"/>
          <w:szCs w:val="21"/>
        </w:rPr>
        <w:t>主要分项环比增速</w:t>
      </w:r>
    </w:p>
    <w:tbl>
      <w:tblPr>
        <w:tblW w:w="8200" w:type="dxa"/>
        <w:jc w:val="center"/>
        <w:tblInd w:w="93" w:type="dxa"/>
        <w:tblBorders>
          <w:top w:val="single" w:sz="4" w:space="0" w:color="auto"/>
          <w:bottom w:val="single" w:sz="4" w:space="0" w:color="auto"/>
          <w:insideH w:val="single" w:sz="4" w:space="0" w:color="auto"/>
        </w:tblBorders>
        <w:tblLook w:val="04A0"/>
      </w:tblPr>
      <w:tblGrid>
        <w:gridCol w:w="960"/>
        <w:gridCol w:w="920"/>
        <w:gridCol w:w="1180"/>
        <w:gridCol w:w="1060"/>
        <w:gridCol w:w="1100"/>
        <w:gridCol w:w="940"/>
        <w:gridCol w:w="1040"/>
        <w:gridCol w:w="1000"/>
      </w:tblGrid>
      <w:tr w:rsidR="004F1718" w:rsidRPr="00577B3A" w:rsidTr="004F1718">
        <w:trPr>
          <w:trHeight w:val="240"/>
          <w:jc w:val="center"/>
        </w:trPr>
        <w:tc>
          <w:tcPr>
            <w:tcW w:w="960" w:type="dxa"/>
            <w:shd w:val="clear" w:color="auto" w:fill="auto"/>
            <w:noWrap/>
            <w:vAlign w:val="center"/>
            <w:hideMark/>
          </w:tcPr>
          <w:p w:rsidR="004F1718" w:rsidRPr="00577B3A" w:rsidRDefault="004F1718" w:rsidP="004F1718">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时间</w:t>
            </w:r>
          </w:p>
        </w:tc>
        <w:tc>
          <w:tcPr>
            <w:tcW w:w="920" w:type="dxa"/>
            <w:shd w:val="clear" w:color="auto" w:fill="auto"/>
            <w:noWrap/>
            <w:vAlign w:val="center"/>
            <w:hideMark/>
          </w:tcPr>
          <w:p w:rsidR="004F1718" w:rsidRPr="00577B3A" w:rsidRDefault="004F1718" w:rsidP="004F1718">
            <w:pPr>
              <w:widowControl/>
              <w:jc w:val="lef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原材料</w:t>
            </w:r>
          </w:p>
        </w:tc>
        <w:tc>
          <w:tcPr>
            <w:tcW w:w="1180" w:type="dxa"/>
            <w:shd w:val="clear" w:color="auto" w:fill="auto"/>
            <w:noWrap/>
            <w:vAlign w:val="center"/>
            <w:hideMark/>
          </w:tcPr>
          <w:p w:rsidR="004F1718" w:rsidRPr="00577B3A" w:rsidRDefault="004F1718" w:rsidP="004F1718">
            <w:pPr>
              <w:widowControl/>
              <w:jc w:val="lef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生产资料</w:t>
            </w:r>
          </w:p>
        </w:tc>
        <w:tc>
          <w:tcPr>
            <w:tcW w:w="1060" w:type="dxa"/>
            <w:shd w:val="clear" w:color="auto" w:fill="auto"/>
            <w:noWrap/>
            <w:vAlign w:val="center"/>
            <w:hideMark/>
          </w:tcPr>
          <w:p w:rsidR="004F1718" w:rsidRPr="00577B3A" w:rsidRDefault="004F1718" w:rsidP="004F1718">
            <w:pPr>
              <w:widowControl/>
              <w:jc w:val="lef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生活资料</w:t>
            </w:r>
          </w:p>
        </w:tc>
        <w:tc>
          <w:tcPr>
            <w:tcW w:w="1100" w:type="dxa"/>
            <w:shd w:val="clear" w:color="auto" w:fill="auto"/>
            <w:noWrap/>
            <w:vAlign w:val="center"/>
            <w:hideMark/>
          </w:tcPr>
          <w:p w:rsidR="004F1718" w:rsidRPr="00577B3A" w:rsidRDefault="004F1718" w:rsidP="004F1718">
            <w:pPr>
              <w:widowControl/>
              <w:jc w:val="lef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采掘业</w:t>
            </w:r>
          </w:p>
        </w:tc>
        <w:tc>
          <w:tcPr>
            <w:tcW w:w="940" w:type="dxa"/>
            <w:shd w:val="clear" w:color="auto" w:fill="auto"/>
            <w:noWrap/>
            <w:vAlign w:val="center"/>
            <w:hideMark/>
          </w:tcPr>
          <w:p w:rsidR="004F1718" w:rsidRPr="00577B3A" w:rsidRDefault="004F1718" w:rsidP="004F1718">
            <w:pPr>
              <w:widowControl/>
              <w:jc w:val="lef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衣着类</w:t>
            </w:r>
          </w:p>
        </w:tc>
        <w:tc>
          <w:tcPr>
            <w:tcW w:w="1040" w:type="dxa"/>
            <w:shd w:val="clear" w:color="auto" w:fill="auto"/>
            <w:noWrap/>
            <w:vAlign w:val="center"/>
            <w:hideMark/>
          </w:tcPr>
          <w:p w:rsidR="004F1718" w:rsidRPr="00577B3A" w:rsidRDefault="004F1718" w:rsidP="004F1718">
            <w:pPr>
              <w:widowControl/>
              <w:jc w:val="lef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日用品</w:t>
            </w:r>
          </w:p>
        </w:tc>
        <w:tc>
          <w:tcPr>
            <w:tcW w:w="1000" w:type="dxa"/>
            <w:shd w:val="clear" w:color="auto" w:fill="auto"/>
            <w:noWrap/>
            <w:vAlign w:val="center"/>
            <w:hideMark/>
          </w:tcPr>
          <w:p w:rsidR="004F1718" w:rsidRPr="00577B3A" w:rsidRDefault="004F1718" w:rsidP="004F1718">
            <w:pPr>
              <w:widowControl/>
              <w:jc w:val="lef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耐用品</w:t>
            </w:r>
          </w:p>
        </w:tc>
      </w:tr>
      <w:tr w:rsidR="004F1718" w:rsidRPr="00577B3A" w:rsidTr="004F1718">
        <w:trPr>
          <w:trHeight w:val="240"/>
          <w:jc w:val="center"/>
        </w:trPr>
        <w:tc>
          <w:tcPr>
            <w:tcW w:w="96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2013-09</w:t>
            </w:r>
          </w:p>
        </w:tc>
        <w:tc>
          <w:tcPr>
            <w:tcW w:w="92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0.60 </w:t>
            </w:r>
          </w:p>
        </w:tc>
        <w:tc>
          <w:tcPr>
            <w:tcW w:w="118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0.10 </w:t>
            </w:r>
          </w:p>
        </w:tc>
        <w:tc>
          <w:tcPr>
            <w:tcW w:w="106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0.30 </w:t>
            </w:r>
          </w:p>
        </w:tc>
        <w:tc>
          <w:tcPr>
            <w:tcW w:w="110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0.60 </w:t>
            </w:r>
          </w:p>
        </w:tc>
        <w:tc>
          <w:tcPr>
            <w:tcW w:w="94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0.20 </w:t>
            </w:r>
          </w:p>
        </w:tc>
        <w:tc>
          <w:tcPr>
            <w:tcW w:w="104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0.00 </w:t>
            </w:r>
          </w:p>
        </w:tc>
        <w:tc>
          <w:tcPr>
            <w:tcW w:w="100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0.00 </w:t>
            </w:r>
          </w:p>
        </w:tc>
      </w:tr>
      <w:tr w:rsidR="004F1718" w:rsidRPr="00577B3A" w:rsidTr="004F1718">
        <w:trPr>
          <w:trHeight w:val="240"/>
          <w:jc w:val="center"/>
        </w:trPr>
        <w:tc>
          <w:tcPr>
            <w:tcW w:w="96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2013-08</w:t>
            </w:r>
          </w:p>
        </w:tc>
        <w:tc>
          <w:tcPr>
            <w:tcW w:w="92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0.32 </w:t>
            </w:r>
          </w:p>
        </w:tc>
        <w:tc>
          <w:tcPr>
            <w:tcW w:w="118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0.09 </w:t>
            </w:r>
          </w:p>
        </w:tc>
        <w:tc>
          <w:tcPr>
            <w:tcW w:w="106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0.17 </w:t>
            </w:r>
          </w:p>
        </w:tc>
        <w:tc>
          <w:tcPr>
            <w:tcW w:w="110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0.39 </w:t>
            </w:r>
          </w:p>
        </w:tc>
        <w:tc>
          <w:tcPr>
            <w:tcW w:w="94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0.06 </w:t>
            </w:r>
          </w:p>
        </w:tc>
        <w:tc>
          <w:tcPr>
            <w:tcW w:w="104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0.00 </w:t>
            </w:r>
          </w:p>
        </w:tc>
        <w:tc>
          <w:tcPr>
            <w:tcW w:w="100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-0.16 </w:t>
            </w:r>
          </w:p>
        </w:tc>
      </w:tr>
      <w:tr w:rsidR="004F1718" w:rsidRPr="00577B3A" w:rsidTr="004F1718">
        <w:trPr>
          <w:trHeight w:val="240"/>
          <w:jc w:val="center"/>
        </w:trPr>
        <w:tc>
          <w:tcPr>
            <w:tcW w:w="96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2013-07</w:t>
            </w:r>
          </w:p>
        </w:tc>
        <w:tc>
          <w:tcPr>
            <w:tcW w:w="92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-0.57 </w:t>
            </w:r>
          </w:p>
        </w:tc>
        <w:tc>
          <w:tcPr>
            <w:tcW w:w="118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-0.32 </w:t>
            </w:r>
          </w:p>
        </w:tc>
        <w:tc>
          <w:tcPr>
            <w:tcW w:w="106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0.00 </w:t>
            </w:r>
          </w:p>
        </w:tc>
        <w:tc>
          <w:tcPr>
            <w:tcW w:w="110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-1.00 </w:t>
            </w:r>
          </w:p>
        </w:tc>
        <w:tc>
          <w:tcPr>
            <w:tcW w:w="94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0.04 </w:t>
            </w:r>
          </w:p>
        </w:tc>
        <w:tc>
          <w:tcPr>
            <w:tcW w:w="104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-0.08 </w:t>
            </w:r>
          </w:p>
        </w:tc>
        <w:tc>
          <w:tcPr>
            <w:tcW w:w="100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-0.06 </w:t>
            </w:r>
          </w:p>
        </w:tc>
      </w:tr>
      <w:tr w:rsidR="004F1718" w:rsidRPr="00577B3A" w:rsidTr="004F1718">
        <w:trPr>
          <w:trHeight w:val="240"/>
          <w:jc w:val="center"/>
        </w:trPr>
        <w:tc>
          <w:tcPr>
            <w:tcW w:w="96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2013-06</w:t>
            </w:r>
          </w:p>
        </w:tc>
        <w:tc>
          <w:tcPr>
            <w:tcW w:w="92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-0.83 </w:t>
            </w:r>
          </w:p>
        </w:tc>
        <w:tc>
          <w:tcPr>
            <w:tcW w:w="118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-0.51 </w:t>
            </w:r>
          </w:p>
        </w:tc>
        <w:tc>
          <w:tcPr>
            <w:tcW w:w="106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-0.23 </w:t>
            </w:r>
          </w:p>
        </w:tc>
        <w:tc>
          <w:tcPr>
            <w:tcW w:w="110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-1.85 </w:t>
            </w:r>
          </w:p>
        </w:tc>
        <w:tc>
          <w:tcPr>
            <w:tcW w:w="94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0.01 </w:t>
            </w:r>
          </w:p>
        </w:tc>
        <w:tc>
          <w:tcPr>
            <w:tcW w:w="104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-0.15 </w:t>
            </w:r>
          </w:p>
        </w:tc>
        <w:tc>
          <w:tcPr>
            <w:tcW w:w="100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-0.14 </w:t>
            </w:r>
          </w:p>
        </w:tc>
      </w:tr>
      <w:tr w:rsidR="004F1718" w:rsidRPr="00577B3A" w:rsidTr="004F1718">
        <w:trPr>
          <w:trHeight w:val="240"/>
          <w:jc w:val="center"/>
        </w:trPr>
        <w:tc>
          <w:tcPr>
            <w:tcW w:w="96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2013-05</w:t>
            </w:r>
          </w:p>
        </w:tc>
        <w:tc>
          <w:tcPr>
            <w:tcW w:w="92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-1.11 </w:t>
            </w:r>
          </w:p>
        </w:tc>
        <w:tc>
          <w:tcPr>
            <w:tcW w:w="118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-0.44 </w:t>
            </w:r>
          </w:p>
        </w:tc>
        <w:tc>
          <w:tcPr>
            <w:tcW w:w="106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-0.28 </w:t>
            </w:r>
          </w:p>
        </w:tc>
        <w:tc>
          <w:tcPr>
            <w:tcW w:w="110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-2.26 </w:t>
            </w:r>
          </w:p>
        </w:tc>
        <w:tc>
          <w:tcPr>
            <w:tcW w:w="94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-0.04 </w:t>
            </w:r>
          </w:p>
        </w:tc>
        <w:tc>
          <w:tcPr>
            <w:tcW w:w="104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-0.20 </w:t>
            </w:r>
          </w:p>
        </w:tc>
        <w:tc>
          <w:tcPr>
            <w:tcW w:w="100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-0.25 </w:t>
            </w:r>
          </w:p>
        </w:tc>
      </w:tr>
      <w:tr w:rsidR="004F1718" w:rsidRPr="00577B3A" w:rsidTr="004F1718">
        <w:trPr>
          <w:trHeight w:val="240"/>
          <w:jc w:val="center"/>
        </w:trPr>
        <w:tc>
          <w:tcPr>
            <w:tcW w:w="96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2013-04</w:t>
            </w:r>
          </w:p>
        </w:tc>
        <w:tc>
          <w:tcPr>
            <w:tcW w:w="92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-1.27 </w:t>
            </w:r>
          </w:p>
        </w:tc>
        <w:tc>
          <w:tcPr>
            <w:tcW w:w="118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-0.33 </w:t>
            </w:r>
          </w:p>
        </w:tc>
        <w:tc>
          <w:tcPr>
            <w:tcW w:w="106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-0.34 </w:t>
            </w:r>
          </w:p>
        </w:tc>
        <w:tc>
          <w:tcPr>
            <w:tcW w:w="110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-1.63 </w:t>
            </w:r>
          </w:p>
        </w:tc>
        <w:tc>
          <w:tcPr>
            <w:tcW w:w="94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0.11 </w:t>
            </w:r>
          </w:p>
        </w:tc>
        <w:tc>
          <w:tcPr>
            <w:tcW w:w="104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0.01 </w:t>
            </w:r>
          </w:p>
        </w:tc>
        <w:tc>
          <w:tcPr>
            <w:tcW w:w="100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-0.09 </w:t>
            </w:r>
          </w:p>
        </w:tc>
      </w:tr>
      <w:tr w:rsidR="004F1718" w:rsidRPr="00577B3A" w:rsidTr="004F1718">
        <w:trPr>
          <w:trHeight w:val="240"/>
          <w:jc w:val="center"/>
        </w:trPr>
        <w:tc>
          <w:tcPr>
            <w:tcW w:w="96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2013-03</w:t>
            </w:r>
          </w:p>
        </w:tc>
        <w:tc>
          <w:tcPr>
            <w:tcW w:w="92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0.13 </w:t>
            </w:r>
          </w:p>
        </w:tc>
        <w:tc>
          <w:tcPr>
            <w:tcW w:w="118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-0.11 </w:t>
            </w:r>
          </w:p>
        </w:tc>
        <w:tc>
          <w:tcPr>
            <w:tcW w:w="106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-0.19 </w:t>
            </w:r>
          </w:p>
        </w:tc>
        <w:tc>
          <w:tcPr>
            <w:tcW w:w="110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0.42 </w:t>
            </w:r>
          </w:p>
        </w:tc>
        <w:tc>
          <w:tcPr>
            <w:tcW w:w="94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-0.07 </w:t>
            </w:r>
          </w:p>
        </w:tc>
        <w:tc>
          <w:tcPr>
            <w:tcW w:w="104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-0.07 </w:t>
            </w:r>
          </w:p>
        </w:tc>
        <w:tc>
          <w:tcPr>
            <w:tcW w:w="100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-0.08 </w:t>
            </w:r>
          </w:p>
        </w:tc>
      </w:tr>
      <w:tr w:rsidR="004F1718" w:rsidRPr="00577B3A" w:rsidTr="004F1718">
        <w:trPr>
          <w:trHeight w:val="240"/>
          <w:jc w:val="center"/>
        </w:trPr>
        <w:tc>
          <w:tcPr>
            <w:tcW w:w="96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2013-02</w:t>
            </w:r>
          </w:p>
        </w:tc>
        <w:tc>
          <w:tcPr>
            <w:tcW w:w="92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0.28 </w:t>
            </w:r>
          </w:p>
        </w:tc>
        <w:tc>
          <w:tcPr>
            <w:tcW w:w="118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0.15 </w:t>
            </w:r>
          </w:p>
        </w:tc>
        <w:tc>
          <w:tcPr>
            <w:tcW w:w="106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0.13 </w:t>
            </w:r>
          </w:p>
        </w:tc>
        <w:tc>
          <w:tcPr>
            <w:tcW w:w="110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0.46 </w:t>
            </w:r>
          </w:p>
        </w:tc>
        <w:tc>
          <w:tcPr>
            <w:tcW w:w="94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0.02 </w:t>
            </w:r>
          </w:p>
        </w:tc>
        <w:tc>
          <w:tcPr>
            <w:tcW w:w="104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-0.07 </w:t>
            </w:r>
          </w:p>
        </w:tc>
        <w:tc>
          <w:tcPr>
            <w:tcW w:w="100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-0.22 </w:t>
            </w:r>
          </w:p>
        </w:tc>
      </w:tr>
      <w:tr w:rsidR="004F1718" w:rsidRPr="00577B3A" w:rsidTr="004F1718">
        <w:trPr>
          <w:trHeight w:val="240"/>
          <w:jc w:val="center"/>
        </w:trPr>
        <w:tc>
          <w:tcPr>
            <w:tcW w:w="96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2013-01</w:t>
            </w:r>
          </w:p>
        </w:tc>
        <w:tc>
          <w:tcPr>
            <w:tcW w:w="92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0.40 </w:t>
            </w:r>
          </w:p>
        </w:tc>
        <w:tc>
          <w:tcPr>
            <w:tcW w:w="118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0.12 </w:t>
            </w:r>
          </w:p>
        </w:tc>
        <w:tc>
          <w:tcPr>
            <w:tcW w:w="106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0.59 </w:t>
            </w:r>
          </w:p>
        </w:tc>
        <w:tc>
          <w:tcPr>
            <w:tcW w:w="110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0.43 </w:t>
            </w:r>
          </w:p>
        </w:tc>
        <w:tc>
          <w:tcPr>
            <w:tcW w:w="94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0.31 </w:t>
            </w:r>
          </w:p>
        </w:tc>
        <w:tc>
          <w:tcPr>
            <w:tcW w:w="104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0.13 </w:t>
            </w:r>
          </w:p>
        </w:tc>
        <w:tc>
          <w:tcPr>
            <w:tcW w:w="100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0.00 </w:t>
            </w:r>
          </w:p>
        </w:tc>
      </w:tr>
      <w:tr w:rsidR="004F1718" w:rsidRPr="00577B3A" w:rsidTr="004F1718">
        <w:trPr>
          <w:trHeight w:val="240"/>
          <w:jc w:val="center"/>
        </w:trPr>
        <w:tc>
          <w:tcPr>
            <w:tcW w:w="96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2012-12</w:t>
            </w:r>
          </w:p>
        </w:tc>
        <w:tc>
          <w:tcPr>
            <w:tcW w:w="92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-0.19 </w:t>
            </w:r>
          </w:p>
        </w:tc>
        <w:tc>
          <w:tcPr>
            <w:tcW w:w="118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-0.07 </w:t>
            </w:r>
          </w:p>
        </w:tc>
        <w:tc>
          <w:tcPr>
            <w:tcW w:w="106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0.25 </w:t>
            </w:r>
          </w:p>
        </w:tc>
        <w:tc>
          <w:tcPr>
            <w:tcW w:w="110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-0.14 </w:t>
            </w:r>
          </w:p>
        </w:tc>
        <w:tc>
          <w:tcPr>
            <w:tcW w:w="94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0.14 </w:t>
            </w:r>
          </w:p>
        </w:tc>
        <w:tc>
          <w:tcPr>
            <w:tcW w:w="104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-0.04 </w:t>
            </w:r>
          </w:p>
        </w:tc>
        <w:tc>
          <w:tcPr>
            <w:tcW w:w="100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-0.02 </w:t>
            </w:r>
          </w:p>
        </w:tc>
      </w:tr>
      <w:tr w:rsidR="004F1718" w:rsidRPr="00577B3A" w:rsidTr="004F1718">
        <w:trPr>
          <w:trHeight w:val="240"/>
          <w:jc w:val="center"/>
        </w:trPr>
        <w:tc>
          <w:tcPr>
            <w:tcW w:w="96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2012-11</w:t>
            </w:r>
          </w:p>
        </w:tc>
        <w:tc>
          <w:tcPr>
            <w:tcW w:w="92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-0.31 </w:t>
            </w:r>
          </w:p>
        </w:tc>
        <w:tc>
          <w:tcPr>
            <w:tcW w:w="118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-0.07 </w:t>
            </w:r>
          </w:p>
        </w:tc>
        <w:tc>
          <w:tcPr>
            <w:tcW w:w="106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0.01 </w:t>
            </w:r>
          </w:p>
        </w:tc>
        <w:tc>
          <w:tcPr>
            <w:tcW w:w="110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-0.21 </w:t>
            </w:r>
          </w:p>
        </w:tc>
        <w:tc>
          <w:tcPr>
            <w:tcW w:w="94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0.14 </w:t>
            </w:r>
          </w:p>
        </w:tc>
        <w:tc>
          <w:tcPr>
            <w:tcW w:w="104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-0.18 </w:t>
            </w:r>
          </w:p>
        </w:tc>
        <w:tc>
          <w:tcPr>
            <w:tcW w:w="100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0.02 </w:t>
            </w:r>
          </w:p>
        </w:tc>
      </w:tr>
      <w:tr w:rsidR="004F1718" w:rsidRPr="00577B3A" w:rsidTr="004F1718">
        <w:trPr>
          <w:trHeight w:val="240"/>
          <w:jc w:val="center"/>
        </w:trPr>
        <w:tc>
          <w:tcPr>
            <w:tcW w:w="96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2012-10</w:t>
            </w:r>
          </w:p>
        </w:tc>
        <w:tc>
          <w:tcPr>
            <w:tcW w:w="92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0.48 </w:t>
            </w:r>
          </w:p>
        </w:tc>
        <w:tc>
          <w:tcPr>
            <w:tcW w:w="118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0.02 </w:t>
            </w:r>
          </w:p>
        </w:tc>
        <w:tc>
          <w:tcPr>
            <w:tcW w:w="106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0.00 </w:t>
            </w:r>
          </w:p>
        </w:tc>
        <w:tc>
          <w:tcPr>
            <w:tcW w:w="110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0.74 </w:t>
            </w:r>
          </w:p>
        </w:tc>
        <w:tc>
          <w:tcPr>
            <w:tcW w:w="94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0.13 </w:t>
            </w:r>
          </w:p>
        </w:tc>
        <w:tc>
          <w:tcPr>
            <w:tcW w:w="104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0.05 </w:t>
            </w:r>
          </w:p>
        </w:tc>
        <w:tc>
          <w:tcPr>
            <w:tcW w:w="100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0.10 </w:t>
            </w:r>
          </w:p>
        </w:tc>
      </w:tr>
      <w:tr w:rsidR="004F1718" w:rsidRPr="00577B3A" w:rsidTr="004F1718">
        <w:trPr>
          <w:trHeight w:val="240"/>
          <w:jc w:val="center"/>
        </w:trPr>
        <w:tc>
          <w:tcPr>
            <w:tcW w:w="96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2012-09</w:t>
            </w:r>
          </w:p>
        </w:tc>
        <w:tc>
          <w:tcPr>
            <w:tcW w:w="92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0.30 </w:t>
            </w:r>
          </w:p>
        </w:tc>
        <w:tc>
          <w:tcPr>
            <w:tcW w:w="118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-0.39 </w:t>
            </w:r>
          </w:p>
        </w:tc>
        <w:tc>
          <w:tcPr>
            <w:tcW w:w="106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0.38 </w:t>
            </w:r>
          </w:p>
        </w:tc>
        <w:tc>
          <w:tcPr>
            <w:tcW w:w="110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0.45 </w:t>
            </w:r>
          </w:p>
        </w:tc>
        <w:tc>
          <w:tcPr>
            <w:tcW w:w="94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0.22 </w:t>
            </w:r>
          </w:p>
        </w:tc>
        <w:tc>
          <w:tcPr>
            <w:tcW w:w="104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0.18 </w:t>
            </w:r>
          </w:p>
        </w:tc>
        <w:tc>
          <w:tcPr>
            <w:tcW w:w="100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-0.09 </w:t>
            </w:r>
          </w:p>
        </w:tc>
      </w:tr>
      <w:tr w:rsidR="004F1718" w:rsidRPr="00577B3A" w:rsidTr="004F1718">
        <w:trPr>
          <w:trHeight w:val="240"/>
          <w:jc w:val="center"/>
        </w:trPr>
        <w:tc>
          <w:tcPr>
            <w:tcW w:w="96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2012-08</w:t>
            </w:r>
          </w:p>
        </w:tc>
        <w:tc>
          <w:tcPr>
            <w:tcW w:w="92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-0.58 </w:t>
            </w:r>
          </w:p>
        </w:tc>
        <w:tc>
          <w:tcPr>
            <w:tcW w:w="118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-0.66 </w:t>
            </w:r>
          </w:p>
        </w:tc>
        <w:tc>
          <w:tcPr>
            <w:tcW w:w="106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0.10 </w:t>
            </w:r>
          </w:p>
        </w:tc>
        <w:tc>
          <w:tcPr>
            <w:tcW w:w="110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-1.51 </w:t>
            </w:r>
          </w:p>
        </w:tc>
        <w:tc>
          <w:tcPr>
            <w:tcW w:w="94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0.03 </w:t>
            </w:r>
          </w:p>
        </w:tc>
        <w:tc>
          <w:tcPr>
            <w:tcW w:w="104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-0.09 </w:t>
            </w:r>
          </w:p>
        </w:tc>
        <w:tc>
          <w:tcPr>
            <w:tcW w:w="1000" w:type="dxa"/>
            <w:shd w:val="clear" w:color="auto" w:fill="auto"/>
            <w:noWrap/>
            <w:vAlign w:val="center"/>
            <w:hideMark/>
          </w:tcPr>
          <w:p w:rsidR="004F1718" w:rsidRPr="00577B3A" w:rsidRDefault="004F1718" w:rsidP="004F1718">
            <w:pPr>
              <w:widowControl/>
              <w:jc w:val="right"/>
              <w:rPr>
                <w:rFonts w:ascii="宋体" w:eastAsia="宋体" w:hAnsi="宋体" w:cs="宋体"/>
                <w:color w:val="000000"/>
                <w:kern w:val="0"/>
                <w:sz w:val="20"/>
                <w:szCs w:val="20"/>
              </w:rPr>
            </w:pPr>
            <w:r w:rsidRPr="00577B3A">
              <w:rPr>
                <w:rFonts w:ascii="宋体" w:eastAsia="宋体" w:hAnsi="宋体" w:cs="宋体" w:hint="eastAsia"/>
                <w:color w:val="000000"/>
                <w:kern w:val="0"/>
                <w:sz w:val="20"/>
                <w:szCs w:val="20"/>
              </w:rPr>
              <w:t xml:space="preserve">-0.04 </w:t>
            </w:r>
          </w:p>
        </w:tc>
      </w:tr>
    </w:tbl>
    <w:p w:rsidR="004F1718" w:rsidRDefault="00AA6E68" w:rsidP="004F1718">
      <w:pPr>
        <w:spacing w:line="360" w:lineRule="auto"/>
        <w:ind w:firstLineChars="200" w:firstLine="420"/>
      </w:pPr>
      <w:r>
        <w:rPr>
          <w:noProof/>
        </w:rPr>
        <w:pict>
          <v:shape id="_x0000_s2118" type="#_x0000_t202" style="position:absolute;left:0;text-align:left;margin-left:224.8pt;margin-top:129.55pt;width:58.5pt;height:21pt;z-index:251886592;mso-position-horizontal-relative:text;mso-position-vertical-relative:text" stroked="f">
            <v:textbox>
              <w:txbxContent>
                <w:p w:rsidR="00832D5A" w:rsidRDefault="00832D5A" w:rsidP="007B0AB0">
                  <w:pPr>
                    <w:jc w:val="center"/>
                  </w:pPr>
                  <w:r>
                    <w:rPr>
                      <w:rFonts w:hint="eastAsia"/>
                    </w:rPr>
                    <w:t>第</w:t>
                  </w:r>
                  <w:r>
                    <w:rPr>
                      <w:rFonts w:hint="eastAsia"/>
                    </w:rPr>
                    <w:t>4</w:t>
                  </w:r>
                  <w:r>
                    <w:rPr>
                      <w:rFonts w:hint="eastAsia"/>
                    </w:rPr>
                    <w:t>页</w:t>
                  </w:r>
                  <w:r>
                    <w:rPr>
                      <w:rFonts w:hint="eastAsia"/>
                      <w:noProof/>
                    </w:rPr>
                    <w:drawing>
                      <wp:inline distT="0" distB="0" distL="0" distR="0">
                        <wp:extent cx="560070" cy="201051"/>
                        <wp:effectExtent l="19050" t="0" r="0" b="0"/>
                        <wp:docPr id="1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60070" cy="201051"/>
                                </a:xfrm>
                                <a:prstGeom prst="rect">
                                  <a:avLst/>
                                </a:prstGeom>
                                <a:noFill/>
                                <a:ln w="9525">
                                  <a:noFill/>
                                  <a:miter lim="800000"/>
                                  <a:headEnd/>
                                  <a:tailEnd/>
                                </a:ln>
                              </pic:spPr>
                            </pic:pic>
                          </a:graphicData>
                        </a:graphic>
                      </wp:inline>
                    </w:drawing>
                  </w:r>
                  <w:r>
                    <w:rPr>
                      <w:rFonts w:hint="eastAsia"/>
                    </w:rPr>
                    <w:t>页</w:t>
                  </w:r>
                </w:p>
                <w:p w:rsidR="00832D5A" w:rsidRPr="00453D44" w:rsidRDefault="00832D5A" w:rsidP="007B0AB0"/>
              </w:txbxContent>
            </v:textbox>
          </v:shape>
        </w:pict>
      </w:r>
      <w:r w:rsidR="004F1718">
        <w:rPr>
          <w:rFonts w:hint="eastAsia"/>
        </w:rPr>
        <w:t>9</w:t>
      </w:r>
      <w:r w:rsidR="004F1718">
        <w:rPr>
          <w:rFonts w:hint="eastAsia"/>
        </w:rPr>
        <w:t>月</w:t>
      </w:r>
      <w:r w:rsidR="004F1718" w:rsidRPr="006469E2">
        <w:rPr>
          <w:rFonts w:hint="eastAsia"/>
        </w:rPr>
        <w:t>规模以上工业增加值同比实际增长</w:t>
      </w:r>
      <w:r w:rsidR="004F1718" w:rsidRPr="006469E2">
        <w:rPr>
          <w:rFonts w:hint="eastAsia"/>
        </w:rPr>
        <w:t>10.2 %</w:t>
      </w:r>
      <w:r w:rsidR="004F1718" w:rsidRPr="006469E2">
        <w:rPr>
          <w:rFonts w:hint="eastAsia"/>
        </w:rPr>
        <w:t>，环比增长</w:t>
      </w:r>
      <w:r w:rsidR="004F1718" w:rsidRPr="006469E2">
        <w:rPr>
          <w:rFonts w:hint="eastAsia"/>
        </w:rPr>
        <w:t>0.72%</w:t>
      </w:r>
      <w:r w:rsidR="004F1718">
        <w:rPr>
          <w:rFonts w:hint="eastAsia"/>
        </w:rPr>
        <w:t>，</w:t>
      </w:r>
      <w:r w:rsidR="004F1718" w:rsidRPr="006469E2">
        <w:rPr>
          <w:rFonts w:hint="eastAsia"/>
        </w:rPr>
        <w:t>与发电量、粗钢产量增速变化趋势一致。</w:t>
      </w:r>
      <w:r w:rsidR="004F1718" w:rsidRPr="006469E2">
        <w:rPr>
          <w:rFonts w:hint="eastAsia"/>
        </w:rPr>
        <w:t xml:space="preserve">1-9 </w:t>
      </w:r>
      <w:r w:rsidR="004F1718" w:rsidRPr="006469E2">
        <w:rPr>
          <w:rFonts w:hint="eastAsia"/>
        </w:rPr>
        <w:t>月，规模以上工业增加值同比增长</w:t>
      </w:r>
      <w:r w:rsidR="004F1718" w:rsidRPr="006469E2">
        <w:rPr>
          <w:rFonts w:hint="eastAsia"/>
        </w:rPr>
        <w:t>9.6%</w:t>
      </w:r>
      <w:r w:rsidR="004F1718" w:rsidRPr="006469E2">
        <w:rPr>
          <w:rFonts w:hint="eastAsia"/>
        </w:rPr>
        <w:t>，增速比上半年加快</w:t>
      </w:r>
      <w:r w:rsidR="004F1718" w:rsidRPr="006469E2">
        <w:rPr>
          <w:rFonts w:hint="eastAsia"/>
        </w:rPr>
        <w:t xml:space="preserve">0.3 </w:t>
      </w:r>
      <w:proofErr w:type="gramStart"/>
      <w:r w:rsidR="004F1718" w:rsidRPr="006469E2">
        <w:rPr>
          <w:rFonts w:hint="eastAsia"/>
        </w:rPr>
        <w:t>个</w:t>
      </w:r>
      <w:proofErr w:type="gramEnd"/>
      <w:r w:rsidR="004F1718" w:rsidRPr="006469E2">
        <w:rPr>
          <w:rFonts w:hint="eastAsia"/>
        </w:rPr>
        <w:t>百分点。</w:t>
      </w:r>
      <w:r w:rsidR="004F1718">
        <w:rPr>
          <w:rFonts w:hint="eastAsia"/>
        </w:rPr>
        <w:t>终端需求并未明显变化，生产调整主要来自库存调整，而通胀变化来自基数效应，表明经济增长动能开始减弱，预计四季度工业增加值增速将下降至</w:t>
      </w:r>
      <w:r w:rsidR="004F1718">
        <w:rPr>
          <w:rFonts w:hint="eastAsia"/>
        </w:rPr>
        <w:t>9.5%</w:t>
      </w:r>
      <w:r w:rsidR="004F1718">
        <w:rPr>
          <w:rFonts w:hint="eastAsia"/>
        </w:rPr>
        <w:t>左右。</w:t>
      </w:r>
    </w:p>
    <w:p w:rsidR="004F1718" w:rsidRPr="00C06C57" w:rsidRDefault="004F1718" w:rsidP="005570E2">
      <w:pPr>
        <w:spacing w:afterLines="50" w:line="360" w:lineRule="auto"/>
        <w:ind w:firstLine="420"/>
        <w:jc w:val="center"/>
        <w:rPr>
          <w:szCs w:val="21"/>
        </w:rPr>
      </w:pPr>
      <w:r w:rsidRPr="004F1718">
        <w:rPr>
          <w:rFonts w:hint="eastAsia"/>
          <w:noProof/>
          <w:szCs w:val="21"/>
        </w:rPr>
        <w:lastRenderedPageBreak/>
        <w:drawing>
          <wp:anchor distT="0" distB="0" distL="114300" distR="114300" simplePos="0" relativeHeight="251824128" behindDoc="1" locked="0" layoutInCell="1" allowOverlap="1">
            <wp:simplePos x="0" y="0"/>
            <wp:positionH relativeFrom="column">
              <wp:posOffset>-683895</wp:posOffset>
            </wp:positionH>
            <wp:positionV relativeFrom="paragraph">
              <wp:posOffset>-1440180</wp:posOffset>
            </wp:positionV>
            <wp:extent cx="7581900" cy="10725150"/>
            <wp:effectExtent l="19050" t="0" r="0" b="0"/>
            <wp:wrapNone/>
            <wp:docPr id="94"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Pr="00C06C57">
        <w:rPr>
          <w:rFonts w:hint="eastAsia"/>
          <w:szCs w:val="21"/>
        </w:rPr>
        <w:t>图</w:t>
      </w:r>
      <w:r w:rsidRPr="00C06C57">
        <w:rPr>
          <w:rFonts w:hint="eastAsia"/>
          <w:szCs w:val="21"/>
        </w:rPr>
        <w:t>8</w:t>
      </w:r>
      <w:r w:rsidRPr="00C06C57">
        <w:rPr>
          <w:rFonts w:hint="eastAsia"/>
          <w:szCs w:val="21"/>
        </w:rPr>
        <w:t>：工业增加值</w:t>
      </w:r>
      <w:r w:rsidRPr="00C06C57">
        <w:rPr>
          <w:rFonts w:asciiTheme="minorEastAsia" w:hAnsiTheme="minorEastAsia" w:hint="eastAsia"/>
          <w:szCs w:val="21"/>
        </w:rPr>
        <w:t>、发电量、粗钢产量同比增速下降</w:t>
      </w:r>
    </w:p>
    <w:p w:rsidR="004F1718" w:rsidRPr="00B238E7" w:rsidRDefault="004F1718" w:rsidP="005570E2">
      <w:pPr>
        <w:spacing w:afterLines="50" w:line="360" w:lineRule="auto"/>
        <w:ind w:firstLine="420"/>
        <w:jc w:val="center"/>
      </w:pPr>
      <w:r w:rsidRPr="00A12709">
        <w:rPr>
          <w:noProof/>
        </w:rPr>
        <w:drawing>
          <wp:inline distT="0" distB="0" distL="0" distR="0">
            <wp:extent cx="4410075" cy="2352675"/>
            <wp:effectExtent l="19050" t="0" r="9525" b="0"/>
            <wp:docPr id="70"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F1718" w:rsidRDefault="004F1718" w:rsidP="004F1718">
      <w:pPr>
        <w:autoSpaceDE w:val="0"/>
        <w:autoSpaceDN w:val="0"/>
        <w:adjustRightInd w:val="0"/>
        <w:spacing w:line="360" w:lineRule="auto"/>
        <w:ind w:firstLineChars="200" w:firstLine="420"/>
        <w:jc w:val="left"/>
      </w:pPr>
      <w:r w:rsidRPr="006469E2">
        <w:t>9</w:t>
      </w:r>
      <w:r w:rsidRPr="006469E2">
        <w:rPr>
          <w:rFonts w:hint="eastAsia"/>
        </w:rPr>
        <w:t>月份，城镇固定资产投资增速维持相对稳定，同比增速微幅下降</w:t>
      </w:r>
      <w:r w:rsidRPr="006469E2">
        <w:t>0.1</w:t>
      </w:r>
      <w:r w:rsidRPr="006469E2">
        <w:rPr>
          <w:rFonts w:hint="eastAsia"/>
        </w:rPr>
        <w:t>个百分点至</w:t>
      </w:r>
      <w:r w:rsidRPr="006469E2">
        <w:t>20.2%</w:t>
      </w:r>
      <w:r w:rsidRPr="006469E2">
        <w:rPr>
          <w:rFonts w:hint="eastAsia"/>
        </w:rPr>
        <w:t>。其中工业投资增速上行</w:t>
      </w:r>
      <w:r w:rsidRPr="006469E2">
        <w:t>0.5</w:t>
      </w:r>
      <w:r w:rsidRPr="006469E2">
        <w:rPr>
          <w:rFonts w:hint="eastAsia"/>
        </w:rPr>
        <w:t>个百分点至</w:t>
      </w:r>
      <w:r w:rsidRPr="006469E2">
        <w:t>16.6%</w:t>
      </w:r>
      <w:r w:rsidRPr="006469E2">
        <w:rPr>
          <w:rFonts w:hint="eastAsia"/>
        </w:rPr>
        <w:t>，制造业投资上行</w:t>
      </w:r>
      <w:r w:rsidRPr="006469E2">
        <w:t>0.6</w:t>
      </w:r>
      <w:r w:rsidRPr="006469E2">
        <w:rPr>
          <w:rFonts w:hint="eastAsia"/>
        </w:rPr>
        <w:t>个百分点至</w:t>
      </w:r>
      <w:r w:rsidRPr="006469E2">
        <w:t>18.5%</w:t>
      </w:r>
      <w:r w:rsidRPr="006469E2">
        <w:rPr>
          <w:rFonts w:hint="eastAsia"/>
        </w:rPr>
        <w:t>，基础设施投资下行</w:t>
      </w:r>
      <w:r w:rsidRPr="006469E2">
        <w:t>0.5</w:t>
      </w:r>
      <w:r w:rsidRPr="006469E2">
        <w:rPr>
          <w:rFonts w:hint="eastAsia"/>
        </w:rPr>
        <w:t>个百分点至</w:t>
      </w:r>
      <w:r w:rsidRPr="006469E2">
        <w:t>24.2%</w:t>
      </w:r>
      <w:r w:rsidRPr="006469E2">
        <w:rPr>
          <w:rFonts w:hint="eastAsia"/>
        </w:rPr>
        <w:t>。</w:t>
      </w:r>
      <w:r w:rsidRPr="006469E2">
        <w:t xml:space="preserve"> </w:t>
      </w:r>
      <w:r w:rsidRPr="006469E2">
        <w:rPr>
          <w:rFonts w:hint="eastAsia"/>
        </w:rPr>
        <w:t>工业行业中，非金属矿制品业、通用设备业和电器机械及器材上行幅度较大。基础设施建设中，铁路运输投资增速下行最为明显。</w:t>
      </w:r>
      <w:r>
        <w:rPr>
          <w:rFonts w:hint="eastAsia"/>
        </w:rPr>
        <w:t>前三季度固定资产投资同比增长</w:t>
      </w:r>
      <w:r>
        <w:rPr>
          <w:rFonts w:hint="eastAsia"/>
        </w:rPr>
        <w:t>20.2%</w:t>
      </w:r>
      <w:r>
        <w:rPr>
          <w:rFonts w:hint="eastAsia"/>
        </w:rPr>
        <w:t>，增速较二季度回升</w:t>
      </w:r>
      <w:r>
        <w:rPr>
          <w:rFonts w:hint="eastAsia"/>
        </w:rPr>
        <w:t xml:space="preserve">0.1 </w:t>
      </w:r>
      <w:proofErr w:type="gramStart"/>
      <w:r>
        <w:rPr>
          <w:rFonts w:hint="eastAsia"/>
        </w:rPr>
        <w:t>个</w:t>
      </w:r>
      <w:proofErr w:type="gramEnd"/>
      <w:r>
        <w:rPr>
          <w:rFonts w:hint="eastAsia"/>
        </w:rPr>
        <w:t>百分点。</w:t>
      </w:r>
    </w:p>
    <w:p w:rsidR="004F1718" w:rsidRPr="00ED5F69" w:rsidRDefault="004F1718" w:rsidP="004F1718">
      <w:pPr>
        <w:autoSpaceDE w:val="0"/>
        <w:autoSpaceDN w:val="0"/>
        <w:adjustRightInd w:val="0"/>
        <w:spacing w:line="360" w:lineRule="auto"/>
        <w:ind w:firstLineChars="200" w:firstLine="420"/>
        <w:jc w:val="center"/>
      </w:pPr>
      <w:r>
        <w:rPr>
          <w:rFonts w:hint="eastAsia"/>
        </w:rPr>
        <w:t>图</w:t>
      </w:r>
      <w:r>
        <w:rPr>
          <w:rFonts w:hint="eastAsia"/>
        </w:rPr>
        <w:t>9</w:t>
      </w:r>
      <w:r>
        <w:rPr>
          <w:rFonts w:hint="eastAsia"/>
        </w:rPr>
        <w:t>：第一产业与第二产业投资增速</w:t>
      </w:r>
      <w:r w:rsidRPr="008A01C0">
        <w:rPr>
          <w:noProof/>
        </w:rPr>
        <w:drawing>
          <wp:inline distT="0" distB="0" distL="0" distR="0">
            <wp:extent cx="4810125" cy="2667000"/>
            <wp:effectExtent l="19050" t="0" r="9525" b="0"/>
            <wp:docPr id="75" name="图表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F1718" w:rsidRDefault="00AA6E68" w:rsidP="004F1718">
      <w:pPr>
        <w:autoSpaceDE w:val="0"/>
        <w:autoSpaceDN w:val="0"/>
        <w:adjustRightInd w:val="0"/>
        <w:spacing w:line="360" w:lineRule="auto"/>
        <w:ind w:firstLineChars="200" w:firstLine="420"/>
        <w:jc w:val="left"/>
        <w:rPr>
          <w:rFonts w:asciiTheme="minorEastAsia" w:hAnsiTheme="minorEastAsia" w:cs="楷体_GB2312"/>
          <w:kern w:val="0"/>
          <w:szCs w:val="21"/>
        </w:rPr>
      </w:pPr>
      <w:r w:rsidRPr="00AA6E68">
        <w:rPr>
          <w:noProof/>
        </w:rPr>
        <w:pict>
          <v:shape id="_x0000_s2119" type="#_x0000_t202" style="position:absolute;left:0;text-align:left;margin-left:237.55pt;margin-top:129.75pt;width:58.5pt;height:21pt;z-index:251887616" stroked="f">
            <v:textbox>
              <w:txbxContent>
                <w:p w:rsidR="00832D5A" w:rsidRDefault="00832D5A" w:rsidP="007B0AB0">
                  <w:pPr>
                    <w:jc w:val="center"/>
                  </w:pPr>
                  <w:r>
                    <w:rPr>
                      <w:rFonts w:hint="eastAsia"/>
                    </w:rPr>
                    <w:t>第</w:t>
                  </w:r>
                  <w:r>
                    <w:rPr>
                      <w:rFonts w:hint="eastAsia"/>
                    </w:rPr>
                    <w:t>5</w:t>
                  </w:r>
                  <w:r>
                    <w:rPr>
                      <w:rFonts w:hint="eastAsia"/>
                    </w:rPr>
                    <w:t>页</w:t>
                  </w:r>
                  <w:r>
                    <w:rPr>
                      <w:rFonts w:hint="eastAsia"/>
                      <w:noProof/>
                    </w:rPr>
                    <w:drawing>
                      <wp:inline distT="0" distB="0" distL="0" distR="0">
                        <wp:extent cx="560070" cy="201051"/>
                        <wp:effectExtent l="19050" t="0" r="0" b="0"/>
                        <wp:docPr id="1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60070" cy="201051"/>
                                </a:xfrm>
                                <a:prstGeom prst="rect">
                                  <a:avLst/>
                                </a:prstGeom>
                                <a:noFill/>
                                <a:ln w="9525">
                                  <a:noFill/>
                                  <a:miter lim="800000"/>
                                  <a:headEnd/>
                                  <a:tailEnd/>
                                </a:ln>
                              </pic:spPr>
                            </pic:pic>
                          </a:graphicData>
                        </a:graphic>
                      </wp:inline>
                    </w:drawing>
                  </w:r>
                  <w:r>
                    <w:rPr>
                      <w:rFonts w:hint="eastAsia"/>
                    </w:rPr>
                    <w:t>页</w:t>
                  </w:r>
                </w:p>
                <w:p w:rsidR="00832D5A" w:rsidRPr="00453D44" w:rsidRDefault="00832D5A" w:rsidP="007B0AB0"/>
              </w:txbxContent>
            </v:textbox>
          </v:shape>
        </w:pict>
      </w:r>
      <w:r w:rsidR="004F1718" w:rsidRPr="00B22E2C">
        <w:t xml:space="preserve">1-9 </w:t>
      </w:r>
      <w:r w:rsidR="004F1718" w:rsidRPr="00B22E2C">
        <w:rPr>
          <w:rFonts w:hint="eastAsia"/>
        </w:rPr>
        <w:t>月份，社会消费品零售总额</w:t>
      </w:r>
      <w:r w:rsidR="004F1718" w:rsidRPr="00B22E2C">
        <w:t xml:space="preserve">168816 </w:t>
      </w:r>
      <w:r w:rsidR="004F1718" w:rsidRPr="00B22E2C">
        <w:rPr>
          <w:rFonts w:hint="eastAsia"/>
        </w:rPr>
        <w:t>亿元，同比增长</w:t>
      </w:r>
      <w:r w:rsidR="004F1718" w:rsidRPr="00B22E2C">
        <w:t>12.9%</w:t>
      </w:r>
      <w:r w:rsidR="004F1718" w:rsidRPr="00B22E2C">
        <w:rPr>
          <w:rFonts w:hint="eastAsia"/>
        </w:rPr>
        <w:t>。</w:t>
      </w:r>
      <w:r w:rsidR="004F1718">
        <w:rPr>
          <w:rFonts w:hint="eastAsia"/>
        </w:rPr>
        <w:t xml:space="preserve">9 </w:t>
      </w:r>
      <w:r w:rsidR="004F1718">
        <w:rPr>
          <w:rFonts w:hint="eastAsia"/>
        </w:rPr>
        <w:t>月份，社会消费品零售总额</w:t>
      </w:r>
      <w:r w:rsidR="004F1718">
        <w:rPr>
          <w:rFonts w:hint="eastAsia"/>
        </w:rPr>
        <w:t xml:space="preserve">20653 </w:t>
      </w:r>
      <w:r w:rsidR="004F1718">
        <w:rPr>
          <w:rFonts w:hint="eastAsia"/>
        </w:rPr>
        <w:t>亿元，同比名义增长</w:t>
      </w:r>
      <w:r w:rsidR="004F1718">
        <w:rPr>
          <w:rFonts w:hint="eastAsia"/>
        </w:rPr>
        <w:t>13.3%</w:t>
      </w:r>
      <w:r w:rsidR="004F1718">
        <w:rPr>
          <w:rFonts w:hint="eastAsia"/>
        </w:rPr>
        <w:t>（扣除价格因素实际增长</w:t>
      </w:r>
      <w:r w:rsidR="004F1718">
        <w:rPr>
          <w:rFonts w:hint="eastAsia"/>
        </w:rPr>
        <w:t>11.2%</w:t>
      </w:r>
      <w:r w:rsidR="004F1718">
        <w:rPr>
          <w:rFonts w:hint="eastAsia"/>
        </w:rPr>
        <w:t>）。其中，限额以上企业（单位）消费品零售额</w:t>
      </w:r>
      <w:r w:rsidR="004F1718">
        <w:rPr>
          <w:rFonts w:hint="eastAsia"/>
        </w:rPr>
        <w:t>10526</w:t>
      </w:r>
      <w:r w:rsidR="004F1718">
        <w:rPr>
          <w:rFonts w:hint="eastAsia"/>
        </w:rPr>
        <w:t>亿元，增长</w:t>
      </w:r>
      <w:r w:rsidR="004F1718">
        <w:rPr>
          <w:rFonts w:hint="eastAsia"/>
        </w:rPr>
        <w:t>12.4%</w:t>
      </w:r>
      <w:r w:rsidR="004F1718">
        <w:rPr>
          <w:rFonts w:hint="eastAsia"/>
        </w:rPr>
        <w:t>。按经营单位所在地分，</w:t>
      </w:r>
      <w:r w:rsidR="004F1718">
        <w:rPr>
          <w:rFonts w:hint="eastAsia"/>
        </w:rPr>
        <w:t xml:space="preserve">9 </w:t>
      </w:r>
      <w:r w:rsidR="004F1718">
        <w:rPr>
          <w:rFonts w:hint="eastAsia"/>
        </w:rPr>
        <w:t>月份，城镇消费品零售额</w:t>
      </w:r>
      <w:r w:rsidR="004F1718">
        <w:rPr>
          <w:rFonts w:hint="eastAsia"/>
        </w:rPr>
        <w:t xml:space="preserve">17606 </w:t>
      </w:r>
      <w:r w:rsidR="004F1718">
        <w:rPr>
          <w:rFonts w:hint="eastAsia"/>
        </w:rPr>
        <w:t>亿元，同比增长</w:t>
      </w:r>
      <w:r w:rsidR="004F1718">
        <w:rPr>
          <w:rFonts w:hint="eastAsia"/>
        </w:rPr>
        <w:t>13.1%</w:t>
      </w:r>
      <w:r w:rsidR="004F1718">
        <w:rPr>
          <w:rFonts w:hint="eastAsia"/>
        </w:rPr>
        <w:t>；乡村消费品零售额</w:t>
      </w:r>
      <w:r w:rsidR="004F1718">
        <w:rPr>
          <w:rFonts w:hint="eastAsia"/>
        </w:rPr>
        <w:t xml:space="preserve">3047 </w:t>
      </w:r>
      <w:r w:rsidR="004F1718">
        <w:rPr>
          <w:rFonts w:hint="eastAsia"/>
        </w:rPr>
        <w:t>亿元，增长</w:t>
      </w:r>
      <w:r w:rsidR="004F1718">
        <w:rPr>
          <w:rFonts w:hint="eastAsia"/>
        </w:rPr>
        <w:t>14.8%</w:t>
      </w:r>
      <w:r w:rsidR="004F1718">
        <w:rPr>
          <w:rFonts w:hint="eastAsia"/>
        </w:rPr>
        <w:t>。</w:t>
      </w:r>
      <w:r w:rsidR="004F1718">
        <w:rPr>
          <w:rFonts w:hint="eastAsia"/>
        </w:rPr>
        <w:t xml:space="preserve">1-9 </w:t>
      </w:r>
      <w:r w:rsidR="004F1718">
        <w:rPr>
          <w:rFonts w:hint="eastAsia"/>
        </w:rPr>
        <w:t>月份，城镇消费品零售额</w:t>
      </w:r>
      <w:r w:rsidR="004F1718">
        <w:rPr>
          <w:rFonts w:hint="eastAsia"/>
        </w:rPr>
        <w:t xml:space="preserve">145799 </w:t>
      </w:r>
      <w:r w:rsidR="004F1718">
        <w:rPr>
          <w:rFonts w:hint="eastAsia"/>
        </w:rPr>
        <w:t>亿元，同比增长</w:t>
      </w:r>
      <w:r w:rsidR="004F1718">
        <w:rPr>
          <w:rFonts w:hint="eastAsia"/>
        </w:rPr>
        <w:t>12.7%</w:t>
      </w:r>
      <w:r w:rsidR="004F1718">
        <w:rPr>
          <w:rFonts w:hint="eastAsia"/>
        </w:rPr>
        <w:t>；乡村消</w:t>
      </w:r>
      <w:r w:rsidR="004F1718">
        <w:rPr>
          <w:rFonts w:hint="eastAsia"/>
        </w:rPr>
        <w:lastRenderedPageBreak/>
        <w:t>费品零售额</w:t>
      </w:r>
      <w:r w:rsidR="004F1718">
        <w:rPr>
          <w:rFonts w:hint="eastAsia"/>
        </w:rPr>
        <w:t xml:space="preserve">23018 </w:t>
      </w:r>
      <w:r w:rsidR="004F1718">
        <w:rPr>
          <w:rFonts w:hint="eastAsia"/>
        </w:rPr>
        <w:t>亿元，增长</w:t>
      </w:r>
      <w:r w:rsidR="004F1718">
        <w:rPr>
          <w:rFonts w:hint="eastAsia"/>
        </w:rPr>
        <w:t>14.5%</w:t>
      </w:r>
      <w:r w:rsidR="004F1718">
        <w:rPr>
          <w:rFonts w:hint="eastAsia"/>
        </w:rPr>
        <w:t>。按消费形态分，</w:t>
      </w:r>
      <w:r w:rsidR="004F1718">
        <w:rPr>
          <w:rFonts w:hint="eastAsia"/>
        </w:rPr>
        <w:t xml:space="preserve">9 </w:t>
      </w:r>
      <w:r w:rsidR="004F1718">
        <w:rPr>
          <w:rFonts w:hint="eastAsia"/>
        </w:rPr>
        <w:t>月份，餐饮收入</w:t>
      </w:r>
      <w:r w:rsidR="004F1718">
        <w:rPr>
          <w:rFonts w:hint="eastAsia"/>
        </w:rPr>
        <w:t xml:space="preserve">2259 </w:t>
      </w:r>
      <w:r w:rsidR="004F1718">
        <w:rPr>
          <w:rFonts w:hint="eastAsia"/>
        </w:rPr>
        <w:t>亿元，同比增长</w:t>
      </w:r>
      <w:r w:rsidR="004F1718">
        <w:rPr>
          <w:rFonts w:hint="eastAsia"/>
        </w:rPr>
        <w:t>9.1%</w:t>
      </w:r>
      <w:r w:rsidR="004F1718">
        <w:rPr>
          <w:rFonts w:hint="eastAsia"/>
        </w:rPr>
        <w:t>；商品零售</w:t>
      </w:r>
      <w:r w:rsidR="004F1718">
        <w:rPr>
          <w:rFonts w:hint="eastAsia"/>
        </w:rPr>
        <w:t xml:space="preserve">18394 </w:t>
      </w:r>
      <w:r w:rsidR="004F1718">
        <w:rPr>
          <w:rFonts w:hint="eastAsia"/>
        </w:rPr>
        <w:t>亿元，增长</w:t>
      </w:r>
      <w:r w:rsidR="004F1718">
        <w:rPr>
          <w:rFonts w:hint="eastAsia"/>
        </w:rPr>
        <w:t>13.9%</w:t>
      </w:r>
      <w:r w:rsidR="004F1718">
        <w:rPr>
          <w:rFonts w:hint="eastAsia"/>
        </w:rPr>
        <w:t>。</w:t>
      </w:r>
      <w:r w:rsidR="004F1718">
        <w:rPr>
          <w:rFonts w:hint="eastAsia"/>
        </w:rPr>
        <w:t xml:space="preserve">1-9 </w:t>
      </w:r>
      <w:r w:rsidR="004F1718">
        <w:rPr>
          <w:rFonts w:hint="eastAsia"/>
        </w:rPr>
        <w:t>月份，餐饮收入</w:t>
      </w:r>
      <w:r w:rsidR="004F1718">
        <w:rPr>
          <w:rFonts w:hint="eastAsia"/>
        </w:rPr>
        <w:t xml:space="preserve">18178 </w:t>
      </w:r>
      <w:r w:rsidR="004F1718">
        <w:rPr>
          <w:rFonts w:hint="eastAsia"/>
        </w:rPr>
        <w:t>亿元，同比增长</w:t>
      </w:r>
      <w:r w:rsidR="004F1718">
        <w:rPr>
          <w:rFonts w:hint="eastAsia"/>
        </w:rPr>
        <w:t>8.9%</w:t>
      </w:r>
      <w:r w:rsidR="004F1718">
        <w:rPr>
          <w:rFonts w:hint="eastAsia"/>
        </w:rPr>
        <w:t>；商品零售</w:t>
      </w:r>
      <w:r w:rsidR="004F1718">
        <w:rPr>
          <w:rFonts w:hint="eastAsia"/>
        </w:rPr>
        <w:t xml:space="preserve">150639 </w:t>
      </w:r>
      <w:r w:rsidR="004F1718">
        <w:rPr>
          <w:rFonts w:hint="eastAsia"/>
        </w:rPr>
        <w:t>亿元，增长</w:t>
      </w:r>
      <w:r w:rsidR="004F1718">
        <w:rPr>
          <w:rFonts w:hint="eastAsia"/>
        </w:rPr>
        <w:t>13.4%</w:t>
      </w:r>
      <w:r w:rsidR="004F1718">
        <w:rPr>
          <w:rFonts w:hint="eastAsia"/>
        </w:rPr>
        <w:t>。</w:t>
      </w:r>
      <w:r w:rsidR="004F1718" w:rsidRPr="00B22E2C">
        <w:rPr>
          <w:rFonts w:hint="eastAsia"/>
        </w:rPr>
        <w:t>在中央厉行反腐背景下，消费增速将在低位平台保持平稳。</w:t>
      </w:r>
    </w:p>
    <w:p w:rsidR="004F1718" w:rsidRDefault="004F1718" w:rsidP="004F1718">
      <w:pPr>
        <w:autoSpaceDE w:val="0"/>
        <w:autoSpaceDN w:val="0"/>
        <w:adjustRightInd w:val="0"/>
        <w:spacing w:line="360" w:lineRule="auto"/>
        <w:ind w:firstLineChars="200" w:firstLine="420"/>
        <w:jc w:val="center"/>
        <w:rPr>
          <w:rFonts w:asciiTheme="minorEastAsia" w:hAnsiTheme="minorEastAsia" w:cs="楷体_GB2312"/>
          <w:kern w:val="0"/>
          <w:szCs w:val="21"/>
        </w:rPr>
      </w:pPr>
      <w:r>
        <w:rPr>
          <w:rFonts w:asciiTheme="minorEastAsia" w:hAnsiTheme="minorEastAsia" w:cs="楷体_GB2312" w:hint="eastAsia"/>
          <w:noProof/>
          <w:kern w:val="0"/>
          <w:szCs w:val="21"/>
        </w:rPr>
        <w:drawing>
          <wp:anchor distT="0" distB="0" distL="114300" distR="114300" simplePos="0" relativeHeight="251826176" behindDoc="1" locked="0" layoutInCell="1" allowOverlap="1">
            <wp:simplePos x="0" y="0"/>
            <wp:positionH relativeFrom="column">
              <wp:posOffset>-674370</wp:posOffset>
            </wp:positionH>
            <wp:positionV relativeFrom="paragraph">
              <wp:posOffset>-2331720</wp:posOffset>
            </wp:positionV>
            <wp:extent cx="7581900" cy="10725150"/>
            <wp:effectExtent l="19050" t="0" r="0" b="0"/>
            <wp:wrapNone/>
            <wp:docPr id="95"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Pr>
          <w:rFonts w:asciiTheme="minorEastAsia" w:hAnsiTheme="minorEastAsia" w:cs="楷体_GB2312" w:hint="eastAsia"/>
          <w:kern w:val="0"/>
          <w:szCs w:val="21"/>
        </w:rPr>
        <w:t>图10：</w:t>
      </w:r>
      <w:r w:rsidRPr="00FA41EF">
        <w:rPr>
          <w:rFonts w:asciiTheme="minorEastAsia" w:hAnsiTheme="minorEastAsia" w:cs="楷体_GB2312" w:hint="eastAsia"/>
          <w:kern w:val="0"/>
          <w:szCs w:val="21"/>
        </w:rPr>
        <w:t>消费品零售情况</w:t>
      </w:r>
    </w:p>
    <w:p w:rsidR="004F1718" w:rsidRPr="00B238E7" w:rsidRDefault="004F1718" w:rsidP="004F1718">
      <w:pPr>
        <w:autoSpaceDE w:val="0"/>
        <w:autoSpaceDN w:val="0"/>
        <w:adjustRightInd w:val="0"/>
        <w:spacing w:line="360" w:lineRule="auto"/>
        <w:ind w:firstLineChars="200" w:firstLine="420"/>
        <w:jc w:val="center"/>
        <w:rPr>
          <w:rFonts w:asciiTheme="minorEastAsia" w:hAnsiTheme="minorEastAsia" w:cs="楷体_GB2312"/>
          <w:kern w:val="0"/>
          <w:szCs w:val="21"/>
        </w:rPr>
      </w:pPr>
      <w:r w:rsidRPr="00C06C57">
        <w:rPr>
          <w:rFonts w:asciiTheme="minorEastAsia" w:hAnsiTheme="minorEastAsia" w:cs="楷体_GB2312"/>
          <w:noProof/>
          <w:kern w:val="0"/>
          <w:szCs w:val="21"/>
        </w:rPr>
        <w:drawing>
          <wp:inline distT="0" distB="0" distL="0" distR="0">
            <wp:extent cx="4905375" cy="2628900"/>
            <wp:effectExtent l="19050" t="0" r="9525" b="0"/>
            <wp:docPr id="72" name="图表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F1718" w:rsidRDefault="004F1718" w:rsidP="004F1718">
      <w:pPr>
        <w:autoSpaceDE w:val="0"/>
        <w:autoSpaceDN w:val="0"/>
        <w:adjustRightInd w:val="0"/>
        <w:spacing w:line="360" w:lineRule="auto"/>
        <w:ind w:firstLineChars="200" w:firstLine="420"/>
        <w:jc w:val="left"/>
      </w:pPr>
      <w:r w:rsidRPr="007874D5">
        <w:rPr>
          <w:rFonts w:hint="eastAsia"/>
        </w:rPr>
        <w:t>9</w:t>
      </w:r>
      <w:r w:rsidRPr="007874D5">
        <w:rPr>
          <w:rFonts w:hint="eastAsia"/>
        </w:rPr>
        <w:t>月出口同比下滑</w:t>
      </w:r>
      <w:r w:rsidRPr="007874D5">
        <w:rPr>
          <w:rFonts w:hint="eastAsia"/>
        </w:rPr>
        <w:t xml:space="preserve"> 0.3%</w:t>
      </w:r>
      <w:r w:rsidRPr="007874D5">
        <w:rPr>
          <w:rFonts w:hint="eastAsia"/>
        </w:rPr>
        <w:t>，进口同比增长</w:t>
      </w:r>
      <w:r w:rsidRPr="007874D5">
        <w:rPr>
          <w:rFonts w:hint="eastAsia"/>
        </w:rPr>
        <w:t xml:space="preserve"> 7.4%</w:t>
      </w:r>
      <w:r w:rsidRPr="007874D5">
        <w:rPr>
          <w:rFonts w:hint="eastAsia"/>
        </w:rPr>
        <w:t>，贸易盈余收窄至</w:t>
      </w:r>
      <w:r w:rsidRPr="007874D5">
        <w:rPr>
          <w:rFonts w:hint="eastAsia"/>
        </w:rPr>
        <w:t xml:space="preserve"> 152 </w:t>
      </w:r>
      <w:r w:rsidRPr="007874D5">
        <w:rPr>
          <w:rFonts w:hint="eastAsia"/>
        </w:rPr>
        <w:t>亿美元。最主要的可能是新兴市场</w:t>
      </w:r>
      <w:r w:rsidRPr="007874D5">
        <w:rPr>
          <w:rFonts w:hint="eastAsia"/>
        </w:rPr>
        <w:t xml:space="preserve"> 6-7 </w:t>
      </w:r>
      <w:r w:rsidRPr="007874D5">
        <w:rPr>
          <w:rFonts w:hint="eastAsia"/>
        </w:rPr>
        <w:t>月份货币大幅贬值“</w:t>
      </w:r>
      <w:r w:rsidRPr="007874D5">
        <w:rPr>
          <w:rFonts w:hint="eastAsia"/>
        </w:rPr>
        <w:t>J</w:t>
      </w:r>
      <w:r w:rsidRPr="007874D5">
        <w:rPr>
          <w:rFonts w:hint="eastAsia"/>
        </w:rPr>
        <w:t>”效应已过，汇率贬值对中国出口的逆向冲击开始体现。其次，海外欧美经济体经济恢复较为疲态，</w:t>
      </w:r>
      <w:proofErr w:type="gramStart"/>
      <w:r w:rsidRPr="007874D5">
        <w:rPr>
          <w:rFonts w:hint="eastAsia"/>
        </w:rPr>
        <w:t>需求环</w:t>
      </w:r>
      <w:proofErr w:type="gramEnd"/>
      <w:r w:rsidRPr="007874D5">
        <w:rPr>
          <w:rFonts w:hint="eastAsia"/>
        </w:rPr>
        <w:t>比仍有反复。从出口贸易国别增速来看，</w:t>
      </w:r>
      <w:r>
        <w:rPr>
          <w:rFonts w:hint="eastAsia"/>
        </w:rPr>
        <w:t>9</w:t>
      </w:r>
      <w:r w:rsidRPr="007874D5">
        <w:rPr>
          <w:rFonts w:hint="eastAsia"/>
        </w:rPr>
        <w:t>月份</w:t>
      </w:r>
      <w:r>
        <w:rPr>
          <w:rFonts w:hint="eastAsia"/>
        </w:rPr>
        <w:t>，</w:t>
      </w:r>
      <w:r w:rsidRPr="007874D5">
        <w:rPr>
          <w:rFonts w:hint="eastAsia"/>
        </w:rPr>
        <w:t>对</w:t>
      </w:r>
      <w:r>
        <w:rPr>
          <w:rFonts w:hint="eastAsia"/>
        </w:rPr>
        <w:t>美、日及欧盟的出口增速环比涨跌不一。其中，美欧出口增速环比回落，</w:t>
      </w:r>
      <w:r w:rsidRPr="007874D5">
        <w:rPr>
          <w:rFonts w:hint="eastAsia"/>
        </w:rPr>
        <w:t>对日本出口增速开始回到正增长</w:t>
      </w:r>
      <w:r>
        <w:rPr>
          <w:rFonts w:hint="eastAsia"/>
        </w:rPr>
        <w:t>。</w:t>
      </w:r>
      <w:r w:rsidRPr="007874D5">
        <w:rPr>
          <w:rFonts w:hint="eastAsia"/>
        </w:rPr>
        <w:t>从新兴市场来看，货币贬值已经开始影响国别间贸易，印度、菲律宾、巴西等国家的进口可能对中国贸易继续产生冲击。</w:t>
      </w:r>
      <w:r>
        <w:rPr>
          <w:rFonts w:hint="eastAsia"/>
        </w:rPr>
        <w:t>未来</w:t>
      </w:r>
      <w:r w:rsidRPr="007874D5">
        <w:rPr>
          <w:rFonts w:hint="eastAsia"/>
        </w:rPr>
        <w:t>欧美经济经济复苏缓慢回暖，海内外需求继续</w:t>
      </w:r>
      <w:proofErr w:type="gramStart"/>
      <w:r w:rsidRPr="007874D5">
        <w:rPr>
          <w:rFonts w:hint="eastAsia"/>
        </w:rPr>
        <w:t>回暖仍</w:t>
      </w:r>
      <w:proofErr w:type="gramEnd"/>
      <w:r w:rsidRPr="007874D5">
        <w:rPr>
          <w:rFonts w:hint="eastAsia"/>
        </w:rPr>
        <w:t>取决于经济复苏的弹性。</w:t>
      </w:r>
    </w:p>
    <w:p w:rsidR="004F1718" w:rsidRDefault="004F1718" w:rsidP="005570E2">
      <w:pPr>
        <w:spacing w:afterLines="50" w:line="360" w:lineRule="auto"/>
        <w:ind w:firstLineChars="200" w:firstLine="420"/>
        <w:jc w:val="left"/>
        <w:rPr>
          <w:szCs w:val="21"/>
        </w:rPr>
      </w:pPr>
      <w:r w:rsidRPr="00754129">
        <w:rPr>
          <w:rFonts w:hint="eastAsia"/>
          <w:szCs w:val="21"/>
        </w:rPr>
        <w:t>从货币供应量数据来看，</w:t>
      </w:r>
      <w:r w:rsidRPr="00754129">
        <w:rPr>
          <w:rFonts w:hint="eastAsia"/>
          <w:szCs w:val="21"/>
        </w:rPr>
        <w:t>9</w:t>
      </w:r>
      <w:r w:rsidRPr="00754129">
        <w:rPr>
          <w:rFonts w:hint="eastAsia"/>
          <w:szCs w:val="21"/>
        </w:rPr>
        <w:t>月广义货币供应量</w:t>
      </w:r>
      <w:r w:rsidRPr="00754129">
        <w:rPr>
          <w:rFonts w:hint="eastAsia"/>
          <w:szCs w:val="21"/>
        </w:rPr>
        <w:t>(M2)</w:t>
      </w:r>
      <w:r w:rsidRPr="00754129">
        <w:rPr>
          <w:rFonts w:hint="eastAsia"/>
          <w:szCs w:val="21"/>
        </w:rPr>
        <w:t>余额同比增长</w:t>
      </w:r>
      <w:r w:rsidRPr="00754129">
        <w:rPr>
          <w:rFonts w:hint="eastAsia"/>
          <w:szCs w:val="21"/>
        </w:rPr>
        <w:t xml:space="preserve"> 14.2%</w:t>
      </w:r>
      <w:r w:rsidRPr="00754129">
        <w:rPr>
          <w:rFonts w:hint="eastAsia"/>
          <w:szCs w:val="21"/>
        </w:rPr>
        <w:t>，较上月环比下降</w:t>
      </w:r>
      <w:r w:rsidRPr="00754129">
        <w:rPr>
          <w:rFonts w:hint="eastAsia"/>
          <w:szCs w:val="21"/>
        </w:rPr>
        <w:t xml:space="preserve"> 0.5 </w:t>
      </w:r>
      <w:proofErr w:type="gramStart"/>
      <w:r w:rsidRPr="00754129">
        <w:rPr>
          <w:rFonts w:hint="eastAsia"/>
          <w:szCs w:val="21"/>
        </w:rPr>
        <w:t>个</w:t>
      </w:r>
      <w:proofErr w:type="gramEnd"/>
      <w:r w:rsidRPr="00754129">
        <w:rPr>
          <w:rFonts w:hint="eastAsia"/>
          <w:szCs w:val="21"/>
        </w:rPr>
        <w:t>百分点，较去年同期环比下降</w:t>
      </w:r>
      <w:r w:rsidRPr="00754129">
        <w:rPr>
          <w:rFonts w:hint="eastAsia"/>
          <w:szCs w:val="21"/>
        </w:rPr>
        <w:t xml:space="preserve"> 0.6 </w:t>
      </w:r>
      <w:proofErr w:type="gramStart"/>
      <w:r w:rsidRPr="00754129">
        <w:rPr>
          <w:rFonts w:hint="eastAsia"/>
          <w:szCs w:val="21"/>
        </w:rPr>
        <w:t>个</w:t>
      </w:r>
      <w:proofErr w:type="gramEnd"/>
      <w:r w:rsidRPr="00754129">
        <w:rPr>
          <w:rFonts w:hint="eastAsia"/>
          <w:szCs w:val="21"/>
        </w:rPr>
        <w:t>百分点；狭义货币供应量</w:t>
      </w:r>
      <w:r w:rsidRPr="00754129">
        <w:rPr>
          <w:rFonts w:hint="eastAsia"/>
          <w:szCs w:val="21"/>
        </w:rPr>
        <w:t>(M1)</w:t>
      </w:r>
      <w:r w:rsidRPr="00754129">
        <w:rPr>
          <w:rFonts w:hint="eastAsia"/>
          <w:szCs w:val="21"/>
        </w:rPr>
        <w:t>余额同比增长</w:t>
      </w:r>
      <w:r w:rsidRPr="00754129">
        <w:rPr>
          <w:rFonts w:hint="eastAsia"/>
          <w:szCs w:val="21"/>
        </w:rPr>
        <w:t xml:space="preserve"> 8.9%</w:t>
      </w:r>
      <w:r w:rsidRPr="00754129">
        <w:rPr>
          <w:rFonts w:hint="eastAsia"/>
          <w:szCs w:val="21"/>
        </w:rPr>
        <w:t>，增幅较上月回落</w:t>
      </w:r>
      <w:r w:rsidRPr="00754129">
        <w:rPr>
          <w:rFonts w:hint="eastAsia"/>
          <w:szCs w:val="21"/>
        </w:rPr>
        <w:t xml:space="preserve"> 1 </w:t>
      </w:r>
      <w:proofErr w:type="gramStart"/>
      <w:r w:rsidRPr="00754129">
        <w:rPr>
          <w:rFonts w:hint="eastAsia"/>
          <w:szCs w:val="21"/>
        </w:rPr>
        <w:t>个</w:t>
      </w:r>
      <w:proofErr w:type="gramEnd"/>
      <w:r w:rsidRPr="00754129">
        <w:rPr>
          <w:rFonts w:hint="eastAsia"/>
          <w:szCs w:val="21"/>
        </w:rPr>
        <w:t>百分点，较去年同期大</w:t>
      </w:r>
      <w:r w:rsidRPr="00975ACD">
        <w:rPr>
          <w:rFonts w:hint="eastAsia"/>
          <w:szCs w:val="21"/>
        </w:rPr>
        <w:t>幅</w:t>
      </w:r>
      <w:r w:rsidRPr="00975ACD">
        <w:rPr>
          <w:rFonts w:hint="eastAsia"/>
          <w:szCs w:val="21"/>
        </w:rPr>
        <w:t xml:space="preserve"> 1.6 </w:t>
      </w:r>
      <w:proofErr w:type="gramStart"/>
      <w:r w:rsidRPr="00975ACD">
        <w:rPr>
          <w:rFonts w:hint="eastAsia"/>
          <w:szCs w:val="21"/>
        </w:rPr>
        <w:t>个</w:t>
      </w:r>
      <w:proofErr w:type="gramEnd"/>
      <w:r w:rsidRPr="00975ACD">
        <w:rPr>
          <w:rFonts w:hint="eastAsia"/>
          <w:szCs w:val="21"/>
        </w:rPr>
        <w:t>百分点。</w:t>
      </w:r>
      <w:r w:rsidRPr="00D224B2">
        <w:rPr>
          <w:rFonts w:hint="eastAsia"/>
          <w:szCs w:val="21"/>
        </w:rPr>
        <w:t>社会融资规模</w:t>
      </w:r>
      <w:r w:rsidRPr="00D224B2">
        <w:rPr>
          <w:szCs w:val="21"/>
        </w:rPr>
        <w:t xml:space="preserve"> 1.40 </w:t>
      </w:r>
      <w:r w:rsidRPr="00D224B2">
        <w:rPr>
          <w:rFonts w:hint="eastAsia"/>
          <w:szCs w:val="21"/>
        </w:rPr>
        <w:t>万亿，较去年同期减少</w:t>
      </w:r>
      <w:r w:rsidRPr="00D224B2">
        <w:rPr>
          <w:szCs w:val="21"/>
        </w:rPr>
        <w:t xml:space="preserve"> 2,462 </w:t>
      </w:r>
      <w:r w:rsidRPr="00D224B2">
        <w:rPr>
          <w:rFonts w:hint="eastAsia"/>
          <w:szCs w:val="21"/>
        </w:rPr>
        <w:t>亿，较上月环比减少</w:t>
      </w:r>
      <w:r w:rsidRPr="00D224B2">
        <w:rPr>
          <w:szCs w:val="21"/>
        </w:rPr>
        <w:t xml:space="preserve"> 1,687 </w:t>
      </w:r>
      <w:r w:rsidRPr="00D224B2">
        <w:rPr>
          <w:rFonts w:hint="eastAsia"/>
          <w:szCs w:val="21"/>
        </w:rPr>
        <w:t>亿。本月社会融资规模虽然有减少，但依然维持较高的规模。具体看，表内融资有所恢复，体现在人民币贷款、外币贷款均出现环比改善，多增</w:t>
      </w:r>
      <w:r w:rsidRPr="00D224B2">
        <w:rPr>
          <w:rFonts w:hint="eastAsia"/>
          <w:szCs w:val="21"/>
        </w:rPr>
        <w:t xml:space="preserve"> 757 </w:t>
      </w:r>
      <w:r w:rsidRPr="00D224B2">
        <w:rPr>
          <w:rFonts w:hint="eastAsia"/>
          <w:szCs w:val="21"/>
        </w:rPr>
        <w:t>亿和</w:t>
      </w:r>
      <w:r w:rsidRPr="00D224B2">
        <w:rPr>
          <w:rFonts w:hint="eastAsia"/>
          <w:szCs w:val="21"/>
        </w:rPr>
        <w:t xml:space="preserve"> 1,251 </w:t>
      </w:r>
      <w:r w:rsidRPr="00D224B2">
        <w:rPr>
          <w:rFonts w:hint="eastAsia"/>
          <w:szCs w:val="21"/>
        </w:rPr>
        <w:t>亿；信托贷款继续保持稳定增长，委托贷款虽有下降，但依然维持高位</w:t>
      </w:r>
      <w:r>
        <w:rPr>
          <w:rFonts w:hint="eastAsia"/>
          <w:szCs w:val="21"/>
        </w:rPr>
        <w:t>。</w:t>
      </w:r>
    </w:p>
    <w:p w:rsidR="004F1718" w:rsidRPr="004F1718" w:rsidRDefault="004F1718" w:rsidP="004F1718">
      <w:pPr>
        <w:autoSpaceDE w:val="0"/>
        <w:autoSpaceDN w:val="0"/>
        <w:adjustRightInd w:val="0"/>
        <w:spacing w:line="360" w:lineRule="auto"/>
        <w:ind w:firstLineChars="200" w:firstLine="420"/>
        <w:jc w:val="left"/>
      </w:pPr>
    </w:p>
    <w:p w:rsidR="004F1718" w:rsidRDefault="00AA6E68" w:rsidP="004F1718">
      <w:pPr>
        <w:autoSpaceDE w:val="0"/>
        <w:autoSpaceDN w:val="0"/>
        <w:adjustRightInd w:val="0"/>
        <w:spacing w:line="360" w:lineRule="auto"/>
        <w:ind w:firstLineChars="200" w:firstLine="420"/>
        <w:jc w:val="left"/>
      </w:pPr>
      <w:r>
        <w:rPr>
          <w:noProof/>
        </w:rPr>
        <w:pict>
          <v:shape id="_x0000_s2120" type="#_x0000_t202" style="position:absolute;left:0;text-align:left;margin-left:234.55pt;margin-top:61.35pt;width:58.5pt;height:21pt;z-index:251888640" stroked="f">
            <v:textbox>
              <w:txbxContent>
                <w:p w:rsidR="00832D5A" w:rsidRDefault="00832D5A" w:rsidP="007B0AB0">
                  <w:pPr>
                    <w:jc w:val="center"/>
                  </w:pPr>
                  <w:r>
                    <w:rPr>
                      <w:rFonts w:hint="eastAsia"/>
                    </w:rPr>
                    <w:t>第</w:t>
                  </w:r>
                  <w:r>
                    <w:rPr>
                      <w:rFonts w:hint="eastAsia"/>
                    </w:rPr>
                    <w:t>6</w:t>
                  </w:r>
                  <w:r>
                    <w:rPr>
                      <w:rFonts w:hint="eastAsia"/>
                    </w:rPr>
                    <w:t>页</w:t>
                  </w:r>
                  <w:r>
                    <w:rPr>
                      <w:rFonts w:hint="eastAsia"/>
                      <w:noProof/>
                    </w:rPr>
                    <w:drawing>
                      <wp:inline distT="0" distB="0" distL="0" distR="0">
                        <wp:extent cx="560070" cy="201051"/>
                        <wp:effectExtent l="19050" t="0" r="0" b="0"/>
                        <wp:docPr id="1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60070" cy="201051"/>
                                </a:xfrm>
                                <a:prstGeom prst="rect">
                                  <a:avLst/>
                                </a:prstGeom>
                                <a:noFill/>
                                <a:ln w="9525">
                                  <a:noFill/>
                                  <a:miter lim="800000"/>
                                  <a:headEnd/>
                                  <a:tailEnd/>
                                </a:ln>
                              </pic:spPr>
                            </pic:pic>
                          </a:graphicData>
                        </a:graphic>
                      </wp:inline>
                    </w:drawing>
                  </w:r>
                  <w:r>
                    <w:rPr>
                      <w:rFonts w:hint="eastAsia"/>
                    </w:rPr>
                    <w:t>页</w:t>
                  </w:r>
                </w:p>
                <w:p w:rsidR="00832D5A" w:rsidRPr="00453D44" w:rsidRDefault="00832D5A" w:rsidP="007B0AB0"/>
              </w:txbxContent>
            </v:textbox>
          </v:shape>
        </w:pict>
      </w:r>
    </w:p>
    <w:p w:rsidR="004F1718" w:rsidRDefault="0057362C" w:rsidP="005570E2">
      <w:pPr>
        <w:spacing w:afterLines="50" w:line="360" w:lineRule="auto"/>
        <w:ind w:firstLineChars="200" w:firstLine="420"/>
        <w:jc w:val="left"/>
        <w:rPr>
          <w:szCs w:val="21"/>
        </w:rPr>
      </w:pPr>
      <w:r w:rsidRPr="0057362C">
        <w:rPr>
          <w:rFonts w:hint="eastAsia"/>
          <w:noProof/>
          <w:szCs w:val="21"/>
        </w:rPr>
        <w:lastRenderedPageBreak/>
        <w:drawing>
          <wp:anchor distT="0" distB="0" distL="114300" distR="114300" simplePos="0" relativeHeight="251828224" behindDoc="1" locked="0" layoutInCell="1" allowOverlap="1">
            <wp:simplePos x="0" y="0"/>
            <wp:positionH relativeFrom="column">
              <wp:posOffset>-674370</wp:posOffset>
            </wp:positionH>
            <wp:positionV relativeFrom="paragraph">
              <wp:posOffset>-1440180</wp:posOffset>
            </wp:positionV>
            <wp:extent cx="7581900" cy="10725150"/>
            <wp:effectExtent l="19050" t="0" r="0" b="0"/>
            <wp:wrapNone/>
            <wp:docPr id="96"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004F1718" w:rsidRPr="00754129">
        <w:rPr>
          <w:rFonts w:hint="eastAsia"/>
          <w:szCs w:val="21"/>
        </w:rPr>
        <w:t>从货币供应量数据来看，</w:t>
      </w:r>
      <w:r w:rsidR="004F1718" w:rsidRPr="00754129">
        <w:rPr>
          <w:rFonts w:hint="eastAsia"/>
          <w:szCs w:val="21"/>
        </w:rPr>
        <w:t>9</w:t>
      </w:r>
      <w:r w:rsidR="004F1718" w:rsidRPr="00754129">
        <w:rPr>
          <w:rFonts w:hint="eastAsia"/>
          <w:szCs w:val="21"/>
        </w:rPr>
        <w:t>月广义货币供应量</w:t>
      </w:r>
      <w:r w:rsidR="004F1718" w:rsidRPr="00754129">
        <w:rPr>
          <w:rFonts w:hint="eastAsia"/>
          <w:szCs w:val="21"/>
        </w:rPr>
        <w:t>(M2)</w:t>
      </w:r>
      <w:r w:rsidR="004F1718" w:rsidRPr="00754129">
        <w:rPr>
          <w:rFonts w:hint="eastAsia"/>
          <w:szCs w:val="21"/>
        </w:rPr>
        <w:t>余额同比增长</w:t>
      </w:r>
      <w:r w:rsidR="004F1718" w:rsidRPr="00754129">
        <w:rPr>
          <w:rFonts w:hint="eastAsia"/>
          <w:szCs w:val="21"/>
        </w:rPr>
        <w:t xml:space="preserve"> 14.2%</w:t>
      </w:r>
      <w:r w:rsidR="004F1718" w:rsidRPr="00754129">
        <w:rPr>
          <w:rFonts w:hint="eastAsia"/>
          <w:szCs w:val="21"/>
        </w:rPr>
        <w:t>，较上月环比下降</w:t>
      </w:r>
      <w:r w:rsidR="004F1718" w:rsidRPr="00754129">
        <w:rPr>
          <w:rFonts w:hint="eastAsia"/>
          <w:szCs w:val="21"/>
        </w:rPr>
        <w:t xml:space="preserve"> 0.5 </w:t>
      </w:r>
      <w:proofErr w:type="gramStart"/>
      <w:r w:rsidR="004F1718" w:rsidRPr="00754129">
        <w:rPr>
          <w:rFonts w:hint="eastAsia"/>
          <w:szCs w:val="21"/>
        </w:rPr>
        <w:t>个</w:t>
      </w:r>
      <w:proofErr w:type="gramEnd"/>
      <w:r w:rsidR="004F1718" w:rsidRPr="00754129">
        <w:rPr>
          <w:rFonts w:hint="eastAsia"/>
          <w:szCs w:val="21"/>
        </w:rPr>
        <w:t>百分点，较去年同期环比下降</w:t>
      </w:r>
      <w:r w:rsidR="004F1718" w:rsidRPr="00754129">
        <w:rPr>
          <w:rFonts w:hint="eastAsia"/>
          <w:szCs w:val="21"/>
        </w:rPr>
        <w:t xml:space="preserve"> 0.6 </w:t>
      </w:r>
      <w:proofErr w:type="gramStart"/>
      <w:r w:rsidR="004F1718" w:rsidRPr="00754129">
        <w:rPr>
          <w:rFonts w:hint="eastAsia"/>
          <w:szCs w:val="21"/>
        </w:rPr>
        <w:t>个</w:t>
      </w:r>
      <w:proofErr w:type="gramEnd"/>
      <w:r w:rsidR="004F1718" w:rsidRPr="00754129">
        <w:rPr>
          <w:rFonts w:hint="eastAsia"/>
          <w:szCs w:val="21"/>
        </w:rPr>
        <w:t>百分点；狭义货币供应量</w:t>
      </w:r>
      <w:r w:rsidR="004F1718" w:rsidRPr="00754129">
        <w:rPr>
          <w:rFonts w:hint="eastAsia"/>
          <w:szCs w:val="21"/>
        </w:rPr>
        <w:t>(M1)</w:t>
      </w:r>
      <w:r w:rsidR="004F1718" w:rsidRPr="00754129">
        <w:rPr>
          <w:rFonts w:hint="eastAsia"/>
          <w:szCs w:val="21"/>
        </w:rPr>
        <w:t>余额同比增长</w:t>
      </w:r>
      <w:r w:rsidR="004F1718" w:rsidRPr="00754129">
        <w:rPr>
          <w:rFonts w:hint="eastAsia"/>
          <w:szCs w:val="21"/>
        </w:rPr>
        <w:t xml:space="preserve"> 8.9%</w:t>
      </w:r>
      <w:r w:rsidR="004F1718" w:rsidRPr="00754129">
        <w:rPr>
          <w:rFonts w:hint="eastAsia"/>
          <w:szCs w:val="21"/>
        </w:rPr>
        <w:t>，增幅较上月回落</w:t>
      </w:r>
      <w:r w:rsidR="004F1718" w:rsidRPr="00754129">
        <w:rPr>
          <w:rFonts w:hint="eastAsia"/>
          <w:szCs w:val="21"/>
        </w:rPr>
        <w:t xml:space="preserve"> 1 </w:t>
      </w:r>
      <w:proofErr w:type="gramStart"/>
      <w:r w:rsidR="004F1718" w:rsidRPr="00754129">
        <w:rPr>
          <w:rFonts w:hint="eastAsia"/>
          <w:szCs w:val="21"/>
        </w:rPr>
        <w:t>个</w:t>
      </w:r>
      <w:proofErr w:type="gramEnd"/>
      <w:r w:rsidR="004F1718" w:rsidRPr="00754129">
        <w:rPr>
          <w:rFonts w:hint="eastAsia"/>
          <w:szCs w:val="21"/>
        </w:rPr>
        <w:t>百分点，较去年同期大</w:t>
      </w:r>
      <w:r w:rsidR="004F1718" w:rsidRPr="00975ACD">
        <w:rPr>
          <w:rFonts w:hint="eastAsia"/>
          <w:szCs w:val="21"/>
        </w:rPr>
        <w:t>幅</w:t>
      </w:r>
      <w:r w:rsidR="004F1718" w:rsidRPr="00975ACD">
        <w:rPr>
          <w:rFonts w:hint="eastAsia"/>
          <w:szCs w:val="21"/>
        </w:rPr>
        <w:t xml:space="preserve"> 1.6 </w:t>
      </w:r>
      <w:proofErr w:type="gramStart"/>
      <w:r w:rsidR="004F1718" w:rsidRPr="00975ACD">
        <w:rPr>
          <w:rFonts w:hint="eastAsia"/>
          <w:szCs w:val="21"/>
        </w:rPr>
        <w:t>个</w:t>
      </w:r>
      <w:proofErr w:type="gramEnd"/>
      <w:r w:rsidR="004F1718" w:rsidRPr="00975ACD">
        <w:rPr>
          <w:rFonts w:hint="eastAsia"/>
          <w:szCs w:val="21"/>
        </w:rPr>
        <w:t>百分点。</w:t>
      </w:r>
      <w:r w:rsidR="004F1718" w:rsidRPr="00D224B2">
        <w:rPr>
          <w:rFonts w:hint="eastAsia"/>
          <w:szCs w:val="21"/>
        </w:rPr>
        <w:t>社会融资规模</w:t>
      </w:r>
      <w:r w:rsidR="004F1718" w:rsidRPr="00D224B2">
        <w:rPr>
          <w:szCs w:val="21"/>
        </w:rPr>
        <w:t xml:space="preserve"> 1.40 </w:t>
      </w:r>
      <w:r w:rsidR="004F1718" w:rsidRPr="00D224B2">
        <w:rPr>
          <w:rFonts w:hint="eastAsia"/>
          <w:szCs w:val="21"/>
        </w:rPr>
        <w:t>万亿，较去年同期减少</w:t>
      </w:r>
      <w:r w:rsidR="004F1718" w:rsidRPr="00D224B2">
        <w:rPr>
          <w:szCs w:val="21"/>
        </w:rPr>
        <w:t xml:space="preserve"> 2,462 </w:t>
      </w:r>
      <w:r w:rsidR="004F1718" w:rsidRPr="00D224B2">
        <w:rPr>
          <w:rFonts w:hint="eastAsia"/>
          <w:szCs w:val="21"/>
        </w:rPr>
        <w:t>亿，较上月环比减少</w:t>
      </w:r>
      <w:r w:rsidR="004F1718" w:rsidRPr="00D224B2">
        <w:rPr>
          <w:szCs w:val="21"/>
        </w:rPr>
        <w:t xml:space="preserve"> 1,687 </w:t>
      </w:r>
      <w:r w:rsidR="004F1718" w:rsidRPr="00D224B2">
        <w:rPr>
          <w:rFonts w:hint="eastAsia"/>
          <w:szCs w:val="21"/>
        </w:rPr>
        <w:t>亿。本月社会融资规模虽然有减少，但依然维持较高的规模。具体看，表内融资有所恢复，体现在人民币贷款、外币贷款均出现环比改善，多增</w:t>
      </w:r>
      <w:r w:rsidR="004F1718" w:rsidRPr="00D224B2">
        <w:rPr>
          <w:rFonts w:hint="eastAsia"/>
          <w:szCs w:val="21"/>
        </w:rPr>
        <w:t xml:space="preserve"> 757 </w:t>
      </w:r>
      <w:r w:rsidR="004F1718" w:rsidRPr="00D224B2">
        <w:rPr>
          <w:rFonts w:hint="eastAsia"/>
          <w:szCs w:val="21"/>
        </w:rPr>
        <w:t>亿和</w:t>
      </w:r>
      <w:r w:rsidR="004F1718" w:rsidRPr="00D224B2">
        <w:rPr>
          <w:rFonts w:hint="eastAsia"/>
          <w:szCs w:val="21"/>
        </w:rPr>
        <w:t xml:space="preserve"> 1,251 </w:t>
      </w:r>
      <w:r w:rsidR="004F1718" w:rsidRPr="00D224B2">
        <w:rPr>
          <w:rFonts w:hint="eastAsia"/>
          <w:szCs w:val="21"/>
        </w:rPr>
        <w:t>亿；信托贷款继续保持稳定增长，委托贷款虽有下降，但依然维持高位</w:t>
      </w:r>
      <w:r w:rsidR="004F1718">
        <w:rPr>
          <w:rFonts w:hint="eastAsia"/>
          <w:szCs w:val="21"/>
        </w:rPr>
        <w:t>。</w:t>
      </w:r>
    </w:p>
    <w:p w:rsidR="004F1718" w:rsidRPr="00B238E7" w:rsidRDefault="004F1718" w:rsidP="005570E2">
      <w:pPr>
        <w:spacing w:afterLines="50" w:line="360" w:lineRule="auto"/>
        <w:ind w:firstLine="420"/>
        <w:jc w:val="center"/>
      </w:pPr>
      <w:bookmarkStart w:id="0" w:name="_Hlk370219978"/>
      <w:r>
        <w:rPr>
          <w:rFonts w:hint="eastAsia"/>
        </w:rPr>
        <w:t>图</w:t>
      </w:r>
      <w:r>
        <w:rPr>
          <w:rFonts w:hint="eastAsia"/>
        </w:rPr>
        <w:t>11</w:t>
      </w:r>
      <w:r>
        <w:rPr>
          <w:rFonts w:hint="eastAsia"/>
        </w:rPr>
        <w:t>：</w:t>
      </w:r>
      <w:r w:rsidRPr="00DD7A55">
        <w:rPr>
          <w:rFonts w:hint="eastAsia"/>
        </w:rPr>
        <w:t>9</w:t>
      </w:r>
      <w:r>
        <w:rPr>
          <w:rFonts w:hint="eastAsia"/>
        </w:rPr>
        <w:t>月份出口</w:t>
      </w:r>
      <w:r w:rsidRPr="00DD7A55">
        <w:rPr>
          <w:rFonts w:hint="eastAsia"/>
        </w:rPr>
        <w:t>超出市场预测</w:t>
      </w:r>
      <w:bookmarkEnd w:id="0"/>
      <w:r>
        <w:rPr>
          <w:rFonts w:hint="eastAsia"/>
        </w:rPr>
        <w:t xml:space="preserve">                       </w:t>
      </w:r>
      <w:r>
        <w:rPr>
          <w:rFonts w:hint="eastAsia"/>
        </w:rPr>
        <w:t>图</w:t>
      </w:r>
      <w:r>
        <w:rPr>
          <w:rFonts w:hint="eastAsia"/>
        </w:rPr>
        <w:t>12</w:t>
      </w:r>
      <w:r>
        <w:rPr>
          <w:rFonts w:hint="eastAsia"/>
        </w:rPr>
        <w:t>：</w:t>
      </w:r>
      <w:r>
        <w:rPr>
          <w:rFonts w:hint="eastAsia"/>
        </w:rPr>
        <w:t>9</w:t>
      </w:r>
      <w:r>
        <w:rPr>
          <w:rFonts w:hint="eastAsia"/>
        </w:rPr>
        <w:t>月份进口超出预期</w:t>
      </w:r>
    </w:p>
    <w:p w:rsidR="004F1718" w:rsidRPr="00657B4D" w:rsidRDefault="004F1718" w:rsidP="005570E2">
      <w:pPr>
        <w:spacing w:afterLines="50" w:line="360" w:lineRule="auto"/>
        <w:ind w:firstLine="420"/>
        <w:jc w:val="left"/>
      </w:pPr>
      <w:r w:rsidRPr="006A30DD">
        <w:rPr>
          <w:noProof/>
        </w:rPr>
        <w:drawing>
          <wp:inline distT="0" distB="0" distL="0" distR="0">
            <wp:extent cx="3038475" cy="2209800"/>
            <wp:effectExtent l="19050" t="0" r="9525" b="0"/>
            <wp:docPr id="73"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657B4D">
        <w:rPr>
          <w:noProof/>
        </w:rPr>
        <w:drawing>
          <wp:inline distT="0" distB="0" distL="0" distR="0">
            <wp:extent cx="2771775" cy="2209800"/>
            <wp:effectExtent l="19050" t="0" r="9525" b="0"/>
            <wp:docPr id="52"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F1718" w:rsidRDefault="004F1718" w:rsidP="004F1718">
      <w:pPr>
        <w:autoSpaceDE w:val="0"/>
        <w:autoSpaceDN w:val="0"/>
        <w:adjustRightInd w:val="0"/>
        <w:spacing w:line="360" w:lineRule="auto"/>
        <w:ind w:firstLineChars="200" w:firstLine="420"/>
        <w:jc w:val="left"/>
        <w:rPr>
          <w:szCs w:val="21"/>
        </w:rPr>
      </w:pPr>
      <w:r w:rsidRPr="00975ACD">
        <w:rPr>
          <w:rFonts w:hint="eastAsia"/>
          <w:szCs w:val="21"/>
        </w:rPr>
        <w:t xml:space="preserve">9 </w:t>
      </w:r>
      <w:proofErr w:type="gramStart"/>
      <w:r w:rsidRPr="00975ACD">
        <w:rPr>
          <w:rFonts w:hint="eastAsia"/>
          <w:szCs w:val="21"/>
        </w:rPr>
        <w:t>月居民</w:t>
      </w:r>
      <w:proofErr w:type="gramEnd"/>
      <w:r w:rsidRPr="00975ACD">
        <w:rPr>
          <w:rFonts w:hint="eastAsia"/>
          <w:szCs w:val="21"/>
        </w:rPr>
        <w:t>贷款新增</w:t>
      </w:r>
      <w:r w:rsidRPr="00975ACD">
        <w:rPr>
          <w:rFonts w:hint="eastAsia"/>
          <w:szCs w:val="21"/>
        </w:rPr>
        <w:t xml:space="preserve"> 3,546 </w:t>
      </w:r>
      <w:r w:rsidRPr="00975ACD">
        <w:rPr>
          <w:rFonts w:hint="eastAsia"/>
          <w:szCs w:val="21"/>
        </w:rPr>
        <w:t>亿，同比多增</w:t>
      </w:r>
      <w:r w:rsidRPr="00975ACD">
        <w:rPr>
          <w:rFonts w:hint="eastAsia"/>
          <w:szCs w:val="21"/>
        </w:rPr>
        <w:t xml:space="preserve"> 211 </w:t>
      </w:r>
      <w:r w:rsidRPr="00975ACD">
        <w:rPr>
          <w:rFonts w:hint="eastAsia"/>
          <w:szCs w:val="21"/>
        </w:rPr>
        <w:t>亿，其中短期居民贷款略有增加，长期居民贷款环比下降迹象明显。对公贷款新增</w:t>
      </w:r>
      <w:r w:rsidRPr="00975ACD">
        <w:rPr>
          <w:rFonts w:hint="eastAsia"/>
          <w:szCs w:val="21"/>
        </w:rPr>
        <w:t xml:space="preserve"> 4,348 </w:t>
      </w:r>
      <w:r w:rsidRPr="00975ACD">
        <w:rPr>
          <w:rFonts w:hint="eastAsia"/>
          <w:szCs w:val="21"/>
        </w:rPr>
        <w:t>亿，同比多增</w:t>
      </w:r>
      <w:r w:rsidRPr="00975ACD">
        <w:rPr>
          <w:rFonts w:hint="eastAsia"/>
          <w:szCs w:val="21"/>
        </w:rPr>
        <w:t xml:space="preserve"> 1,417 </w:t>
      </w:r>
      <w:r w:rsidRPr="00975ACD">
        <w:rPr>
          <w:rFonts w:hint="eastAsia"/>
          <w:szCs w:val="21"/>
        </w:rPr>
        <w:t>亿，其中短期贷款同比少增</w:t>
      </w:r>
      <w:r w:rsidRPr="00975ACD">
        <w:rPr>
          <w:rFonts w:hint="eastAsia"/>
          <w:szCs w:val="21"/>
        </w:rPr>
        <w:t xml:space="preserve"> 193 </w:t>
      </w:r>
      <w:r w:rsidRPr="00975ACD">
        <w:rPr>
          <w:rFonts w:hint="eastAsia"/>
          <w:szCs w:val="21"/>
        </w:rPr>
        <w:t>亿，中长期贷款同比多增</w:t>
      </w:r>
      <w:r w:rsidRPr="00975ACD">
        <w:rPr>
          <w:rFonts w:hint="eastAsia"/>
          <w:szCs w:val="21"/>
        </w:rPr>
        <w:t xml:space="preserve"> 1,180 </w:t>
      </w:r>
      <w:r w:rsidRPr="00975ACD">
        <w:rPr>
          <w:rFonts w:hint="eastAsia"/>
          <w:szCs w:val="21"/>
        </w:rPr>
        <w:t>亿，票据融资同比多增</w:t>
      </w:r>
      <w:r w:rsidRPr="00975ACD">
        <w:rPr>
          <w:rFonts w:hint="eastAsia"/>
          <w:szCs w:val="21"/>
        </w:rPr>
        <w:t xml:space="preserve"> 642 </w:t>
      </w:r>
      <w:r w:rsidRPr="00975ACD">
        <w:rPr>
          <w:rFonts w:hint="eastAsia"/>
          <w:szCs w:val="21"/>
        </w:rPr>
        <w:t>亿。值得注意的是，企业短期贷款虽然同比少增，</w:t>
      </w:r>
      <w:proofErr w:type="gramStart"/>
      <w:r w:rsidRPr="00975ACD">
        <w:rPr>
          <w:rFonts w:hint="eastAsia"/>
          <w:szCs w:val="21"/>
        </w:rPr>
        <w:t>但环比</w:t>
      </w:r>
      <w:proofErr w:type="gramEnd"/>
      <w:r w:rsidRPr="00975ACD">
        <w:rPr>
          <w:rFonts w:hint="eastAsia"/>
          <w:szCs w:val="21"/>
        </w:rPr>
        <w:t>大幅增加，与之对应的是票据融资同比多增，而环比大幅减少。我们认为这一方面反映了利率较高下票据贴现需求的下降</w:t>
      </w:r>
      <w:r w:rsidRPr="00975ACD">
        <w:rPr>
          <w:rFonts w:hint="eastAsia"/>
          <w:szCs w:val="21"/>
        </w:rPr>
        <w:t>(</w:t>
      </w:r>
      <w:r w:rsidRPr="00975ACD">
        <w:rPr>
          <w:rFonts w:hint="eastAsia"/>
          <w:szCs w:val="21"/>
        </w:rPr>
        <w:t>当然本月新增未贴现票据减少也是票据贴现下降的重要原因</w:t>
      </w:r>
      <w:r w:rsidRPr="00975ACD">
        <w:rPr>
          <w:rFonts w:hint="eastAsia"/>
          <w:szCs w:val="21"/>
        </w:rPr>
        <w:t>)</w:t>
      </w:r>
      <w:r w:rsidRPr="00975ACD">
        <w:rPr>
          <w:rFonts w:hint="eastAsia"/>
          <w:szCs w:val="21"/>
        </w:rPr>
        <w:t>，另一方面则反映了经济企稳的迹象显现。</w:t>
      </w:r>
    </w:p>
    <w:p w:rsidR="00011E0A" w:rsidRDefault="00011E0A" w:rsidP="005570E2">
      <w:pPr>
        <w:spacing w:afterLines="50" w:line="360" w:lineRule="auto"/>
        <w:ind w:firstLineChars="200" w:firstLine="420"/>
        <w:jc w:val="center"/>
        <w:rPr>
          <w:szCs w:val="21"/>
        </w:rPr>
      </w:pPr>
    </w:p>
    <w:p w:rsidR="00011E0A" w:rsidRDefault="00011E0A" w:rsidP="005570E2">
      <w:pPr>
        <w:spacing w:afterLines="50" w:line="360" w:lineRule="auto"/>
        <w:ind w:firstLineChars="200" w:firstLine="420"/>
        <w:jc w:val="center"/>
        <w:rPr>
          <w:szCs w:val="21"/>
        </w:rPr>
      </w:pPr>
    </w:p>
    <w:p w:rsidR="00011E0A" w:rsidRDefault="00011E0A" w:rsidP="005570E2">
      <w:pPr>
        <w:spacing w:afterLines="50" w:line="360" w:lineRule="auto"/>
        <w:ind w:firstLineChars="200" w:firstLine="420"/>
        <w:jc w:val="center"/>
        <w:rPr>
          <w:szCs w:val="21"/>
        </w:rPr>
      </w:pPr>
    </w:p>
    <w:p w:rsidR="00011E0A" w:rsidRDefault="00AA6E68" w:rsidP="005570E2">
      <w:pPr>
        <w:spacing w:afterLines="50" w:line="360" w:lineRule="auto"/>
        <w:ind w:firstLineChars="200" w:firstLine="420"/>
        <w:jc w:val="center"/>
        <w:rPr>
          <w:szCs w:val="21"/>
        </w:rPr>
      </w:pPr>
      <w:r>
        <w:rPr>
          <w:noProof/>
          <w:szCs w:val="21"/>
        </w:rPr>
        <w:pict>
          <v:shape id="_x0000_s2121" type="#_x0000_t202" style="position:absolute;left:0;text-align:left;margin-left:228.9pt;margin-top:79.2pt;width:58.5pt;height:21pt;z-index:251889664" stroked="f">
            <v:textbox>
              <w:txbxContent>
                <w:p w:rsidR="00832D5A" w:rsidRDefault="00832D5A" w:rsidP="007B0AB0">
                  <w:pPr>
                    <w:jc w:val="center"/>
                  </w:pPr>
                  <w:r>
                    <w:rPr>
                      <w:rFonts w:hint="eastAsia"/>
                    </w:rPr>
                    <w:t>第</w:t>
                  </w:r>
                  <w:r>
                    <w:rPr>
                      <w:rFonts w:hint="eastAsia"/>
                    </w:rPr>
                    <w:t>7</w:t>
                  </w:r>
                  <w:r>
                    <w:rPr>
                      <w:rFonts w:hint="eastAsia"/>
                    </w:rPr>
                    <w:t>页</w:t>
                  </w:r>
                  <w:r>
                    <w:rPr>
                      <w:rFonts w:hint="eastAsia"/>
                      <w:noProof/>
                    </w:rPr>
                    <w:drawing>
                      <wp:inline distT="0" distB="0" distL="0" distR="0">
                        <wp:extent cx="560070" cy="201051"/>
                        <wp:effectExtent l="19050" t="0" r="0" b="0"/>
                        <wp:docPr id="1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60070" cy="201051"/>
                                </a:xfrm>
                                <a:prstGeom prst="rect">
                                  <a:avLst/>
                                </a:prstGeom>
                                <a:noFill/>
                                <a:ln w="9525">
                                  <a:noFill/>
                                  <a:miter lim="800000"/>
                                  <a:headEnd/>
                                  <a:tailEnd/>
                                </a:ln>
                              </pic:spPr>
                            </pic:pic>
                          </a:graphicData>
                        </a:graphic>
                      </wp:inline>
                    </w:drawing>
                  </w:r>
                  <w:r>
                    <w:rPr>
                      <w:rFonts w:hint="eastAsia"/>
                    </w:rPr>
                    <w:t>页</w:t>
                  </w:r>
                  <w:r>
                    <w:rPr>
                      <w:rFonts w:hint="eastAsia"/>
                      <w:noProof/>
                    </w:rPr>
                    <w:drawing>
                      <wp:inline distT="0" distB="0" distL="0" distR="0">
                        <wp:extent cx="560070" cy="201051"/>
                        <wp:effectExtent l="19050" t="0" r="0" b="0"/>
                        <wp:docPr id="1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60070" cy="201051"/>
                                </a:xfrm>
                                <a:prstGeom prst="rect">
                                  <a:avLst/>
                                </a:prstGeom>
                                <a:noFill/>
                                <a:ln w="9525">
                                  <a:noFill/>
                                  <a:miter lim="800000"/>
                                  <a:headEnd/>
                                  <a:tailEnd/>
                                </a:ln>
                              </pic:spPr>
                            </pic:pic>
                          </a:graphicData>
                        </a:graphic>
                      </wp:inline>
                    </w:drawing>
                  </w:r>
                  <w:r>
                    <w:rPr>
                      <w:rFonts w:hint="eastAsia"/>
                    </w:rPr>
                    <w:t>页</w:t>
                  </w:r>
                </w:p>
                <w:p w:rsidR="00832D5A" w:rsidRPr="00453D44" w:rsidRDefault="00832D5A" w:rsidP="007B0AB0"/>
              </w:txbxContent>
            </v:textbox>
          </v:shape>
        </w:pict>
      </w:r>
    </w:p>
    <w:p w:rsidR="004F1718" w:rsidRPr="0006203E" w:rsidRDefault="00011E0A" w:rsidP="005570E2">
      <w:pPr>
        <w:spacing w:afterLines="50" w:line="360" w:lineRule="auto"/>
        <w:ind w:firstLineChars="200" w:firstLine="420"/>
        <w:jc w:val="center"/>
        <w:rPr>
          <w:szCs w:val="21"/>
        </w:rPr>
      </w:pPr>
      <w:r>
        <w:rPr>
          <w:noProof/>
          <w:szCs w:val="21"/>
        </w:rPr>
        <w:lastRenderedPageBreak/>
        <w:drawing>
          <wp:anchor distT="0" distB="0" distL="114300" distR="114300" simplePos="0" relativeHeight="251830272" behindDoc="1" locked="0" layoutInCell="1" allowOverlap="1">
            <wp:simplePos x="0" y="0"/>
            <wp:positionH relativeFrom="column">
              <wp:posOffset>-674370</wp:posOffset>
            </wp:positionH>
            <wp:positionV relativeFrom="paragraph">
              <wp:posOffset>-1440180</wp:posOffset>
            </wp:positionV>
            <wp:extent cx="7581900" cy="10725150"/>
            <wp:effectExtent l="19050" t="0" r="0" b="0"/>
            <wp:wrapNone/>
            <wp:docPr id="97"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004F1718" w:rsidRPr="0006203E">
        <w:rPr>
          <w:rFonts w:hint="eastAsia"/>
          <w:szCs w:val="21"/>
        </w:rPr>
        <w:t>图</w:t>
      </w:r>
      <w:r w:rsidR="004F1718" w:rsidRPr="0006203E">
        <w:rPr>
          <w:rFonts w:hint="eastAsia"/>
          <w:szCs w:val="21"/>
        </w:rPr>
        <w:t>13</w:t>
      </w:r>
      <w:r w:rsidR="004F1718" w:rsidRPr="0006203E">
        <w:rPr>
          <w:rFonts w:hint="eastAsia"/>
          <w:szCs w:val="21"/>
        </w:rPr>
        <w:t>：</w:t>
      </w:r>
      <w:r w:rsidR="004F1718" w:rsidRPr="0006203E">
        <w:rPr>
          <w:rFonts w:hint="eastAsia"/>
          <w:szCs w:val="21"/>
        </w:rPr>
        <w:t xml:space="preserve"> </w:t>
      </w:r>
      <w:r w:rsidR="004F1718" w:rsidRPr="0006203E">
        <w:rPr>
          <w:rFonts w:hint="eastAsia"/>
          <w:szCs w:val="21"/>
        </w:rPr>
        <w:t>社会融资总量结构（单位：亿）</w:t>
      </w:r>
    </w:p>
    <w:p w:rsidR="004F1718" w:rsidRDefault="004F1718" w:rsidP="005570E2">
      <w:pPr>
        <w:spacing w:afterLines="50" w:line="360" w:lineRule="auto"/>
        <w:ind w:firstLineChars="200" w:firstLine="420"/>
        <w:jc w:val="center"/>
        <w:rPr>
          <w:szCs w:val="21"/>
        </w:rPr>
      </w:pPr>
      <w:r w:rsidRPr="00B44965">
        <w:rPr>
          <w:noProof/>
          <w:szCs w:val="21"/>
        </w:rPr>
        <w:drawing>
          <wp:inline distT="0" distB="0" distL="0" distR="0">
            <wp:extent cx="4838700" cy="2962275"/>
            <wp:effectExtent l="19050" t="0" r="19050" b="0"/>
            <wp:docPr id="8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F1718" w:rsidRPr="0006203E" w:rsidRDefault="004F1718" w:rsidP="005570E2">
      <w:pPr>
        <w:spacing w:afterLines="50" w:line="360" w:lineRule="auto"/>
        <w:ind w:firstLineChars="200" w:firstLine="420"/>
        <w:jc w:val="center"/>
        <w:rPr>
          <w:rFonts w:asciiTheme="minorEastAsia" w:hAnsiTheme="minorEastAsia"/>
          <w:szCs w:val="21"/>
        </w:rPr>
      </w:pPr>
      <w:r w:rsidRPr="0006203E">
        <w:rPr>
          <w:rFonts w:asciiTheme="minorEastAsia" w:hAnsiTheme="minorEastAsia" w:hint="eastAsia"/>
          <w:szCs w:val="21"/>
        </w:rPr>
        <w:t>图14：  M0、M1、M2同比增速（单位：%）</w:t>
      </w:r>
      <w:r>
        <w:rPr>
          <w:rFonts w:asciiTheme="minorEastAsia" w:hAnsiTheme="minorEastAsia" w:hint="eastAsia"/>
          <w:szCs w:val="21"/>
        </w:rPr>
        <w:t xml:space="preserve">        </w:t>
      </w:r>
      <w:r w:rsidRPr="0006203E">
        <w:rPr>
          <w:rFonts w:asciiTheme="minorEastAsia" w:hAnsiTheme="minorEastAsia" w:hint="eastAsia"/>
          <w:szCs w:val="21"/>
        </w:rPr>
        <w:t>图15： 新增短期贷款和中长期贷款占比</w:t>
      </w:r>
    </w:p>
    <w:p w:rsidR="004F1718" w:rsidRDefault="004F1718" w:rsidP="005570E2">
      <w:pPr>
        <w:spacing w:afterLines="50" w:line="360" w:lineRule="auto"/>
        <w:ind w:firstLineChars="200" w:firstLine="420"/>
        <w:jc w:val="left"/>
        <w:rPr>
          <w:szCs w:val="21"/>
        </w:rPr>
      </w:pPr>
      <w:r w:rsidRPr="00DF690E">
        <w:rPr>
          <w:noProof/>
          <w:szCs w:val="21"/>
        </w:rPr>
        <w:drawing>
          <wp:inline distT="0" distB="0" distL="0" distR="0">
            <wp:extent cx="2905125" cy="2400300"/>
            <wp:effectExtent l="19050" t="0" r="9525" b="0"/>
            <wp:docPr id="8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657B4D">
        <w:rPr>
          <w:noProof/>
          <w:szCs w:val="21"/>
        </w:rPr>
        <w:drawing>
          <wp:inline distT="0" distB="0" distL="0" distR="0">
            <wp:extent cx="2724150" cy="2419350"/>
            <wp:effectExtent l="19050" t="0" r="19050" b="0"/>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F1718" w:rsidRDefault="004F1718" w:rsidP="004F1718">
      <w:pPr>
        <w:autoSpaceDE w:val="0"/>
        <w:autoSpaceDN w:val="0"/>
        <w:adjustRightInd w:val="0"/>
        <w:spacing w:line="360" w:lineRule="auto"/>
        <w:ind w:firstLineChars="200" w:firstLine="420"/>
        <w:jc w:val="left"/>
        <w:rPr>
          <w:rFonts w:asciiTheme="minorEastAsia" w:hAnsiTheme="minorEastAsia" w:cs="楷体_GB2312"/>
          <w:kern w:val="0"/>
          <w:szCs w:val="21"/>
        </w:rPr>
      </w:pPr>
      <w:r w:rsidRPr="00AE6C8D">
        <w:rPr>
          <w:rFonts w:asciiTheme="minorEastAsia" w:hAnsiTheme="minorEastAsia" w:cs="楷体_GB2312" w:hint="eastAsia"/>
          <w:kern w:val="0"/>
          <w:szCs w:val="21"/>
        </w:rPr>
        <w:t>近期政府持续释放改革信号，表明改革决心，一方面促进经济结构调整，实现长远健康增长；另一方面简政放权、鼓励民间投资释放经济活力，稳住基建保住经济下限。短期来看</w:t>
      </w:r>
      <w:proofErr w:type="gramStart"/>
      <w:r w:rsidRPr="00AE6C8D">
        <w:rPr>
          <w:rFonts w:asciiTheme="minorEastAsia" w:hAnsiTheme="minorEastAsia" w:cs="楷体_GB2312" w:hint="eastAsia"/>
          <w:kern w:val="0"/>
          <w:szCs w:val="21"/>
        </w:rPr>
        <w:t>稳增长</w:t>
      </w:r>
      <w:proofErr w:type="gramEnd"/>
      <w:r w:rsidRPr="00AE6C8D">
        <w:rPr>
          <w:rFonts w:asciiTheme="minorEastAsia" w:hAnsiTheme="minorEastAsia" w:cs="楷体_GB2312" w:hint="eastAsia"/>
          <w:kern w:val="0"/>
          <w:szCs w:val="21"/>
        </w:rPr>
        <w:t>部分见效更快，经济反弹可以延续；中期来看调结构仍是重点，2014 年经济回落趋势延续，改革</w:t>
      </w:r>
      <w:proofErr w:type="gramStart"/>
      <w:r w:rsidRPr="00AE6C8D">
        <w:rPr>
          <w:rFonts w:asciiTheme="minorEastAsia" w:hAnsiTheme="minorEastAsia" w:cs="楷体_GB2312" w:hint="eastAsia"/>
          <w:kern w:val="0"/>
          <w:szCs w:val="21"/>
        </w:rPr>
        <w:t>推进仍</w:t>
      </w:r>
      <w:proofErr w:type="gramEnd"/>
      <w:r w:rsidRPr="00AE6C8D">
        <w:rPr>
          <w:rFonts w:asciiTheme="minorEastAsia" w:hAnsiTheme="minorEastAsia" w:cs="楷体_GB2312" w:hint="eastAsia"/>
          <w:kern w:val="0"/>
          <w:szCs w:val="21"/>
        </w:rPr>
        <w:t>带来是结构性与区域性机会。政府密集出台各项政策，包括土地改革、决策协调、节能环保、促进电子商务、消除垄断、加强反垄断力度等，均会带来结构性机会。</w:t>
      </w:r>
    </w:p>
    <w:p w:rsidR="004F1718" w:rsidRPr="00FA41EF" w:rsidRDefault="00AA6E68" w:rsidP="004F1718">
      <w:pPr>
        <w:autoSpaceDE w:val="0"/>
        <w:autoSpaceDN w:val="0"/>
        <w:adjustRightInd w:val="0"/>
        <w:spacing w:line="360" w:lineRule="auto"/>
        <w:ind w:firstLineChars="200" w:firstLine="420"/>
        <w:jc w:val="left"/>
        <w:rPr>
          <w:rFonts w:asciiTheme="minorEastAsia" w:hAnsiTheme="minorEastAsia" w:cs="楷体_GB2312"/>
          <w:kern w:val="0"/>
          <w:szCs w:val="21"/>
        </w:rPr>
      </w:pPr>
      <w:r>
        <w:rPr>
          <w:rFonts w:asciiTheme="minorEastAsia" w:hAnsiTheme="minorEastAsia" w:cs="楷体_GB2312"/>
          <w:noProof/>
          <w:kern w:val="0"/>
          <w:szCs w:val="21"/>
        </w:rPr>
        <w:pict>
          <v:shape id="_x0000_s2123" type="#_x0000_t202" style="position:absolute;left:0;text-align:left;margin-left:228.05pt;margin-top:57.3pt;width:58.5pt;height:21pt;z-index:251891712" stroked="f">
            <v:textbox>
              <w:txbxContent>
                <w:p w:rsidR="00832D5A" w:rsidRDefault="00832D5A" w:rsidP="007B0AB0">
                  <w:pPr>
                    <w:jc w:val="center"/>
                  </w:pPr>
                  <w:r>
                    <w:rPr>
                      <w:rFonts w:hint="eastAsia"/>
                    </w:rPr>
                    <w:t>第</w:t>
                  </w:r>
                  <w:r>
                    <w:rPr>
                      <w:rFonts w:hint="eastAsia"/>
                    </w:rPr>
                    <w:t>8</w:t>
                  </w:r>
                  <w:r>
                    <w:rPr>
                      <w:rFonts w:hint="eastAsia"/>
                    </w:rPr>
                    <w:t>页</w:t>
                  </w:r>
                  <w:r w:rsidRPr="007B0AB0">
                    <w:rPr>
                      <w:rFonts w:hint="eastAsia"/>
                      <w:noProof/>
                    </w:rPr>
                    <w:drawing>
                      <wp:inline distT="0" distB="0" distL="0" distR="0">
                        <wp:extent cx="560070" cy="792260"/>
                        <wp:effectExtent l="19050" t="0" r="0" b="0"/>
                        <wp:docPr id="182"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560070" cy="792260"/>
                                </a:xfrm>
                                <a:prstGeom prst="rect">
                                  <a:avLst/>
                                </a:prstGeom>
                              </pic:spPr>
                            </pic:pic>
                          </a:graphicData>
                        </a:graphic>
                      </wp:inline>
                    </w:drawing>
                  </w:r>
                  <w:r>
                    <w:rPr>
                      <w:rFonts w:hint="eastAsia"/>
                    </w:rPr>
                    <w:t>页</w:t>
                  </w:r>
                  <w:r>
                    <w:rPr>
                      <w:rFonts w:hint="eastAsia"/>
                      <w:noProof/>
                    </w:rPr>
                    <w:drawing>
                      <wp:inline distT="0" distB="0" distL="0" distR="0">
                        <wp:extent cx="560070" cy="201051"/>
                        <wp:effectExtent l="19050" t="0" r="0" b="0"/>
                        <wp:docPr id="1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60070" cy="201051"/>
                                </a:xfrm>
                                <a:prstGeom prst="rect">
                                  <a:avLst/>
                                </a:prstGeom>
                                <a:noFill/>
                                <a:ln w="9525">
                                  <a:noFill/>
                                  <a:miter lim="800000"/>
                                  <a:headEnd/>
                                  <a:tailEnd/>
                                </a:ln>
                              </pic:spPr>
                            </pic:pic>
                          </a:graphicData>
                        </a:graphic>
                      </wp:inline>
                    </w:drawing>
                  </w:r>
                  <w:r>
                    <w:rPr>
                      <w:rFonts w:hint="eastAsia"/>
                    </w:rPr>
                    <w:t>页</w:t>
                  </w:r>
                </w:p>
                <w:p w:rsidR="00832D5A" w:rsidRPr="00453D44" w:rsidRDefault="00832D5A" w:rsidP="007B0AB0"/>
              </w:txbxContent>
            </v:textbox>
          </v:shape>
        </w:pict>
      </w:r>
    </w:p>
    <w:p w:rsidR="004F1718" w:rsidRDefault="00011E0A" w:rsidP="004F1718">
      <w:pPr>
        <w:pStyle w:val="a7"/>
        <w:numPr>
          <w:ilvl w:val="0"/>
          <w:numId w:val="7"/>
        </w:numPr>
        <w:spacing w:line="360" w:lineRule="auto"/>
        <w:ind w:firstLineChars="0"/>
        <w:rPr>
          <w:rFonts w:asciiTheme="minorEastAsia" w:hAnsiTheme="minorEastAsia"/>
          <w:b/>
          <w:sz w:val="24"/>
          <w:szCs w:val="24"/>
        </w:rPr>
      </w:pPr>
      <w:r>
        <w:rPr>
          <w:rFonts w:asciiTheme="minorEastAsia" w:hAnsiTheme="minorEastAsia" w:cs="楷体_GB2312"/>
          <w:noProof/>
          <w:kern w:val="0"/>
          <w:szCs w:val="21"/>
        </w:rPr>
        <w:lastRenderedPageBreak/>
        <w:drawing>
          <wp:anchor distT="0" distB="0" distL="114300" distR="114300" simplePos="0" relativeHeight="251832320" behindDoc="1" locked="0" layoutInCell="1" allowOverlap="1">
            <wp:simplePos x="0" y="0"/>
            <wp:positionH relativeFrom="column">
              <wp:posOffset>-683895</wp:posOffset>
            </wp:positionH>
            <wp:positionV relativeFrom="paragraph">
              <wp:posOffset>-1392555</wp:posOffset>
            </wp:positionV>
            <wp:extent cx="7581900" cy="10725150"/>
            <wp:effectExtent l="19050" t="0" r="0" b="0"/>
            <wp:wrapNone/>
            <wp:docPr id="98"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00AA6E68" w:rsidRPr="00AA6E68">
        <w:rPr>
          <w:rFonts w:asciiTheme="minorEastAsia" w:hAnsiTheme="minorEastAsia" w:cs="楷体_GB2312"/>
          <w:noProof/>
          <w:kern w:val="0"/>
          <w:szCs w:val="21"/>
        </w:rPr>
        <w:pict>
          <v:shape id="_x0000_s2122" type="#_x0000_t202" style="position:absolute;left:0;text-align:left;margin-left:214.55pt;margin-top:66.6pt;width:58.5pt;height:21pt;z-index:251890688;mso-position-horizontal-relative:text;mso-position-vertical-relative:text" stroked="f">
            <v:textbox>
              <w:txbxContent>
                <w:p w:rsidR="00832D5A" w:rsidRDefault="00832D5A" w:rsidP="007B0AB0">
                  <w:pPr>
                    <w:jc w:val="center"/>
                  </w:pPr>
                  <w:r>
                    <w:rPr>
                      <w:rFonts w:hint="eastAsia"/>
                    </w:rPr>
                    <w:t>第</w:t>
                  </w:r>
                  <w:r>
                    <w:rPr>
                      <w:rFonts w:hint="eastAsia"/>
                    </w:rPr>
                    <w:t>8</w:t>
                  </w:r>
                  <w:r>
                    <w:rPr>
                      <w:rFonts w:hint="eastAsia"/>
                    </w:rPr>
                    <w:t>页</w:t>
                  </w:r>
                  <w:r w:rsidRPr="007B0AB0">
                    <w:rPr>
                      <w:rFonts w:hint="eastAsia"/>
                      <w:noProof/>
                    </w:rPr>
                    <w:drawing>
                      <wp:inline distT="0" distB="0" distL="0" distR="0">
                        <wp:extent cx="560070" cy="792260"/>
                        <wp:effectExtent l="1905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560070" cy="792260"/>
                                </a:xfrm>
                                <a:prstGeom prst="rect">
                                  <a:avLst/>
                                </a:prstGeom>
                              </pic:spPr>
                            </pic:pic>
                          </a:graphicData>
                        </a:graphic>
                      </wp:inline>
                    </w:drawing>
                  </w:r>
                  <w:r>
                    <w:rPr>
                      <w:rFonts w:hint="eastAsia"/>
                    </w:rPr>
                    <w:t>页</w:t>
                  </w:r>
                  <w:r>
                    <w:rPr>
                      <w:rFonts w:hint="eastAsia"/>
                      <w:noProof/>
                    </w:rPr>
                    <w:drawing>
                      <wp:inline distT="0" distB="0" distL="0" distR="0">
                        <wp:extent cx="560070" cy="201051"/>
                        <wp:effectExtent l="19050" t="0" r="0" b="0"/>
                        <wp:docPr id="1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60070" cy="201051"/>
                                </a:xfrm>
                                <a:prstGeom prst="rect">
                                  <a:avLst/>
                                </a:prstGeom>
                                <a:noFill/>
                                <a:ln w="9525">
                                  <a:noFill/>
                                  <a:miter lim="800000"/>
                                  <a:headEnd/>
                                  <a:tailEnd/>
                                </a:ln>
                              </pic:spPr>
                            </pic:pic>
                          </a:graphicData>
                        </a:graphic>
                      </wp:inline>
                    </w:drawing>
                  </w:r>
                  <w:r>
                    <w:rPr>
                      <w:rFonts w:hint="eastAsia"/>
                    </w:rPr>
                    <w:t>页</w:t>
                  </w:r>
                </w:p>
                <w:p w:rsidR="00832D5A" w:rsidRPr="00453D44" w:rsidRDefault="00832D5A" w:rsidP="007B0AB0"/>
              </w:txbxContent>
            </v:textbox>
          </v:shape>
        </w:pict>
      </w:r>
      <w:r w:rsidR="004F1718">
        <w:rPr>
          <w:rFonts w:asciiTheme="minorEastAsia" w:hAnsiTheme="minorEastAsia" w:hint="eastAsia"/>
          <w:b/>
          <w:sz w:val="24"/>
          <w:szCs w:val="24"/>
        </w:rPr>
        <w:t>固定收益市场</w:t>
      </w:r>
      <w:r w:rsidR="00453D44">
        <w:rPr>
          <w:rFonts w:asciiTheme="minorEastAsia" w:hAnsiTheme="minorEastAsia"/>
          <w:b/>
          <w:sz w:val="24"/>
          <w:szCs w:val="24"/>
        </w:rPr>
        <w:t>—</w:t>
      </w:r>
      <w:r w:rsidR="00453D44">
        <w:rPr>
          <w:rFonts w:asciiTheme="minorEastAsia" w:hAnsiTheme="minorEastAsia" w:hint="eastAsia"/>
          <w:b/>
          <w:sz w:val="24"/>
          <w:szCs w:val="24"/>
        </w:rPr>
        <w:t>短期投资需谨慎，看好中长期产品</w:t>
      </w:r>
    </w:p>
    <w:p w:rsidR="004F1718" w:rsidRDefault="00D30D0E" w:rsidP="004F1718">
      <w:pPr>
        <w:spacing w:line="360" w:lineRule="auto"/>
        <w:rPr>
          <w:rFonts w:asciiTheme="minorEastAsia" w:hAnsiTheme="minorEastAsia"/>
          <w:szCs w:val="21"/>
        </w:rPr>
      </w:pPr>
      <w:r>
        <w:rPr>
          <w:rFonts w:asciiTheme="minorEastAsia" w:hAnsiTheme="minorEastAsia" w:hint="eastAsia"/>
          <w:szCs w:val="21"/>
        </w:rPr>
        <w:t>（一）、利率市场化</w:t>
      </w:r>
      <w:r w:rsidR="00582889">
        <w:rPr>
          <w:rFonts w:asciiTheme="minorEastAsia" w:hAnsiTheme="minorEastAsia" w:hint="eastAsia"/>
          <w:szCs w:val="21"/>
        </w:rPr>
        <w:t>推动利率缓慢上行</w:t>
      </w:r>
    </w:p>
    <w:p w:rsidR="004F1718" w:rsidRDefault="004F1718" w:rsidP="004F1718">
      <w:pPr>
        <w:autoSpaceDE w:val="0"/>
        <w:autoSpaceDN w:val="0"/>
        <w:adjustRightInd w:val="0"/>
        <w:spacing w:line="360" w:lineRule="auto"/>
        <w:ind w:firstLineChars="200" w:firstLine="420"/>
        <w:jc w:val="left"/>
        <w:rPr>
          <w:rFonts w:asciiTheme="minorEastAsia" w:hAnsiTheme="minorEastAsia" w:cs="楷体_GB2312"/>
          <w:kern w:val="0"/>
          <w:szCs w:val="21"/>
        </w:rPr>
      </w:pPr>
      <w:r w:rsidRPr="005A0585">
        <w:rPr>
          <w:rFonts w:asciiTheme="minorEastAsia" w:hAnsiTheme="minorEastAsia" w:cs="楷体_GB2312" w:hint="eastAsia"/>
          <w:kern w:val="0"/>
          <w:szCs w:val="21"/>
        </w:rPr>
        <w:t>9月份央行公开市场操作持续净投放，货币市场季末平稳收关，没有再出现二季度末的钱荒现象。但是，利率市场化趋势所带来的存款</w:t>
      </w:r>
      <w:proofErr w:type="gramStart"/>
      <w:r w:rsidRPr="005A0585">
        <w:rPr>
          <w:rFonts w:asciiTheme="minorEastAsia" w:hAnsiTheme="minorEastAsia" w:cs="楷体_GB2312" w:hint="eastAsia"/>
          <w:kern w:val="0"/>
          <w:szCs w:val="21"/>
        </w:rPr>
        <w:t>端利率</w:t>
      </w:r>
      <w:proofErr w:type="gramEnd"/>
      <w:r w:rsidRPr="005A0585">
        <w:rPr>
          <w:rFonts w:asciiTheme="minorEastAsia" w:hAnsiTheme="minorEastAsia" w:cs="楷体_GB2312" w:hint="eastAsia"/>
          <w:kern w:val="0"/>
          <w:szCs w:val="21"/>
        </w:rPr>
        <w:t>趋升的作用持续显现，包括商业银行提高存款利率上限、理财产品收益率持续上升、票据利率稳步提升，这些影响不会因为季末效应的消失而结束，中长期存款利率的上升会持续。短期利率明显下降，其中，隔夜利率下降至</w:t>
      </w:r>
      <w:r w:rsidRPr="000106ED">
        <w:rPr>
          <w:rFonts w:asciiTheme="minorEastAsia" w:hAnsiTheme="minorEastAsia" w:cs="楷体_GB2312" w:hint="eastAsia"/>
          <w:kern w:val="0"/>
          <w:szCs w:val="21"/>
        </w:rPr>
        <w:t>3.15</w:t>
      </w:r>
      <w:r w:rsidRPr="005A0585">
        <w:rPr>
          <w:rFonts w:asciiTheme="minorEastAsia" w:hAnsiTheme="minorEastAsia" w:cs="楷体_GB2312" w:hint="eastAsia"/>
          <w:kern w:val="0"/>
          <w:szCs w:val="21"/>
        </w:rPr>
        <w:t>%，七天利率上升至</w:t>
      </w:r>
      <w:r w:rsidRPr="000106ED">
        <w:rPr>
          <w:rFonts w:asciiTheme="minorEastAsia" w:hAnsiTheme="minorEastAsia" w:cs="楷体_GB2312" w:hint="eastAsia"/>
          <w:kern w:val="0"/>
          <w:szCs w:val="21"/>
        </w:rPr>
        <w:t>4.40</w:t>
      </w:r>
      <w:r w:rsidRPr="005A0585">
        <w:rPr>
          <w:rFonts w:asciiTheme="minorEastAsia" w:hAnsiTheme="minorEastAsia" w:cs="楷体_GB2312" w:hint="eastAsia"/>
          <w:kern w:val="0"/>
          <w:szCs w:val="21"/>
        </w:rPr>
        <w:t>%。9月末资金最为紧张的时点已经过去，从资金价格波动情况来看，总体较为平稳。</w:t>
      </w:r>
    </w:p>
    <w:p w:rsidR="004F1718" w:rsidRPr="0006203E" w:rsidRDefault="004F1718" w:rsidP="004F1718">
      <w:pPr>
        <w:autoSpaceDE w:val="0"/>
        <w:autoSpaceDN w:val="0"/>
        <w:adjustRightInd w:val="0"/>
        <w:spacing w:line="360" w:lineRule="auto"/>
        <w:ind w:firstLineChars="196" w:firstLine="412"/>
        <w:jc w:val="center"/>
        <w:rPr>
          <w:rFonts w:asciiTheme="minorEastAsia" w:hAnsiTheme="minorEastAsia" w:cs="楷体_GB2312"/>
          <w:kern w:val="0"/>
          <w:szCs w:val="21"/>
        </w:rPr>
      </w:pPr>
      <w:r w:rsidRPr="0006203E">
        <w:rPr>
          <w:rFonts w:asciiTheme="minorEastAsia" w:hAnsiTheme="minorEastAsia" w:cs="楷体_GB2312" w:hint="eastAsia"/>
          <w:kern w:val="0"/>
          <w:szCs w:val="21"/>
        </w:rPr>
        <w:t>图1</w:t>
      </w:r>
      <w:r>
        <w:rPr>
          <w:rFonts w:asciiTheme="minorEastAsia" w:hAnsiTheme="minorEastAsia" w:cs="楷体_GB2312" w:hint="eastAsia"/>
          <w:kern w:val="0"/>
          <w:szCs w:val="21"/>
        </w:rPr>
        <w:t>6</w:t>
      </w:r>
      <w:r w:rsidRPr="0006203E">
        <w:rPr>
          <w:rFonts w:asciiTheme="minorEastAsia" w:hAnsiTheme="minorEastAsia" w:cs="楷体_GB2312" w:hint="eastAsia"/>
          <w:kern w:val="0"/>
          <w:szCs w:val="21"/>
        </w:rPr>
        <w:t>： 9月票据直</w:t>
      </w:r>
      <w:proofErr w:type="gramStart"/>
      <w:r w:rsidRPr="0006203E">
        <w:rPr>
          <w:rFonts w:asciiTheme="minorEastAsia" w:hAnsiTheme="minorEastAsia" w:cs="楷体_GB2312" w:hint="eastAsia"/>
          <w:kern w:val="0"/>
          <w:szCs w:val="21"/>
        </w:rPr>
        <w:t>贴利率</w:t>
      </w:r>
      <w:proofErr w:type="gramEnd"/>
      <w:r w:rsidRPr="0006203E">
        <w:rPr>
          <w:rFonts w:asciiTheme="minorEastAsia" w:hAnsiTheme="minorEastAsia" w:cs="楷体_GB2312" w:hint="eastAsia"/>
          <w:kern w:val="0"/>
          <w:szCs w:val="21"/>
        </w:rPr>
        <w:t>缓慢上升</w:t>
      </w:r>
      <w:r>
        <w:rPr>
          <w:rFonts w:asciiTheme="minorEastAsia" w:hAnsiTheme="minorEastAsia" w:cs="楷体_GB2312" w:hint="eastAsia"/>
          <w:kern w:val="0"/>
          <w:szCs w:val="21"/>
        </w:rPr>
        <w:t xml:space="preserve">             </w:t>
      </w:r>
      <w:r w:rsidRPr="0006203E">
        <w:rPr>
          <w:rFonts w:asciiTheme="minorEastAsia" w:hAnsiTheme="minorEastAsia" w:cs="楷体_GB2312" w:hint="eastAsia"/>
          <w:kern w:val="0"/>
          <w:szCs w:val="21"/>
        </w:rPr>
        <w:t>图1</w:t>
      </w:r>
      <w:r>
        <w:rPr>
          <w:rFonts w:asciiTheme="minorEastAsia" w:hAnsiTheme="minorEastAsia" w:cs="楷体_GB2312" w:hint="eastAsia"/>
          <w:kern w:val="0"/>
          <w:szCs w:val="21"/>
        </w:rPr>
        <w:t>7</w:t>
      </w:r>
      <w:r w:rsidRPr="0006203E">
        <w:rPr>
          <w:rFonts w:asciiTheme="minorEastAsia" w:hAnsiTheme="minorEastAsia" w:cs="楷体_GB2312" w:hint="eastAsia"/>
          <w:kern w:val="0"/>
          <w:szCs w:val="21"/>
        </w:rPr>
        <w:t>： 隔夜银行间拆借利率9月平稳收官</w:t>
      </w:r>
    </w:p>
    <w:p w:rsidR="004F1718" w:rsidRDefault="004F1718" w:rsidP="004F1718">
      <w:pPr>
        <w:autoSpaceDE w:val="0"/>
        <w:autoSpaceDN w:val="0"/>
        <w:adjustRightInd w:val="0"/>
        <w:spacing w:line="360" w:lineRule="auto"/>
        <w:jc w:val="left"/>
        <w:rPr>
          <w:rFonts w:asciiTheme="minorEastAsia" w:hAnsiTheme="minorEastAsia" w:cs="楷体_GB2312"/>
          <w:kern w:val="0"/>
          <w:szCs w:val="21"/>
        </w:rPr>
      </w:pPr>
      <w:r w:rsidRPr="00577320">
        <w:rPr>
          <w:rFonts w:asciiTheme="minorEastAsia" w:hAnsiTheme="minorEastAsia" w:cs="楷体_GB2312"/>
          <w:noProof/>
          <w:kern w:val="0"/>
          <w:szCs w:val="21"/>
        </w:rPr>
        <w:drawing>
          <wp:inline distT="0" distB="0" distL="0" distR="0">
            <wp:extent cx="3114675" cy="2266950"/>
            <wp:effectExtent l="19050" t="0" r="9525" b="0"/>
            <wp:docPr id="8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657B4D">
        <w:rPr>
          <w:rFonts w:asciiTheme="minorEastAsia" w:hAnsiTheme="minorEastAsia" w:cs="楷体_GB2312"/>
          <w:noProof/>
          <w:kern w:val="0"/>
          <w:szCs w:val="21"/>
        </w:rPr>
        <w:drawing>
          <wp:inline distT="0" distB="0" distL="0" distR="0">
            <wp:extent cx="2990850" cy="2266950"/>
            <wp:effectExtent l="19050" t="0" r="19050" b="0"/>
            <wp:docPr id="5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F1718" w:rsidRDefault="004F1718" w:rsidP="004F1718">
      <w:pPr>
        <w:autoSpaceDE w:val="0"/>
        <w:autoSpaceDN w:val="0"/>
        <w:adjustRightInd w:val="0"/>
        <w:spacing w:line="360" w:lineRule="auto"/>
        <w:ind w:firstLineChars="200" w:firstLine="420"/>
        <w:jc w:val="left"/>
        <w:rPr>
          <w:rFonts w:ascii="宋体" w:eastAsia="宋体" w:cs="宋体"/>
          <w:kern w:val="0"/>
          <w:szCs w:val="21"/>
        </w:rPr>
      </w:pPr>
      <w:r w:rsidRPr="007800E3">
        <w:rPr>
          <w:rFonts w:ascii="宋体" w:eastAsia="宋体" w:cs="宋体" w:hint="eastAsia"/>
          <w:kern w:val="0"/>
          <w:szCs w:val="21"/>
        </w:rPr>
        <w:t>展望未来一</w:t>
      </w:r>
      <w:r>
        <w:rPr>
          <w:rFonts w:ascii="宋体" w:eastAsia="宋体" w:cs="宋体" w:hint="eastAsia"/>
          <w:kern w:val="0"/>
          <w:szCs w:val="21"/>
        </w:rPr>
        <w:t>个月</w:t>
      </w:r>
      <w:r w:rsidRPr="007800E3">
        <w:rPr>
          <w:rFonts w:ascii="宋体" w:eastAsia="宋体" w:cs="宋体" w:hint="eastAsia"/>
          <w:kern w:val="0"/>
          <w:szCs w:val="21"/>
        </w:rPr>
        <w:t>，进入新</w:t>
      </w:r>
      <w:proofErr w:type="gramStart"/>
      <w:r w:rsidRPr="007800E3">
        <w:rPr>
          <w:rFonts w:ascii="宋体" w:eastAsia="宋体" w:cs="宋体" w:hint="eastAsia"/>
          <w:kern w:val="0"/>
          <w:szCs w:val="21"/>
        </w:rPr>
        <w:t>一</w:t>
      </w:r>
      <w:proofErr w:type="gramEnd"/>
      <w:r w:rsidRPr="007800E3">
        <w:rPr>
          <w:rFonts w:ascii="宋体" w:eastAsia="宋体" w:cs="宋体" w:hint="eastAsia"/>
          <w:kern w:val="0"/>
          <w:szCs w:val="21"/>
        </w:rPr>
        <w:t>轮数据公布的密集期，我</w:t>
      </w:r>
      <w:r w:rsidRPr="003E36B8">
        <w:rPr>
          <w:rFonts w:ascii="宋体" w:eastAsia="宋体" w:cs="宋体" w:hint="eastAsia"/>
          <w:kern w:val="0"/>
          <w:szCs w:val="21"/>
        </w:rPr>
        <w:t>们认为在宏观经济数据的支撑下，从基本面来看难有推动债券收益率下行的因素，而资金面我们预计将保持较为平稳的状态。因此我们继续维持利率曲线可能</w:t>
      </w:r>
      <w:proofErr w:type="gramStart"/>
      <w:r w:rsidRPr="003E36B8">
        <w:rPr>
          <w:rFonts w:ascii="宋体" w:eastAsia="宋体" w:cs="宋体" w:hint="eastAsia"/>
          <w:kern w:val="0"/>
          <w:szCs w:val="21"/>
        </w:rPr>
        <w:t>继续增陡的</w:t>
      </w:r>
      <w:proofErr w:type="gramEnd"/>
      <w:r w:rsidRPr="003E36B8">
        <w:rPr>
          <w:rFonts w:ascii="宋体" w:eastAsia="宋体" w:cs="宋体" w:hint="eastAsia"/>
          <w:kern w:val="0"/>
          <w:szCs w:val="21"/>
        </w:rPr>
        <w:t>判断，建议投资者关注回购互换</w:t>
      </w:r>
      <w:proofErr w:type="gramStart"/>
      <w:r w:rsidRPr="003E36B8">
        <w:rPr>
          <w:rFonts w:ascii="宋体" w:eastAsia="宋体" w:cs="宋体" w:hint="eastAsia"/>
          <w:kern w:val="0"/>
          <w:szCs w:val="21"/>
        </w:rPr>
        <w:t>曲线增陡交易</w:t>
      </w:r>
      <w:proofErr w:type="gramEnd"/>
      <w:r w:rsidRPr="003E36B8">
        <w:rPr>
          <w:rFonts w:ascii="宋体" w:eastAsia="宋体" w:cs="宋体" w:hint="eastAsia"/>
          <w:kern w:val="0"/>
          <w:szCs w:val="21"/>
        </w:rPr>
        <w:t>。</w:t>
      </w:r>
    </w:p>
    <w:p w:rsidR="004F1718" w:rsidRPr="008565ED" w:rsidRDefault="004F1718" w:rsidP="004F1718">
      <w:pPr>
        <w:autoSpaceDE w:val="0"/>
        <w:autoSpaceDN w:val="0"/>
        <w:adjustRightInd w:val="0"/>
        <w:spacing w:line="360" w:lineRule="auto"/>
        <w:ind w:firstLineChars="200" w:firstLine="420"/>
        <w:jc w:val="left"/>
        <w:rPr>
          <w:rFonts w:ascii="宋体" w:eastAsia="宋体" w:cs="宋体"/>
          <w:kern w:val="0"/>
          <w:szCs w:val="21"/>
        </w:rPr>
      </w:pPr>
    </w:p>
    <w:p w:rsidR="004F1718" w:rsidRPr="007800E3" w:rsidRDefault="00582889" w:rsidP="004F1718">
      <w:pPr>
        <w:spacing w:line="360" w:lineRule="auto"/>
        <w:rPr>
          <w:rFonts w:asciiTheme="minorEastAsia" w:hAnsiTheme="minorEastAsia"/>
          <w:szCs w:val="21"/>
        </w:rPr>
      </w:pPr>
      <w:r>
        <w:rPr>
          <w:rFonts w:asciiTheme="minorEastAsia" w:hAnsiTheme="minorEastAsia" w:hint="eastAsia"/>
          <w:szCs w:val="21"/>
        </w:rPr>
        <w:t>（二）、债券上下半月表现不一，下半月有回暖趋势</w:t>
      </w:r>
    </w:p>
    <w:p w:rsidR="004F1718" w:rsidRDefault="00AA6E68" w:rsidP="005570E2">
      <w:pPr>
        <w:spacing w:afterLines="50" w:line="360" w:lineRule="auto"/>
        <w:ind w:firstLineChars="200" w:firstLine="420"/>
        <w:jc w:val="left"/>
        <w:rPr>
          <w:szCs w:val="21"/>
        </w:rPr>
      </w:pPr>
      <w:r w:rsidRPr="00AA6E68">
        <w:rPr>
          <w:rFonts w:asciiTheme="minorEastAsia" w:hAnsiTheme="minorEastAsia"/>
          <w:noProof/>
          <w:szCs w:val="21"/>
        </w:rPr>
        <w:pict>
          <v:shape id="_x0000_s2124" type="#_x0000_t202" style="position:absolute;left:0;text-align:left;margin-left:229.55pt;margin-top:202.2pt;width:58.5pt;height:21pt;z-index:251892736" stroked="f">
            <v:textbox style="mso-next-textbox:#_x0000_s2124">
              <w:txbxContent>
                <w:p w:rsidR="00832D5A" w:rsidRDefault="00832D5A" w:rsidP="007B0AB0">
                  <w:pPr>
                    <w:jc w:val="center"/>
                  </w:pPr>
                  <w:r>
                    <w:rPr>
                      <w:rFonts w:hint="eastAsia"/>
                    </w:rPr>
                    <w:t>第</w:t>
                  </w:r>
                  <w:r>
                    <w:rPr>
                      <w:rFonts w:hint="eastAsia"/>
                    </w:rPr>
                    <w:t>9</w:t>
                  </w:r>
                  <w:r>
                    <w:rPr>
                      <w:rFonts w:hint="eastAsia"/>
                    </w:rPr>
                    <w:t>页</w:t>
                  </w:r>
                  <w:r w:rsidRPr="007B0AB0">
                    <w:rPr>
                      <w:rFonts w:hint="eastAsia"/>
                      <w:noProof/>
                    </w:rPr>
                    <w:drawing>
                      <wp:inline distT="0" distB="0" distL="0" distR="0">
                        <wp:extent cx="560070" cy="792260"/>
                        <wp:effectExtent l="19050" t="0" r="0" b="0"/>
                        <wp:docPr id="196"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560070" cy="792260"/>
                                </a:xfrm>
                                <a:prstGeom prst="rect">
                                  <a:avLst/>
                                </a:prstGeom>
                              </pic:spPr>
                            </pic:pic>
                          </a:graphicData>
                        </a:graphic>
                      </wp:inline>
                    </w:drawing>
                  </w:r>
                  <w:r>
                    <w:rPr>
                      <w:rFonts w:hint="eastAsia"/>
                    </w:rPr>
                    <w:t>页</w:t>
                  </w:r>
                  <w:r>
                    <w:rPr>
                      <w:rFonts w:hint="eastAsia"/>
                      <w:noProof/>
                    </w:rPr>
                    <w:drawing>
                      <wp:inline distT="0" distB="0" distL="0" distR="0">
                        <wp:extent cx="560070" cy="201051"/>
                        <wp:effectExtent l="19050" t="0" r="0" b="0"/>
                        <wp:docPr id="1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60070" cy="201051"/>
                                </a:xfrm>
                                <a:prstGeom prst="rect">
                                  <a:avLst/>
                                </a:prstGeom>
                                <a:noFill/>
                                <a:ln w="9525">
                                  <a:noFill/>
                                  <a:miter lim="800000"/>
                                  <a:headEnd/>
                                  <a:tailEnd/>
                                </a:ln>
                              </pic:spPr>
                            </pic:pic>
                          </a:graphicData>
                        </a:graphic>
                      </wp:inline>
                    </w:drawing>
                  </w:r>
                  <w:r>
                    <w:rPr>
                      <w:rFonts w:hint="eastAsia"/>
                    </w:rPr>
                    <w:t>页</w:t>
                  </w:r>
                </w:p>
                <w:p w:rsidR="00832D5A" w:rsidRPr="00453D44" w:rsidRDefault="00832D5A" w:rsidP="007B0AB0"/>
              </w:txbxContent>
            </v:textbox>
          </v:shape>
        </w:pict>
      </w:r>
      <w:r w:rsidR="004F1718" w:rsidRPr="00657F45">
        <w:rPr>
          <w:rFonts w:hint="eastAsia"/>
          <w:szCs w:val="21"/>
        </w:rPr>
        <w:t xml:space="preserve">9 </w:t>
      </w:r>
      <w:r w:rsidR="004F1718" w:rsidRPr="00657F45">
        <w:rPr>
          <w:rFonts w:hint="eastAsia"/>
          <w:szCs w:val="21"/>
        </w:rPr>
        <w:t>月利率债净增</w:t>
      </w:r>
      <w:r w:rsidR="004F1718" w:rsidRPr="00657F45">
        <w:rPr>
          <w:rFonts w:hint="eastAsia"/>
          <w:szCs w:val="21"/>
        </w:rPr>
        <w:t xml:space="preserve"> 1990 </w:t>
      </w:r>
      <w:r w:rsidR="004F1718" w:rsidRPr="00657F45">
        <w:rPr>
          <w:rFonts w:hint="eastAsia"/>
          <w:szCs w:val="21"/>
        </w:rPr>
        <w:t>亿，记账式国债和地方债净增加</w:t>
      </w:r>
      <w:r w:rsidR="004F1718" w:rsidRPr="00657F45">
        <w:rPr>
          <w:rFonts w:hint="eastAsia"/>
          <w:szCs w:val="21"/>
        </w:rPr>
        <w:t xml:space="preserve"> 1137 </w:t>
      </w:r>
      <w:r w:rsidR="004F1718" w:rsidRPr="00657F45">
        <w:rPr>
          <w:rFonts w:hint="eastAsia"/>
          <w:szCs w:val="21"/>
        </w:rPr>
        <w:t>亿，</w:t>
      </w:r>
      <w:r w:rsidR="004F1718" w:rsidRPr="00657F45">
        <w:rPr>
          <w:rFonts w:hint="eastAsia"/>
          <w:szCs w:val="21"/>
        </w:rPr>
        <w:t xml:space="preserve"> </w:t>
      </w:r>
      <w:r w:rsidR="004F1718" w:rsidRPr="00657F45">
        <w:rPr>
          <w:rFonts w:hint="eastAsia"/>
          <w:szCs w:val="21"/>
        </w:rPr>
        <w:t>政策性银行债净增</w:t>
      </w:r>
      <w:r w:rsidR="004F1718" w:rsidRPr="00657F45">
        <w:rPr>
          <w:rFonts w:hint="eastAsia"/>
          <w:szCs w:val="21"/>
        </w:rPr>
        <w:t xml:space="preserve"> 854 </w:t>
      </w:r>
      <w:r w:rsidR="004F1718" w:rsidRPr="00657F45">
        <w:rPr>
          <w:rFonts w:hint="eastAsia"/>
          <w:szCs w:val="21"/>
        </w:rPr>
        <w:t>亿。根据</w:t>
      </w:r>
      <w:r w:rsidR="004F1718" w:rsidRPr="00657F45">
        <w:rPr>
          <w:rFonts w:hint="eastAsia"/>
          <w:szCs w:val="21"/>
        </w:rPr>
        <w:t xml:space="preserve"> 4 </w:t>
      </w:r>
      <w:r w:rsidR="004F1718" w:rsidRPr="00657F45">
        <w:rPr>
          <w:rFonts w:hint="eastAsia"/>
          <w:szCs w:val="21"/>
        </w:rPr>
        <w:t>季度国债发行计划，</w:t>
      </w:r>
      <w:r w:rsidR="004F1718" w:rsidRPr="00657F45">
        <w:rPr>
          <w:rFonts w:hint="eastAsia"/>
          <w:szCs w:val="21"/>
        </w:rPr>
        <w:t xml:space="preserve">4 </w:t>
      </w:r>
      <w:r w:rsidR="004F1718" w:rsidRPr="00657F45">
        <w:rPr>
          <w:rFonts w:hint="eastAsia"/>
          <w:szCs w:val="21"/>
        </w:rPr>
        <w:t>季度利率债净增量总量回到</w:t>
      </w:r>
      <w:r w:rsidR="004F1718" w:rsidRPr="00657F45">
        <w:rPr>
          <w:rFonts w:hint="eastAsia"/>
          <w:szCs w:val="21"/>
        </w:rPr>
        <w:t xml:space="preserve"> 4000 </w:t>
      </w:r>
      <w:r w:rsidR="004F1718" w:rsidRPr="00657F45">
        <w:rPr>
          <w:rFonts w:hint="eastAsia"/>
          <w:szCs w:val="21"/>
        </w:rPr>
        <w:t>余亿，将会逐月回落，</w:t>
      </w:r>
      <w:r w:rsidR="004F1718" w:rsidRPr="00657F45">
        <w:rPr>
          <w:rFonts w:hint="eastAsia"/>
          <w:szCs w:val="21"/>
        </w:rPr>
        <w:t xml:space="preserve">11 </w:t>
      </w:r>
      <w:r w:rsidR="004F1718" w:rsidRPr="00657F45">
        <w:rPr>
          <w:rFonts w:hint="eastAsia"/>
          <w:szCs w:val="21"/>
        </w:rPr>
        <w:t>月预计</w:t>
      </w:r>
      <w:r w:rsidR="004F1718" w:rsidRPr="00657F45">
        <w:rPr>
          <w:rFonts w:hint="eastAsia"/>
          <w:szCs w:val="21"/>
        </w:rPr>
        <w:t xml:space="preserve"> 1000 </w:t>
      </w:r>
      <w:r w:rsidR="004F1718" w:rsidRPr="00657F45">
        <w:rPr>
          <w:rFonts w:hint="eastAsia"/>
          <w:szCs w:val="21"/>
        </w:rPr>
        <w:t>余亿，</w:t>
      </w:r>
      <w:r w:rsidR="004F1718" w:rsidRPr="00657F45">
        <w:rPr>
          <w:rFonts w:hint="eastAsia"/>
          <w:szCs w:val="21"/>
        </w:rPr>
        <w:t xml:space="preserve">12 </w:t>
      </w:r>
      <w:proofErr w:type="gramStart"/>
      <w:r w:rsidR="004F1718" w:rsidRPr="00657F45">
        <w:rPr>
          <w:rFonts w:hint="eastAsia"/>
          <w:szCs w:val="21"/>
        </w:rPr>
        <w:t>月回到</w:t>
      </w:r>
      <w:proofErr w:type="gramEnd"/>
      <w:r w:rsidR="004F1718" w:rsidRPr="00657F45">
        <w:rPr>
          <w:rFonts w:hint="eastAsia"/>
          <w:szCs w:val="21"/>
        </w:rPr>
        <w:t>百余亿。</w:t>
      </w:r>
      <w:r w:rsidR="004F1718">
        <w:rPr>
          <w:rFonts w:hint="eastAsia"/>
          <w:szCs w:val="21"/>
        </w:rPr>
        <w:t>9</w:t>
      </w:r>
      <w:r w:rsidR="004F1718">
        <w:rPr>
          <w:rFonts w:hint="eastAsia"/>
          <w:szCs w:val="21"/>
        </w:rPr>
        <w:t>月</w:t>
      </w:r>
      <w:r w:rsidR="004F1718" w:rsidRPr="00657F45">
        <w:rPr>
          <w:rFonts w:hint="eastAsia"/>
          <w:szCs w:val="21"/>
        </w:rPr>
        <w:t>信用债净增量回升到</w:t>
      </w:r>
      <w:r w:rsidR="004F1718" w:rsidRPr="00657F45">
        <w:rPr>
          <w:rFonts w:hint="eastAsia"/>
          <w:szCs w:val="21"/>
        </w:rPr>
        <w:t xml:space="preserve"> 1170 </w:t>
      </w:r>
      <w:r w:rsidR="004F1718">
        <w:rPr>
          <w:rFonts w:hint="eastAsia"/>
          <w:szCs w:val="21"/>
        </w:rPr>
        <w:t>亿，</w:t>
      </w:r>
      <w:proofErr w:type="gramStart"/>
      <w:r w:rsidR="004F1718" w:rsidRPr="00657F45">
        <w:rPr>
          <w:rFonts w:hint="eastAsia"/>
          <w:szCs w:val="21"/>
        </w:rPr>
        <w:t>短融净增</w:t>
      </w:r>
      <w:proofErr w:type="gramEnd"/>
      <w:r w:rsidR="004F1718" w:rsidRPr="00657F45">
        <w:rPr>
          <w:rFonts w:hint="eastAsia"/>
          <w:szCs w:val="21"/>
        </w:rPr>
        <w:t xml:space="preserve"> 157 </w:t>
      </w:r>
      <w:r w:rsidR="004F1718" w:rsidRPr="00657F45">
        <w:rPr>
          <w:rFonts w:hint="eastAsia"/>
          <w:szCs w:val="21"/>
        </w:rPr>
        <w:t>亿，中票净增</w:t>
      </w:r>
      <w:r w:rsidR="004F1718" w:rsidRPr="00657F45">
        <w:rPr>
          <w:rFonts w:hint="eastAsia"/>
          <w:szCs w:val="21"/>
        </w:rPr>
        <w:t xml:space="preserve"> 592 </w:t>
      </w:r>
      <w:r w:rsidR="004F1718" w:rsidRPr="00657F45">
        <w:rPr>
          <w:rFonts w:hint="eastAsia"/>
          <w:szCs w:val="21"/>
        </w:rPr>
        <w:t>亿，企业债净增</w:t>
      </w:r>
      <w:r w:rsidR="004F1718" w:rsidRPr="00657F45">
        <w:rPr>
          <w:rFonts w:hint="eastAsia"/>
          <w:szCs w:val="21"/>
        </w:rPr>
        <w:t xml:space="preserve"> 417 </w:t>
      </w:r>
      <w:r w:rsidR="004F1718" w:rsidRPr="00657F45">
        <w:rPr>
          <w:rFonts w:hint="eastAsia"/>
          <w:szCs w:val="21"/>
        </w:rPr>
        <w:t>亿，公司债</w:t>
      </w:r>
      <w:r w:rsidR="004F1718" w:rsidRPr="00657F45">
        <w:rPr>
          <w:rFonts w:hint="eastAsia"/>
          <w:szCs w:val="21"/>
        </w:rPr>
        <w:t>(</w:t>
      </w:r>
      <w:r w:rsidR="004F1718" w:rsidRPr="00657F45">
        <w:rPr>
          <w:rFonts w:hint="eastAsia"/>
          <w:szCs w:val="21"/>
        </w:rPr>
        <w:t>含中小私募债</w:t>
      </w:r>
      <w:r w:rsidR="004F1718" w:rsidRPr="00657F45">
        <w:rPr>
          <w:rFonts w:hint="eastAsia"/>
          <w:szCs w:val="21"/>
        </w:rPr>
        <w:t>)</w:t>
      </w:r>
      <w:r w:rsidR="004F1718" w:rsidRPr="00657F45">
        <w:rPr>
          <w:rFonts w:hint="eastAsia"/>
          <w:szCs w:val="21"/>
        </w:rPr>
        <w:t>净增</w:t>
      </w:r>
      <w:r w:rsidR="004F1718" w:rsidRPr="00657F45">
        <w:rPr>
          <w:rFonts w:hint="eastAsia"/>
          <w:szCs w:val="21"/>
        </w:rPr>
        <w:t xml:space="preserve"> 4 </w:t>
      </w:r>
      <w:r w:rsidR="004F1718" w:rsidRPr="00657F45">
        <w:rPr>
          <w:rFonts w:hint="eastAsia"/>
          <w:szCs w:val="21"/>
        </w:rPr>
        <w:t>亿。</w:t>
      </w:r>
      <w:r w:rsidR="004F1718" w:rsidRPr="00657F45">
        <w:rPr>
          <w:rFonts w:hint="eastAsia"/>
          <w:szCs w:val="21"/>
        </w:rPr>
        <w:t xml:space="preserve">3 </w:t>
      </w:r>
      <w:r w:rsidR="004F1718" w:rsidRPr="00657F45">
        <w:rPr>
          <w:rFonts w:hint="eastAsia"/>
          <w:szCs w:val="21"/>
        </w:rPr>
        <w:t>季度由于债市调整，短期融资</w:t>
      </w:r>
      <w:proofErr w:type="gramStart"/>
      <w:r w:rsidR="004F1718" w:rsidRPr="00657F45">
        <w:rPr>
          <w:rFonts w:hint="eastAsia"/>
          <w:szCs w:val="21"/>
        </w:rPr>
        <w:t>券</w:t>
      </w:r>
      <w:proofErr w:type="gramEnd"/>
      <w:r w:rsidR="004F1718" w:rsidRPr="00657F45">
        <w:rPr>
          <w:rFonts w:hint="eastAsia"/>
          <w:szCs w:val="21"/>
        </w:rPr>
        <w:t>、公司债净增量较少。企业债</w:t>
      </w:r>
      <w:r w:rsidR="004F1718" w:rsidRPr="00657F45">
        <w:rPr>
          <w:rFonts w:hint="eastAsia"/>
          <w:szCs w:val="21"/>
        </w:rPr>
        <w:t xml:space="preserve"> 3 </w:t>
      </w:r>
      <w:r w:rsidR="004F1718" w:rsidRPr="00657F45">
        <w:rPr>
          <w:rFonts w:hint="eastAsia"/>
          <w:szCs w:val="21"/>
        </w:rPr>
        <w:t>季度的净增较少主要可能源于地方债务审计。随着地方债务审计临近尾声，资金利率从高位回落，我们认为短融、企业债的净增量或回升。</w:t>
      </w:r>
    </w:p>
    <w:p w:rsidR="004F1718" w:rsidRDefault="00011E0A" w:rsidP="005570E2">
      <w:pPr>
        <w:spacing w:afterLines="50" w:line="360" w:lineRule="auto"/>
        <w:ind w:firstLineChars="200" w:firstLine="420"/>
        <w:jc w:val="left"/>
        <w:rPr>
          <w:szCs w:val="21"/>
        </w:rPr>
      </w:pPr>
      <w:r>
        <w:rPr>
          <w:rFonts w:asciiTheme="minorEastAsia" w:hAnsiTheme="minorEastAsia"/>
          <w:noProof/>
          <w:szCs w:val="21"/>
        </w:rPr>
        <w:lastRenderedPageBreak/>
        <w:drawing>
          <wp:anchor distT="0" distB="0" distL="114300" distR="114300" simplePos="0" relativeHeight="251834368" behindDoc="1" locked="0" layoutInCell="1" allowOverlap="1">
            <wp:simplePos x="0" y="0"/>
            <wp:positionH relativeFrom="column">
              <wp:posOffset>-683895</wp:posOffset>
            </wp:positionH>
            <wp:positionV relativeFrom="paragraph">
              <wp:posOffset>-1449705</wp:posOffset>
            </wp:positionV>
            <wp:extent cx="7581900" cy="10725150"/>
            <wp:effectExtent l="19050" t="0" r="0" b="0"/>
            <wp:wrapNone/>
            <wp:docPr id="99"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004F1718">
        <w:rPr>
          <w:rFonts w:hint="eastAsia"/>
          <w:szCs w:val="21"/>
        </w:rPr>
        <w:t>产品收益方面，</w:t>
      </w:r>
      <w:r w:rsidR="004F1718" w:rsidRPr="009655F3">
        <w:rPr>
          <w:rFonts w:hint="eastAsia"/>
          <w:szCs w:val="21"/>
        </w:rPr>
        <w:t xml:space="preserve">9 </w:t>
      </w:r>
      <w:r w:rsidR="004F1718" w:rsidRPr="009655F3">
        <w:rPr>
          <w:rFonts w:hint="eastAsia"/>
          <w:szCs w:val="21"/>
        </w:rPr>
        <w:t>月债券市场呈现震荡走势，国债、交易所债收益率小幅回落，政策性银行债、中短期票据收益率小幅上行。债市上下半月表现不一，国债、政策性银行债、中短期票据收益率上半月回升，下半月行情略有转暖，国债收益率回落，政策性银行债、中短期票据收益率走平。交易所方面，上半月</w:t>
      </w:r>
      <w:proofErr w:type="gramStart"/>
      <w:r w:rsidR="004F1718" w:rsidRPr="009655F3">
        <w:rPr>
          <w:rFonts w:hint="eastAsia"/>
          <w:szCs w:val="21"/>
        </w:rPr>
        <w:t>逆银行</w:t>
      </w:r>
      <w:proofErr w:type="gramEnd"/>
      <w:r w:rsidR="004F1718" w:rsidRPr="009655F3">
        <w:rPr>
          <w:rFonts w:hint="eastAsia"/>
          <w:szCs w:val="21"/>
        </w:rPr>
        <w:t>间市场净价大幅上涨，下半月走平为主。综合来看，交易所债券表现最好，国债在期货的带动下展现超跌反弹，其余债券中短债表现较好。</w:t>
      </w:r>
      <w:r w:rsidR="004F1718" w:rsidRPr="009655F3">
        <w:rPr>
          <w:rFonts w:hint="eastAsia"/>
          <w:szCs w:val="21"/>
        </w:rPr>
        <w:t xml:space="preserve">1 </w:t>
      </w:r>
      <w:r w:rsidR="004F1718" w:rsidRPr="009655F3">
        <w:rPr>
          <w:rFonts w:hint="eastAsia"/>
          <w:szCs w:val="21"/>
        </w:rPr>
        <w:t>年期国债收益率回落</w:t>
      </w:r>
      <w:r w:rsidR="004F1718" w:rsidRPr="009655F3">
        <w:rPr>
          <w:rFonts w:hint="eastAsia"/>
          <w:szCs w:val="21"/>
        </w:rPr>
        <w:t xml:space="preserve"> 7bp</w:t>
      </w:r>
      <w:r w:rsidR="004F1718" w:rsidRPr="009655F3">
        <w:rPr>
          <w:rFonts w:hint="eastAsia"/>
          <w:szCs w:val="21"/>
        </w:rPr>
        <w:t>，</w:t>
      </w:r>
      <w:r w:rsidR="004F1718" w:rsidRPr="009655F3">
        <w:rPr>
          <w:rFonts w:hint="eastAsia"/>
          <w:szCs w:val="21"/>
        </w:rPr>
        <w:t xml:space="preserve">3 </w:t>
      </w:r>
      <w:r w:rsidR="004F1718" w:rsidRPr="009655F3">
        <w:rPr>
          <w:rFonts w:hint="eastAsia"/>
          <w:szCs w:val="21"/>
        </w:rPr>
        <w:t>年期国债回落</w:t>
      </w:r>
      <w:r w:rsidR="004F1718" w:rsidRPr="009655F3">
        <w:rPr>
          <w:rFonts w:hint="eastAsia"/>
          <w:szCs w:val="21"/>
        </w:rPr>
        <w:t xml:space="preserve"> 6bp</w:t>
      </w:r>
      <w:r w:rsidR="004F1718" w:rsidRPr="009655F3">
        <w:rPr>
          <w:rFonts w:hint="eastAsia"/>
          <w:szCs w:val="21"/>
        </w:rPr>
        <w:t>，</w:t>
      </w:r>
      <w:r w:rsidR="004F1718" w:rsidRPr="009655F3">
        <w:rPr>
          <w:rFonts w:hint="eastAsia"/>
          <w:szCs w:val="21"/>
        </w:rPr>
        <w:t xml:space="preserve">5 </w:t>
      </w:r>
      <w:r w:rsidR="004F1718" w:rsidRPr="009655F3">
        <w:rPr>
          <w:rFonts w:hint="eastAsia"/>
          <w:szCs w:val="21"/>
        </w:rPr>
        <w:t>年期国债收益率回落</w:t>
      </w:r>
      <w:r w:rsidR="004F1718" w:rsidRPr="009655F3">
        <w:rPr>
          <w:rFonts w:hint="eastAsia"/>
          <w:szCs w:val="21"/>
        </w:rPr>
        <w:t xml:space="preserve"> 4bp</w:t>
      </w:r>
      <w:r w:rsidR="004F1718" w:rsidRPr="009655F3">
        <w:rPr>
          <w:rFonts w:hint="eastAsia"/>
          <w:szCs w:val="21"/>
        </w:rPr>
        <w:t>，</w:t>
      </w:r>
      <w:r w:rsidR="004F1718" w:rsidRPr="009655F3">
        <w:rPr>
          <w:rFonts w:hint="eastAsia"/>
          <w:szCs w:val="21"/>
        </w:rPr>
        <w:t xml:space="preserve">10 </w:t>
      </w:r>
      <w:r w:rsidR="004F1718" w:rsidRPr="009655F3">
        <w:rPr>
          <w:rFonts w:hint="eastAsia"/>
          <w:szCs w:val="21"/>
        </w:rPr>
        <w:t>年期国债收益率回落</w:t>
      </w:r>
      <w:r w:rsidR="004F1718" w:rsidRPr="009655F3">
        <w:rPr>
          <w:rFonts w:hint="eastAsia"/>
          <w:szCs w:val="21"/>
        </w:rPr>
        <w:t xml:space="preserve"> 4bp </w:t>
      </w:r>
      <w:r w:rsidR="004F1718" w:rsidRPr="009655F3">
        <w:rPr>
          <w:rFonts w:hint="eastAsia"/>
          <w:szCs w:val="21"/>
        </w:rPr>
        <w:t>到</w:t>
      </w:r>
      <w:r w:rsidR="004F1718" w:rsidRPr="009655F3">
        <w:rPr>
          <w:rFonts w:hint="eastAsia"/>
          <w:szCs w:val="21"/>
        </w:rPr>
        <w:t xml:space="preserve"> 4.0%</w:t>
      </w:r>
      <w:r w:rsidR="004F1718" w:rsidRPr="009655F3">
        <w:rPr>
          <w:rFonts w:hint="eastAsia"/>
          <w:szCs w:val="21"/>
        </w:rPr>
        <w:t>。非国开政策性银行债</w:t>
      </w:r>
      <w:r w:rsidR="004F1718" w:rsidRPr="009655F3">
        <w:rPr>
          <w:rFonts w:hint="eastAsia"/>
          <w:szCs w:val="21"/>
        </w:rPr>
        <w:t xml:space="preserve"> 1 </w:t>
      </w:r>
      <w:r w:rsidR="004F1718" w:rsidRPr="009655F3">
        <w:rPr>
          <w:rFonts w:hint="eastAsia"/>
          <w:szCs w:val="21"/>
        </w:rPr>
        <w:t>年期收益率回升</w:t>
      </w:r>
      <w:r w:rsidR="004F1718" w:rsidRPr="009655F3">
        <w:rPr>
          <w:rFonts w:hint="eastAsia"/>
          <w:szCs w:val="21"/>
        </w:rPr>
        <w:t xml:space="preserve"> 9bp</w:t>
      </w:r>
      <w:r w:rsidR="004F1718" w:rsidRPr="009655F3">
        <w:rPr>
          <w:rFonts w:hint="eastAsia"/>
          <w:szCs w:val="21"/>
        </w:rPr>
        <w:t>，</w:t>
      </w:r>
      <w:r w:rsidR="004F1718" w:rsidRPr="009655F3">
        <w:rPr>
          <w:rFonts w:hint="eastAsia"/>
          <w:szCs w:val="21"/>
        </w:rPr>
        <w:t xml:space="preserve">3 </w:t>
      </w:r>
      <w:r w:rsidR="004F1718" w:rsidRPr="009655F3">
        <w:rPr>
          <w:rFonts w:hint="eastAsia"/>
          <w:szCs w:val="21"/>
        </w:rPr>
        <w:t>年期非</w:t>
      </w:r>
      <w:proofErr w:type="gramStart"/>
      <w:r w:rsidR="004F1718" w:rsidRPr="009655F3">
        <w:rPr>
          <w:rFonts w:hint="eastAsia"/>
          <w:szCs w:val="21"/>
        </w:rPr>
        <w:t>国开债回升</w:t>
      </w:r>
      <w:proofErr w:type="gramEnd"/>
      <w:r w:rsidR="004F1718" w:rsidRPr="009655F3">
        <w:rPr>
          <w:rFonts w:hint="eastAsia"/>
          <w:szCs w:val="21"/>
        </w:rPr>
        <w:t xml:space="preserve"> 14bp </w:t>
      </w:r>
      <w:r w:rsidR="004F1718" w:rsidRPr="009655F3">
        <w:rPr>
          <w:rFonts w:hint="eastAsia"/>
          <w:szCs w:val="21"/>
        </w:rPr>
        <w:t>到</w:t>
      </w:r>
      <w:r w:rsidR="004F1718" w:rsidRPr="009655F3">
        <w:rPr>
          <w:rFonts w:hint="eastAsia"/>
          <w:szCs w:val="21"/>
        </w:rPr>
        <w:t xml:space="preserve"> 4.59%</w:t>
      </w:r>
      <w:r w:rsidR="004F1718" w:rsidRPr="009655F3">
        <w:rPr>
          <w:rFonts w:hint="eastAsia"/>
          <w:szCs w:val="21"/>
        </w:rPr>
        <w:t>，</w:t>
      </w:r>
      <w:r w:rsidR="004F1718" w:rsidRPr="009655F3">
        <w:rPr>
          <w:rFonts w:hint="eastAsia"/>
          <w:szCs w:val="21"/>
        </w:rPr>
        <w:t xml:space="preserve">10 </w:t>
      </w:r>
      <w:r w:rsidR="004F1718" w:rsidRPr="009655F3">
        <w:rPr>
          <w:rFonts w:hint="eastAsia"/>
          <w:szCs w:val="21"/>
        </w:rPr>
        <w:t>年期非</w:t>
      </w:r>
      <w:proofErr w:type="gramStart"/>
      <w:r w:rsidR="004F1718" w:rsidRPr="009655F3">
        <w:rPr>
          <w:rFonts w:hint="eastAsia"/>
          <w:szCs w:val="21"/>
        </w:rPr>
        <w:t>国开债收益率</w:t>
      </w:r>
      <w:proofErr w:type="gramEnd"/>
      <w:r w:rsidR="004F1718" w:rsidRPr="009655F3">
        <w:rPr>
          <w:rFonts w:hint="eastAsia"/>
          <w:szCs w:val="21"/>
        </w:rPr>
        <w:t>回升</w:t>
      </w:r>
      <w:r w:rsidR="004F1718" w:rsidRPr="009655F3">
        <w:rPr>
          <w:rFonts w:hint="eastAsia"/>
          <w:szCs w:val="21"/>
        </w:rPr>
        <w:t xml:space="preserve"> 10bp </w:t>
      </w:r>
      <w:r w:rsidR="004F1718" w:rsidRPr="009655F3">
        <w:rPr>
          <w:rFonts w:hint="eastAsia"/>
          <w:szCs w:val="21"/>
        </w:rPr>
        <w:t>到</w:t>
      </w:r>
      <w:r w:rsidR="004F1718" w:rsidRPr="009655F3">
        <w:rPr>
          <w:rFonts w:hint="eastAsia"/>
          <w:szCs w:val="21"/>
        </w:rPr>
        <w:t>4.83%</w:t>
      </w:r>
      <w:r w:rsidR="004F1718" w:rsidRPr="009655F3">
        <w:rPr>
          <w:rFonts w:hint="eastAsia"/>
          <w:szCs w:val="21"/>
        </w:rPr>
        <w:t>。银行间信用债中，低等级的</w:t>
      </w:r>
      <w:proofErr w:type="gramStart"/>
      <w:r w:rsidR="004F1718" w:rsidRPr="009655F3">
        <w:rPr>
          <w:rFonts w:hint="eastAsia"/>
          <w:szCs w:val="21"/>
        </w:rPr>
        <w:t>短久期债</w:t>
      </w:r>
      <w:proofErr w:type="gramEnd"/>
      <w:r w:rsidR="004F1718" w:rsidRPr="009655F3">
        <w:rPr>
          <w:rFonts w:hint="eastAsia"/>
          <w:szCs w:val="21"/>
        </w:rPr>
        <w:t>表现最好，</w:t>
      </w:r>
      <w:r w:rsidR="004F1718" w:rsidRPr="009655F3">
        <w:rPr>
          <w:rFonts w:hint="eastAsia"/>
          <w:szCs w:val="21"/>
        </w:rPr>
        <w:t xml:space="preserve">AAA </w:t>
      </w:r>
      <w:proofErr w:type="gramStart"/>
      <w:r w:rsidR="004F1718" w:rsidRPr="009655F3">
        <w:rPr>
          <w:rFonts w:hint="eastAsia"/>
          <w:szCs w:val="21"/>
        </w:rPr>
        <w:t>短融收益率</w:t>
      </w:r>
      <w:proofErr w:type="gramEnd"/>
      <w:r w:rsidR="004F1718" w:rsidRPr="009655F3">
        <w:rPr>
          <w:rFonts w:hint="eastAsia"/>
          <w:szCs w:val="21"/>
        </w:rPr>
        <w:t>回升</w:t>
      </w:r>
      <w:r w:rsidR="004F1718" w:rsidRPr="009655F3">
        <w:rPr>
          <w:rFonts w:hint="eastAsia"/>
          <w:szCs w:val="21"/>
        </w:rPr>
        <w:t xml:space="preserve"> 14bp </w:t>
      </w:r>
      <w:r w:rsidR="004F1718" w:rsidRPr="009655F3">
        <w:rPr>
          <w:rFonts w:hint="eastAsia"/>
          <w:szCs w:val="21"/>
        </w:rPr>
        <w:t>到</w:t>
      </w:r>
      <w:r w:rsidR="004F1718" w:rsidRPr="009655F3">
        <w:rPr>
          <w:rFonts w:hint="eastAsia"/>
          <w:szCs w:val="21"/>
        </w:rPr>
        <w:t xml:space="preserve"> 5.08%</w:t>
      </w:r>
      <w:r w:rsidR="004F1718" w:rsidRPr="009655F3">
        <w:rPr>
          <w:rFonts w:hint="eastAsia"/>
          <w:szCs w:val="21"/>
        </w:rPr>
        <w:t>，</w:t>
      </w:r>
      <w:r w:rsidR="004F1718" w:rsidRPr="009655F3">
        <w:rPr>
          <w:rFonts w:hint="eastAsia"/>
          <w:szCs w:val="21"/>
        </w:rPr>
        <w:t xml:space="preserve"> AA </w:t>
      </w:r>
      <w:proofErr w:type="gramStart"/>
      <w:r w:rsidR="004F1718" w:rsidRPr="009655F3">
        <w:rPr>
          <w:rFonts w:hint="eastAsia"/>
          <w:szCs w:val="21"/>
        </w:rPr>
        <w:t>短融收益率</w:t>
      </w:r>
      <w:proofErr w:type="gramEnd"/>
      <w:r w:rsidR="004F1718" w:rsidRPr="009655F3">
        <w:rPr>
          <w:rFonts w:hint="eastAsia"/>
          <w:szCs w:val="21"/>
        </w:rPr>
        <w:t>上升</w:t>
      </w:r>
      <w:r w:rsidR="004F1718" w:rsidRPr="009655F3">
        <w:rPr>
          <w:rFonts w:hint="eastAsia"/>
          <w:szCs w:val="21"/>
        </w:rPr>
        <w:t xml:space="preserve"> 5bp </w:t>
      </w:r>
      <w:r w:rsidR="004F1718" w:rsidRPr="009655F3">
        <w:rPr>
          <w:rFonts w:hint="eastAsia"/>
          <w:szCs w:val="21"/>
        </w:rPr>
        <w:t>到</w:t>
      </w:r>
      <w:r w:rsidR="004F1718" w:rsidRPr="009655F3">
        <w:rPr>
          <w:rFonts w:hint="eastAsia"/>
          <w:szCs w:val="21"/>
        </w:rPr>
        <w:t xml:space="preserve"> 5.79%</w:t>
      </w:r>
      <w:r w:rsidR="004F1718" w:rsidRPr="009655F3">
        <w:rPr>
          <w:rFonts w:hint="eastAsia"/>
          <w:szCs w:val="21"/>
        </w:rPr>
        <w:t>。</w:t>
      </w:r>
      <w:r w:rsidR="004F1718" w:rsidRPr="009655F3">
        <w:rPr>
          <w:rFonts w:hint="eastAsia"/>
          <w:szCs w:val="21"/>
        </w:rPr>
        <w:t xml:space="preserve"> 3 </w:t>
      </w:r>
      <w:r w:rsidR="004F1718" w:rsidRPr="009655F3">
        <w:rPr>
          <w:rFonts w:hint="eastAsia"/>
          <w:szCs w:val="21"/>
        </w:rPr>
        <w:t>年期中票收益率高等级回升，低等级持平，收益率介于</w:t>
      </w:r>
      <w:r w:rsidR="004F1718" w:rsidRPr="009655F3">
        <w:rPr>
          <w:rFonts w:hint="eastAsia"/>
          <w:szCs w:val="21"/>
        </w:rPr>
        <w:t xml:space="preserve"> 5.2%-5.9%</w:t>
      </w:r>
      <w:r w:rsidR="004F1718" w:rsidRPr="009655F3">
        <w:rPr>
          <w:rFonts w:hint="eastAsia"/>
          <w:szCs w:val="21"/>
        </w:rPr>
        <w:t>。</w:t>
      </w:r>
      <w:r w:rsidR="004F1718" w:rsidRPr="009655F3">
        <w:rPr>
          <w:rFonts w:hint="eastAsia"/>
          <w:szCs w:val="21"/>
        </w:rPr>
        <w:t xml:space="preserve">5 </w:t>
      </w:r>
      <w:r w:rsidR="004F1718" w:rsidRPr="009655F3">
        <w:rPr>
          <w:rFonts w:hint="eastAsia"/>
          <w:szCs w:val="21"/>
        </w:rPr>
        <w:t>年期中票收益率小幅回升，</w:t>
      </w:r>
      <w:r w:rsidR="004F1718" w:rsidRPr="009655F3">
        <w:rPr>
          <w:rFonts w:hint="eastAsia"/>
          <w:szCs w:val="21"/>
        </w:rPr>
        <w:t xml:space="preserve"> </w:t>
      </w:r>
      <w:r w:rsidR="004F1718" w:rsidRPr="009655F3">
        <w:rPr>
          <w:rFonts w:hint="eastAsia"/>
          <w:szCs w:val="21"/>
        </w:rPr>
        <w:t>低等级升幅略少，</w:t>
      </w:r>
      <w:r w:rsidR="004F1718" w:rsidRPr="009655F3">
        <w:rPr>
          <w:rFonts w:hint="eastAsia"/>
          <w:szCs w:val="21"/>
        </w:rPr>
        <w:t xml:space="preserve"> 5 </w:t>
      </w:r>
      <w:r w:rsidR="004F1718" w:rsidRPr="009655F3">
        <w:rPr>
          <w:rFonts w:hint="eastAsia"/>
          <w:szCs w:val="21"/>
        </w:rPr>
        <w:t>年期</w:t>
      </w:r>
      <w:r w:rsidR="004F1718" w:rsidRPr="009655F3">
        <w:rPr>
          <w:rFonts w:hint="eastAsia"/>
          <w:szCs w:val="21"/>
        </w:rPr>
        <w:t xml:space="preserve"> AAA-AA </w:t>
      </w:r>
      <w:r w:rsidR="004F1718" w:rsidRPr="009655F3">
        <w:rPr>
          <w:rFonts w:hint="eastAsia"/>
          <w:szCs w:val="21"/>
        </w:rPr>
        <w:t>品种介于</w:t>
      </w:r>
      <w:r w:rsidR="004F1718" w:rsidRPr="009655F3">
        <w:rPr>
          <w:rFonts w:hint="eastAsia"/>
          <w:szCs w:val="21"/>
        </w:rPr>
        <w:t xml:space="preserve"> 5.3%-6.1%</w:t>
      </w:r>
      <w:r w:rsidR="004F1718" w:rsidRPr="009655F3">
        <w:rPr>
          <w:rFonts w:hint="eastAsia"/>
          <w:szCs w:val="21"/>
        </w:rPr>
        <w:t>。</w:t>
      </w:r>
      <w:r w:rsidR="004F1718" w:rsidRPr="009655F3">
        <w:rPr>
          <w:rFonts w:hint="eastAsia"/>
          <w:szCs w:val="21"/>
        </w:rPr>
        <w:t xml:space="preserve"> </w:t>
      </w:r>
    </w:p>
    <w:p w:rsidR="004F1718" w:rsidRDefault="004F1718" w:rsidP="005570E2">
      <w:pPr>
        <w:spacing w:afterLines="50" w:line="360" w:lineRule="auto"/>
        <w:ind w:firstLineChars="200" w:firstLine="420"/>
        <w:jc w:val="center"/>
        <w:rPr>
          <w:noProof/>
          <w:szCs w:val="21"/>
        </w:rPr>
      </w:pPr>
      <w:r>
        <w:rPr>
          <w:rFonts w:hint="eastAsia"/>
          <w:szCs w:val="21"/>
        </w:rPr>
        <w:t>图</w:t>
      </w:r>
      <w:r>
        <w:rPr>
          <w:rFonts w:hint="eastAsia"/>
          <w:szCs w:val="21"/>
        </w:rPr>
        <w:t>18</w:t>
      </w:r>
      <w:r>
        <w:rPr>
          <w:rFonts w:hint="eastAsia"/>
          <w:szCs w:val="21"/>
        </w:rPr>
        <w:t>：利率债收益率</w:t>
      </w:r>
    </w:p>
    <w:p w:rsidR="004F1718" w:rsidRDefault="004F1718" w:rsidP="005570E2">
      <w:pPr>
        <w:spacing w:afterLines="50" w:line="360" w:lineRule="auto"/>
        <w:ind w:firstLineChars="200" w:firstLine="420"/>
        <w:jc w:val="center"/>
        <w:rPr>
          <w:rFonts w:asciiTheme="minorEastAsia" w:hAnsiTheme="minorEastAsia" w:cs="楷体_GB2312"/>
          <w:kern w:val="0"/>
          <w:szCs w:val="21"/>
        </w:rPr>
      </w:pPr>
      <w:r w:rsidRPr="00F318A9">
        <w:rPr>
          <w:rFonts w:asciiTheme="minorEastAsia" w:hAnsiTheme="minorEastAsia" w:cs="楷体_GB2312"/>
          <w:noProof/>
          <w:kern w:val="0"/>
          <w:szCs w:val="21"/>
        </w:rPr>
        <w:drawing>
          <wp:inline distT="0" distB="0" distL="0" distR="0">
            <wp:extent cx="4591050" cy="2733675"/>
            <wp:effectExtent l="19050" t="0" r="19050" b="0"/>
            <wp:docPr id="5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F1718" w:rsidRDefault="00AA6E68" w:rsidP="005570E2">
      <w:pPr>
        <w:spacing w:afterLines="50" w:line="360" w:lineRule="auto"/>
        <w:ind w:firstLineChars="200" w:firstLine="420"/>
        <w:jc w:val="center"/>
        <w:rPr>
          <w:rFonts w:asciiTheme="minorEastAsia" w:hAnsiTheme="minorEastAsia" w:cs="楷体_GB2312"/>
          <w:kern w:val="0"/>
          <w:szCs w:val="21"/>
        </w:rPr>
      </w:pPr>
      <w:r>
        <w:rPr>
          <w:rFonts w:asciiTheme="minorEastAsia" w:hAnsiTheme="minorEastAsia" w:cs="楷体_GB2312"/>
          <w:noProof/>
          <w:kern w:val="0"/>
          <w:szCs w:val="21"/>
        </w:rPr>
        <w:pict>
          <v:shape id="_x0000_s2125" type="#_x0000_t202" style="position:absolute;left:0;text-align:left;margin-left:208.65pt;margin-top:187.35pt;width:81pt;height:24.75pt;z-index:251893760" strokecolor="white [3212]">
            <v:textbox>
              <w:txbxContent>
                <w:p w:rsidR="00832D5A" w:rsidRDefault="00832D5A" w:rsidP="007B0AB0">
                  <w:pPr>
                    <w:jc w:val="center"/>
                  </w:pPr>
                  <w:r>
                    <w:rPr>
                      <w:rFonts w:hint="eastAsia"/>
                    </w:rPr>
                    <w:t>第</w:t>
                  </w:r>
                  <w:r>
                    <w:rPr>
                      <w:rFonts w:hint="eastAsia"/>
                    </w:rPr>
                    <w:t>10</w:t>
                  </w:r>
                  <w:r>
                    <w:rPr>
                      <w:rFonts w:hint="eastAsia"/>
                    </w:rPr>
                    <w:t>页</w:t>
                  </w:r>
                </w:p>
              </w:txbxContent>
            </v:textbox>
          </v:shape>
        </w:pict>
      </w:r>
      <w:r w:rsidR="004F1718">
        <w:rPr>
          <w:rFonts w:asciiTheme="minorEastAsia" w:hAnsiTheme="minorEastAsia" w:cs="楷体_GB2312" w:hint="eastAsia"/>
          <w:kern w:val="0"/>
          <w:szCs w:val="21"/>
        </w:rPr>
        <w:t>图19：信用债收益率变化（</w:t>
      </w:r>
      <w:proofErr w:type="spellStart"/>
      <w:r w:rsidR="004F1718">
        <w:rPr>
          <w:rFonts w:asciiTheme="minorEastAsia" w:hAnsiTheme="minorEastAsia" w:cs="楷体_GB2312" w:hint="eastAsia"/>
          <w:kern w:val="0"/>
          <w:szCs w:val="21"/>
        </w:rPr>
        <w:t>bp</w:t>
      </w:r>
      <w:proofErr w:type="spellEnd"/>
      <w:r w:rsidR="004F1718">
        <w:rPr>
          <w:rFonts w:asciiTheme="minorEastAsia" w:hAnsiTheme="minorEastAsia" w:cs="楷体_GB2312" w:hint="eastAsia"/>
          <w:kern w:val="0"/>
          <w:szCs w:val="21"/>
        </w:rPr>
        <w:t>）</w:t>
      </w:r>
    </w:p>
    <w:p w:rsidR="004F1718" w:rsidRDefault="0057362C" w:rsidP="005570E2">
      <w:pPr>
        <w:spacing w:afterLines="50" w:line="360" w:lineRule="auto"/>
        <w:ind w:firstLineChars="200" w:firstLine="420"/>
        <w:jc w:val="center"/>
        <w:rPr>
          <w:rFonts w:asciiTheme="minorEastAsia" w:hAnsiTheme="minorEastAsia" w:cs="楷体_GB2312"/>
          <w:kern w:val="0"/>
          <w:szCs w:val="21"/>
        </w:rPr>
      </w:pPr>
      <w:r w:rsidRPr="0057362C">
        <w:rPr>
          <w:rFonts w:asciiTheme="minorEastAsia" w:hAnsiTheme="minorEastAsia" w:cs="楷体_GB2312" w:hint="eastAsia"/>
          <w:noProof/>
          <w:kern w:val="0"/>
          <w:szCs w:val="21"/>
        </w:rPr>
        <w:lastRenderedPageBreak/>
        <w:drawing>
          <wp:anchor distT="0" distB="0" distL="114300" distR="114300" simplePos="0" relativeHeight="251836416" behindDoc="1" locked="0" layoutInCell="1" allowOverlap="1">
            <wp:simplePos x="0" y="0"/>
            <wp:positionH relativeFrom="column">
              <wp:posOffset>-636270</wp:posOffset>
            </wp:positionH>
            <wp:positionV relativeFrom="paragraph">
              <wp:posOffset>-1411605</wp:posOffset>
            </wp:positionV>
            <wp:extent cx="7581900" cy="10725150"/>
            <wp:effectExtent l="19050" t="0" r="0" b="0"/>
            <wp:wrapNone/>
            <wp:docPr id="100"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004F1718" w:rsidRPr="00F318A9">
        <w:rPr>
          <w:rFonts w:asciiTheme="minorEastAsia" w:hAnsiTheme="minorEastAsia" w:cs="楷体_GB2312"/>
          <w:noProof/>
          <w:kern w:val="0"/>
          <w:szCs w:val="21"/>
        </w:rPr>
        <w:drawing>
          <wp:inline distT="0" distB="0" distL="0" distR="0">
            <wp:extent cx="4676775" cy="2524125"/>
            <wp:effectExtent l="19050" t="0" r="9525" b="0"/>
            <wp:docPr id="5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F1718" w:rsidRPr="00127C49" w:rsidRDefault="004F1718" w:rsidP="004F1718">
      <w:pPr>
        <w:autoSpaceDE w:val="0"/>
        <w:autoSpaceDN w:val="0"/>
        <w:adjustRightInd w:val="0"/>
        <w:jc w:val="left"/>
        <w:rPr>
          <w:rFonts w:ascii="楷体_GB2312" w:eastAsia="楷体_GB2312" w:cs="楷体_GB2312"/>
          <w:kern w:val="0"/>
          <w:szCs w:val="21"/>
        </w:rPr>
      </w:pPr>
    </w:p>
    <w:p w:rsidR="004F1718" w:rsidRDefault="00832D5A" w:rsidP="004F1718">
      <w:pPr>
        <w:spacing w:line="360" w:lineRule="auto"/>
        <w:rPr>
          <w:rFonts w:asciiTheme="minorEastAsia" w:hAnsiTheme="minorEastAsia"/>
          <w:szCs w:val="21"/>
        </w:rPr>
      </w:pPr>
      <w:r>
        <w:rPr>
          <w:rFonts w:asciiTheme="minorEastAsia" w:hAnsiTheme="minorEastAsia" w:hint="eastAsia"/>
          <w:szCs w:val="21"/>
        </w:rPr>
        <w:t>（三）、</w:t>
      </w:r>
      <w:r w:rsidR="00582889">
        <w:rPr>
          <w:rFonts w:asciiTheme="minorEastAsia" w:hAnsiTheme="minorEastAsia" w:hint="eastAsia"/>
          <w:szCs w:val="21"/>
        </w:rPr>
        <w:t>信托收益持续走高</w:t>
      </w:r>
      <w:r>
        <w:rPr>
          <w:rFonts w:asciiTheme="minorEastAsia" w:hAnsiTheme="minorEastAsia" w:hint="eastAsia"/>
          <w:szCs w:val="21"/>
        </w:rPr>
        <w:t>，资产管理计划发展迅猛</w:t>
      </w:r>
    </w:p>
    <w:p w:rsidR="004F1718" w:rsidRDefault="004F1718" w:rsidP="005570E2">
      <w:pPr>
        <w:spacing w:afterLines="50" w:line="360" w:lineRule="auto"/>
        <w:ind w:firstLineChars="200" w:firstLine="420"/>
        <w:jc w:val="left"/>
        <w:rPr>
          <w:rFonts w:asciiTheme="minorEastAsia" w:hAnsiTheme="minorEastAsia" w:cs="楷体_GB2312"/>
          <w:kern w:val="0"/>
          <w:szCs w:val="21"/>
        </w:rPr>
      </w:pPr>
      <w:r w:rsidRPr="002D7922">
        <w:rPr>
          <w:rFonts w:asciiTheme="minorEastAsia" w:hAnsiTheme="minorEastAsia" w:cs="楷体_GB2312" w:hint="eastAsia"/>
          <w:kern w:val="0"/>
          <w:szCs w:val="21"/>
        </w:rPr>
        <w:t>根据信托网的不完全统计，本月共 50 家信托公司成立了 420 款产品，</w:t>
      </w:r>
      <w:r w:rsidRPr="00731AB1">
        <w:rPr>
          <w:rFonts w:asciiTheme="minorEastAsia" w:hAnsiTheme="minorEastAsia" w:cs="楷体_GB2312" w:hint="eastAsia"/>
          <w:kern w:val="0"/>
          <w:szCs w:val="21"/>
        </w:rPr>
        <w:t>成立产品的平均期限为 2.31 年，较上月略有上升。</w:t>
      </w:r>
      <w:r>
        <w:rPr>
          <w:rFonts w:asciiTheme="minorEastAsia" w:hAnsiTheme="minorEastAsia" w:cs="楷体_GB2312" w:hint="eastAsia"/>
          <w:kern w:val="0"/>
          <w:szCs w:val="21"/>
        </w:rPr>
        <w:t>产品成立具体情况见表</w:t>
      </w:r>
      <w:r w:rsidRPr="002D7922">
        <w:rPr>
          <w:rFonts w:asciiTheme="minorEastAsia" w:hAnsiTheme="minorEastAsia" w:cs="楷体_GB2312" w:hint="eastAsia"/>
          <w:kern w:val="0"/>
          <w:szCs w:val="21"/>
        </w:rPr>
        <w:t>。</w:t>
      </w:r>
    </w:p>
    <w:p w:rsidR="004F1718" w:rsidRDefault="004F1718" w:rsidP="005570E2">
      <w:pPr>
        <w:spacing w:afterLines="50" w:line="360" w:lineRule="auto"/>
        <w:ind w:firstLineChars="200" w:firstLine="420"/>
        <w:jc w:val="center"/>
        <w:rPr>
          <w:rFonts w:asciiTheme="minorEastAsia" w:hAnsiTheme="minorEastAsia" w:cs="楷体_GB2312"/>
          <w:kern w:val="0"/>
          <w:szCs w:val="21"/>
        </w:rPr>
      </w:pPr>
      <w:r>
        <w:rPr>
          <w:rFonts w:asciiTheme="minorEastAsia" w:hAnsiTheme="minorEastAsia" w:cs="楷体_GB2312" w:hint="eastAsia"/>
          <w:kern w:val="0"/>
          <w:szCs w:val="21"/>
        </w:rPr>
        <w:t>表2：9月集合信托产品成立情况</w:t>
      </w:r>
    </w:p>
    <w:tbl>
      <w:tblPr>
        <w:tblStyle w:val="a6"/>
        <w:tblW w:w="0" w:type="auto"/>
        <w:jc w:val="center"/>
        <w:tblLook w:val="04A0"/>
      </w:tblPr>
      <w:tblGrid>
        <w:gridCol w:w="1420"/>
        <w:gridCol w:w="1087"/>
        <w:gridCol w:w="1276"/>
        <w:gridCol w:w="1897"/>
        <w:gridCol w:w="1687"/>
        <w:gridCol w:w="1519"/>
      </w:tblGrid>
      <w:tr w:rsidR="004F1718" w:rsidRPr="00376B61" w:rsidTr="004F1718">
        <w:trPr>
          <w:trHeight w:val="495"/>
          <w:jc w:val="center"/>
        </w:trPr>
        <w:tc>
          <w:tcPr>
            <w:tcW w:w="1420" w:type="dxa"/>
            <w:vAlign w:val="center"/>
          </w:tcPr>
          <w:p w:rsidR="004F1718" w:rsidRPr="00376B61" w:rsidRDefault="004F1718" w:rsidP="004F1718">
            <w:pPr>
              <w:pStyle w:val="a8"/>
              <w:jc w:val="center"/>
              <w:rPr>
                <w:sz w:val="18"/>
                <w:szCs w:val="18"/>
              </w:rPr>
            </w:pPr>
            <w:r w:rsidRPr="00376B61">
              <w:rPr>
                <w:rFonts w:hint="eastAsia"/>
                <w:sz w:val="18"/>
                <w:szCs w:val="18"/>
              </w:rPr>
              <w:t>时间</w:t>
            </w:r>
          </w:p>
        </w:tc>
        <w:tc>
          <w:tcPr>
            <w:tcW w:w="1087" w:type="dxa"/>
            <w:vAlign w:val="center"/>
          </w:tcPr>
          <w:p w:rsidR="004F1718" w:rsidRPr="00376B61" w:rsidRDefault="004F1718" w:rsidP="004F1718">
            <w:pPr>
              <w:pStyle w:val="a8"/>
              <w:jc w:val="center"/>
              <w:rPr>
                <w:sz w:val="18"/>
                <w:szCs w:val="18"/>
              </w:rPr>
            </w:pPr>
            <w:r w:rsidRPr="00376B61">
              <w:rPr>
                <w:rFonts w:hint="eastAsia"/>
                <w:sz w:val="18"/>
                <w:szCs w:val="18"/>
              </w:rPr>
              <w:t>成立数量</w:t>
            </w:r>
          </w:p>
        </w:tc>
        <w:tc>
          <w:tcPr>
            <w:tcW w:w="1276" w:type="dxa"/>
            <w:vAlign w:val="center"/>
          </w:tcPr>
          <w:p w:rsidR="004F1718" w:rsidRPr="00376B61" w:rsidRDefault="004F1718" w:rsidP="004F1718">
            <w:pPr>
              <w:pStyle w:val="a8"/>
              <w:jc w:val="center"/>
              <w:rPr>
                <w:sz w:val="18"/>
                <w:szCs w:val="18"/>
              </w:rPr>
            </w:pPr>
            <w:r w:rsidRPr="00376B61">
              <w:rPr>
                <w:rFonts w:hint="eastAsia"/>
                <w:sz w:val="18"/>
                <w:szCs w:val="18"/>
              </w:rPr>
              <w:t>信托公司数</w:t>
            </w:r>
          </w:p>
        </w:tc>
        <w:tc>
          <w:tcPr>
            <w:tcW w:w="1897" w:type="dxa"/>
            <w:vAlign w:val="center"/>
          </w:tcPr>
          <w:p w:rsidR="004F1718" w:rsidRPr="00376B61" w:rsidRDefault="004F1718" w:rsidP="004F1718">
            <w:pPr>
              <w:pStyle w:val="a8"/>
              <w:jc w:val="center"/>
              <w:rPr>
                <w:sz w:val="18"/>
                <w:szCs w:val="18"/>
              </w:rPr>
            </w:pPr>
            <w:r w:rsidRPr="00376B61">
              <w:rPr>
                <w:rFonts w:hint="eastAsia"/>
                <w:sz w:val="18"/>
                <w:szCs w:val="18"/>
              </w:rPr>
              <w:t>成立总规模（亿元）</w:t>
            </w:r>
          </w:p>
        </w:tc>
        <w:tc>
          <w:tcPr>
            <w:tcW w:w="1687" w:type="dxa"/>
            <w:vAlign w:val="center"/>
          </w:tcPr>
          <w:p w:rsidR="004F1718" w:rsidRPr="00376B61" w:rsidRDefault="004F1718" w:rsidP="004F1718">
            <w:pPr>
              <w:pStyle w:val="a8"/>
              <w:jc w:val="center"/>
              <w:rPr>
                <w:sz w:val="18"/>
                <w:szCs w:val="18"/>
              </w:rPr>
            </w:pPr>
            <w:r w:rsidRPr="00376B61">
              <w:rPr>
                <w:rFonts w:hint="eastAsia"/>
                <w:sz w:val="18"/>
                <w:szCs w:val="18"/>
              </w:rPr>
              <w:t>平均规模（亿元）</w:t>
            </w:r>
          </w:p>
        </w:tc>
        <w:tc>
          <w:tcPr>
            <w:tcW w:w="1519" w:type="dxa"/>
            <w:vAlign w:val="center"/>
          </w:tcPr>
          <w:p w:rsidR="004F1718" w:rsidRPr="00376B61" w:rsidRDefault="004F1718" w:rsidP="004F1718">
            <w:pPr>
              <w:pStyle w:val="a8"/>
              <w:jc w:val="center"/>
              <w:rPr>
                <w:sz w:val="18"/>
                <w:szCs w:val="18"/>
              </w:rPr>
            </w:pPr>
            <w:r w:rsidRPr="00376B61">
              <w:rPr>
                <w:rFonts w:hint="eastAsia"/>
                <w:sz w:val="18"/>
                <w:szCs w:val="18"/>
              </w:rPr>
              <w:t>平均收益率（</w:t>
            </w:r>
            <w:r w:rsidRPr="00376B61">
              <w:rPr>
                <w:rFonts w:hint="eastAsia"/>
                <w:sz w:val="18"/>
                <w:szCs w:val="18"/>
              </w:rPr>
              <w:t>%</w:t>
            </w:r>
            <w:r w:rsidRPr="00376B61">
              <w:rPr>
                <w:rFonts w:hint="eastAsia"/>
                <w:sz w:val="18"/>
                <w:szCs w:val="18"/>
              </w:rPr>
              <w:t>）</w:t>
            </w:r>
          </w:p>
        </w:tc>
      </w:tr>
      <w:tr w:rsidR="004F1718" w:rsidTr="004F1718">
        <w:trPr>
          <w:trHeight w:val="292"/>
          <w:jc w:val="center"/>
        </w:trPr>
        <w:tc>
          <w:tcPr>
            <w:tcW w:w="1420" w:type="dxa"/>
            <w:vAlign w:val="center"/>
          </w:tcPr>
          <w:p w:rsidR="004F1718" w:rsidRPr="00376B61" w:rsidRDefault="004F1718" w:rsidP="004F1718">
            <w:pPr>
              <w:pStyle w:val="a8"/>
              <w:jc w:val="center"/>
              <w:rPr>
                <w:sz w:val="18"/>
                <w:szCs w:val="18"/>
              </w:rPr>
            </w:pPr>
            <w:r w:rsidRPr="00376B61">
              <w:rPr>
                <w:rFonts w:hint="eastAsia"/>
                <w:sz w:val="18"/>
                <w:szCs w:val="18"/>
              </w:rPr>
              <w:t>本月</w:t>
            </w:r>
          </w:p>
        </w:tc>
        <w:tc>
          <w:tcPr>
            <w:tcW w:w="1087" w:type="dxa"/>
            <w:vAlign w:val="center"/>
          </w:tcPr>
          <w:p w:rsidR="004F1718" w:rsidRPr="00376B61" w:rsidRDefault="004F1718" w:rsidP="004F1718">
            <w:pPr>
              <w:pStyle w:val="a8"/>
              <w:jc w:val="center"/>
              <w:rPr>
                <w:sz w:val="18"/>
                <w:szCs w:val="18"/>
              </w:rPr>
            </w:pPr>
            <w:r w:rsidRPr="00376B61">
              <w:rPr>
                <w:rFonts w:hint="eastAsia"/>
                <w:sz w:val="18"/>
                <w:szCs w:val="18"/>
              </w:rPr>
              <w:t>420</w:t>
            </w:r>
          </w:p>
        </w:tc>
        <w:tc>
          <w:tcPr>
            <w:tcW w:w="1276" w:type="dxa"/>
            <w:vAlign w:val="center"/>
          </w:tcPr>
          <w:p w:rsidR="004F1718" w:rsidRPr="00376B61" w:rsidRDefault="004F1718" w:rsidP="004F1718">
            <w:pPr>
              <w:pStyle w:val="a8"/>
              <w:jc w:val="center"/>
              <w:rPr>
                <w:sz w:val="18"/>
                <w:szCs w:val="18"/>
              </w:rPr>
            </w:pPr>
            <w:r w:rsidRPr="00376B61">
              <w:rPr>
                <w:rFonts w:hint="eastAsia"/>
                <w:sz w:val="18"/>
                <w:szCs w:val="18"/>
              </w:rPr>
              <w:t>50</w:t>
            </w:r>
          </w:p>
        </w:tc>
        <w:tc>
          <w:tcPr>
            <w:tcW w:w="1897" w:type="dxa"/>
            <w:vAlign w:val="center"/>
          </w:tcPr>
          <w:p w:rsidR="004F1718" w:rsidRPr="00376B61" w:rsidRDefault="004F1718" w:rsidP="004F1718">
            <w:pPr>
              <w:pStyle w:val="a8"/>
              <w:jc w:val="center"/>
              <w:rPr>
                <w:sz w:val="18"/>
                <w:szCs w:val="18"/>
              </w:rPr>
            </w:pPr>
            <w:r w:rsidRPr="00376B61">
              <w:rPr>
                <w:rFonts w:hint="eastAsia"/>
                <w:sz w:val="18"/>
                <w:szCs w:val="18"/>
              </w:rPr>
              <w:t>441.07</w:t>
            </w:r>
          </w:p>
        </w:tc>
        <w:tc>
          <w:tcPr>
            <w:tcW w:w="1687" w:type="dxa"/>
            <w:vAlign w:val="center"/>
          </w:tcPr>
          <w:p w:rsidR="004F1718" w:rsidRPr="00376B61" w:rsidRDefault="004F1718" w:rsidP="004F1718">
            <w:pPr>
              <w:pStyle w:val="a8"/>
              <w:jc w:val="center"/>
              <w:rPr>
                <w:sz w:val="18"/>
                <w:szCs w:val="18"/>
              </w:rPr>
            </w:pPr>
            <w:r w:rsidRPr="00376B61">
              <w:rPr>
                <w:rFonts w:hint="eastAsia"/>
                <w:sz w:val="18"/>
                <w:szCs w:val="18"/>
              </w:rPr>
              <w:t>1.39</w:t>
            </w:r>
          </w:p>
        </w:tc>
        <w:tc>
          <w:tcPr>
            <w:tcW w:w="1519" w:type="dxa"/>
            <w:vAlign w:val="center"/>
          </w:tcPr>
          <w:p w:rsidR="004F1718" w:rsidRPr="00376B61" w:rsidRDefault="004F1718" w:rsidP="004F1718">
            <w:pPr>
              <w:pStyle w:val="a8"/>
              <w:jc w:val="center"/>
              <w:rPr>
                <w:sz w:val="18"/>
                <w:szCs w:val="18"/>
              </w:rPr>
            </w:pPr>
            <w:r w:rsidRPr="00376B61">
              <w:rPr>
                <w:rFonts w:hint="eastAsia"/>
                <w:sz w:val="18"/>
                <w:szCs w:val="18"/>
              </w:rPr>
              <w:t>9.18</w:t>
            </w:r>
          </w:p>
        </w:tc>
      </w:tr>
      <w:tr w:rsidR="004F1718" w:rsidTr="004F1718">
        <w:trPr>
          <w:trHeight w:val="253"/>
          <w:jc w:val="center"/>
        </w:trPr>
        <w:tc>
          <w:tcPr>
            <w:tcW w:w="1420" w:type="dxa"/>
            <w:vAlign w:val="center"/>
          </w:tcPr>
          <w:p w:rsidR="004F1718" w:rsidRPr="00376B61" w:rsidRDefault="004F1718" w:rsidP="004F1718">
            <w:pPr>
              <w:pStyle w:val="a8"/>
              <w:jc w:val="center"/>
              <w:rPr>
                <w:sz w:val="18"/>
                <w:szCs w:val="18"/>
              </w:rPr>
            </w:pPr>
            <w:r w:rsidRPr="00376B61">
              <w:rPr>
                <w:rFonts w:hint="eastAsia"/>
                <w:sz w:val="18"/>
                <w:szCs w:val="18"/>
              </w:rPr>
              <w:t>上月</w:t>
            </w:r>
          </w:p>
        </w:tc>
        <w:tc>
          <w:tcPr>
            <w:tcW w:w="1087" w:type="dxa"/>
            <w:vAlign w:val="center"/>
          </w:tcPr>
          <w:p w:rsidR="004F1718" w:rsidRPr="00376B61" w:rsidRDefault="004F1718" w:rsidP="004F1718">
            <w:pPr>
              <w:pStyle w:val="a8"/>
              <w:jc w:val="center"/>
              <w:rPr>
                <w:sz w:val="18"/>
                <w:szCs w:val="18"/>
              </w:rPr>
            </w:pPr>
            <w:r w:rsidRPr="00376B61">
              <w:rPr>
                <w:rFonts w:hint="eastAsia"/>
                <w:sz w:val="18"/>
                <w:szCs w:val="18"/>
              </w:rPr>
              <w:t>561</w:t>
            </w:r>
          </w:p>
        </w:tc>
        <w:tc>
          <w:tcPr>
            <w:tcW w:w="1276" w:type="dxa"/>
            <w:vAlign w:val="center"/>
          </w:tcPr>
          <w:p w:rsidR="004F1718" w:rsidRPr="00376B61" w:rsidRDefault="004F1718" w:rsidP="004F1718">
            <w:pPr>
              <w:pStyle w:val="a8"/>
              <w:jc w:val="center"/>
              <w:rPr>
                <w:sz w:val="18"/>
                <w:szCs w:val="18"/>
              </w:rPr>
            </w:pPr>
            <w:r w:rsidRPr="00376B61">
              <w:rPr>
                <w:rFonts w:hint="eastAsia"/>
                <w:sz w:val="18"/>
                <w:szCs w:val="18"/>
              </w:rPr>
              <w:t>55</w:t>
            </w:r>
          </w:p>
        </w:tc>
        <w:tc>
          <w:tcPr>
            <w:tcW w:w="1897" w:type="dxa"/>
            <w:vAlign w:val="center"/>
          </w:tcPr>
          <w:p w:rsidR="004F1718" w:rsidRPr="00376B61" w:rsidRDefault="004F1718" w:rsidP="004F1718">
            <w:pPr>
              <w:pStyle w:val="a8"/>
              <w:jc w:val="center"/>
              <w:rPr>
                <w:sz w:val="18"/>
                <w:szCs w:val="18"/>
              </w:rPr>
            </w:pPr>
            <w:r w:rsidRPr="00376B61">
              <w:rPr>
                <w:rFonts w:hint="eastAsia"/>
                <w:sz w:val="18"/>
                <w:szCs w:val="18"/>
              </w:rPr>
              <w:t>645.78</w:t>
            </w:r>
          </w:p>
        </w:tc>
        <w:tc>
          <w:tcPr>
            <w:tcW w:w="1687" w:type="dxa"/>
            <w:vAlign w:val="center"/>
          </w:tcPr>
          <w:p w:rsidR="004F1718" w:rsidRPr="00376B61" w:rsidRDefault="004F1718" w:rsidP="004F1718">
            <w:pPr>
              <w:pStyle w:val="a8"/>
              <w:jc w:val="center"/>
              <w:rPr>
                <w:sz w:val="18"/>
                <w:szCs w:val="18"/>
              </w:rPr>
            </w:pPr>
            <w:r w:rsidRPr="00376B61">
              <w:rPr>
                <w:rFonts w:hint="eastAsia"/>
                <w:sz w:val="18"/>
                <w:szCs w:val="18"/>
              </w:rPr>
              <w:t>1.45</w:t>
            </w:r>
          </w:p>
        </w:tc>
        <w:tc>
          <w:tcPr>
            <w:tcW w:w="1519" w:type="dxa"/>
            <w:vAlign w:val="center"/>
          </w:tcPr>
          <w:p w:rsidR="004F1718" w:rsidRPr="00376B61" w:rsidRDefault="004F1718" w:rsidP="004F1718">
            <w:pPr>
              <w:pStyle w:val="a8"/>
              <w:jc w:val="center"/>
              <w:rPr>
                <w:sz w:val="18"/>
                <w:szCs w:val="18"/>
              </w:rPr>
            </w:pPr>
            <w:r w:rsidRPr="00376B61">
              <w:rPr>
                <w:rFonts w:hint="eastAsia"/>
                <w:sz w:val="18"/>
                <w:szCs w:val="18"/>
              </w:rPr>
              <w:t>9.1</w:t>
            </w:r>
          </w:p>
        </w:tc>
      </w:tr>
      <w:tr w:rsidR="004F1718" w:rsidTr="004F1718">
        <w:trPr>
          <w:jc w:val="center"/>
        </w:trPr>
        <w:tc>
          <w:tcPr>
            <w:tcW w:w="1420" w:type="dxa"/>
            <w:vAlign w:val="center"/>
          </w:tcPr>
          <w:p w:rsidR="004F1718" w:rsidRPr="00376B61" w:rsidRDefault="004F1718" w:rsidP="004F1718">
            <w:pPr>
              <w:pStyle w:val="a8"/>
              <w:jc w:val="center"/>
              <w:rPr>
                <w:sz w:val="18"/>
                <w:szCs w:val="18"/>
              </w:rPr>
            </w:pPr>
            <w:r w:rsidRPr="00376B61">
              <w:rPr>
                <w:rFonts w:hint="eastAsia"/>
                <w:sz w:val="18"/>
                <w:szCs w:val="18"/>
              </w:rPr>
              <w:t>增幅</w:t>
            </w:r>
          </w:p>
        </w:tc>
        <w:tc>
          <w:tcPr>
            <w:tcW w:w="1087" w:type="dxa"/>
            <w:vAlign w:val="center"/>
          </w:tcPr>
          <w:p w:rsidR="004F1718" w:rsidRPr="00376B61" w:rsidRDefault="004F1718" w:rsidP="004F1718">
            <w:pPr>
              <w:pStyle w:val="a8"/>
              <w:jc w:val="center"/>
              <w:rPr>
                <w:sz w:val="18"/>
                <w:szCs w:val="18"/>
              </w:rPr>
            </w:pPr>
            <w:r w:rsidRPr="00376B61">
              <w:rPr>
                <w:rFonts w:hint="eastAsia"/>
                <w:sz w:val="18"/>
                <w:szCs w:val="18"/>
              </w:rPr>
              <w:t>-25.13%</w:t>
            </w:r>
          </w:p>
        </w:tc>
        <w:tc>
          <w:tcPr>
            <w:tcW w:w="1276" w:type="dxa"/>
            <w:vAlign w:val="center"/>
          </w:tcPr>
          <w:p w:rsidR="004F1718" w:rsidRPr="00376B61" w:rsidRDefault="004F1718" w:rsidP="004F1718">
            <w:pPr>
              <w:pStyle w:val="a8"/>
              <w:jc w:val="center"/>
              <w:rPr>
                <w:sz w:val="18"/>
                <w:szCs w:val="18"/>
              </w:rPr>
            </w:pPr>
            <w:r w:rsidRPr="00376B61">
              <w:rPr>
                <w:rFonts w:hint="eastAsia"/>
                <w:sz w:val="18"/>
                <w:szCs w:val="18"/>
              </w:rPr>
              <w:t>-9.09%</w:t>
            </w:r>
          </w:p>
        </w:tc>
        <w:tc>
          <w:tcPr>
            <w:tcW w:w="1897" w:type="dxa"/>
            <w:vAlign w:val="center"/>
          </w:tcPr>
          <w:p w:rsidR="004F1718" w:rsidRPr="00376B61" w:rsidRDefault="004F1718" w:rsidP="004F1718">
            <w:pPr>
              <w:pStyle w:val="a8"/>
              <w:jc w:val="center"/>
              <w:rPr>
                <w:sz w:val="18"/>
                <w:szCs w:val="18"/>
              </w:rPr>
            </w:pPr>
            <w:r w:rsidRPr="00376B61">
              <w:rPr>
                <w:rFonts w:hint="eastAsia"/>
                <w:sz w:val="18"/>
                <w:szCs w:val="18"/>
              </w:rPr>
              <w:t>-31.70%</w:t>
            </w:r>
          </w:p>
        </w:tc>
        <w:tc>
          <w:tcPr>
            <w:tcW w:w="1687" w:type="dxa"/>
            <w:vAlign w:val="center"/>
          </w:tcPr>
          <w:p w:rsidR="004F1718" w:rsidRPr="00376B61" w:rsidRDefault="004F1718" w:rsidP="004F1718">
            <w:pPr>
              <w:pStyle w:val="a8"/>
              <w:jc w:val="center"/>
              <w:rPr>
                <w:sz w:val="18"/>
                <w:szCs w:val="18"/>
              </w:rPr>
            </w:pPr>
            <w:r w:rsidRPr="00376B61">
              <w:rPr>
                <w:rFonts w:hint="eastAsia"/>
                <w:sz w:val="18"/>
                <w:szCs w:val="18"/>
              </w:rPr>
              <w:t>-4.14%</w:t>
            </w:r>
          </w:p>
        </w:tc>
        <w:tc>
          <w:tcPr>
            <w:tcW w:w="1519" w:type="dxa"/>
            <w:vAlign w:val="center"/>
          </w:tcPr>
          <w:p w:rsidR="004F1718" w:rsidRPr="00376B61" w:rsidRDefault="004F1718" w:rsidP="004F1718">
            <w:pPr>
              <w:pStyle w:val="a8"/>
              <w:jc w:val="center"/>
              <w:rPr>
                <w:sz w:val="18"/>
                <w:szCs w:val="18"/>
              </w:rPr>
            </w:pPr>
            <w:r w:rsidRPr="00376B61">
              <w:rPr>
                <w:rFonts w:hint="eastAsia"/>
                <w:sz w:val="18"/>
                <w:szCs w:val="18"/>
              </w:rPr>
              <w:t>0.88%</w:t>
            </w:r>
          </w:p>
        </w:tc>
      </w:tr>
    </w:tbl>
    <w:p w:rsidR="004F1718" w:rsidRDefault="004F1718" w:rsidP="005570E2">
      <w:pPr>
        <w:spacing w:afterLines="50" w:line="360" w:lineRule="auto"/>
        <w:ind w:firstLineChars="200" w:firstLine="420"/>
        <w:jc w:val="left"/>
        <w:rPr>
          <w:rFonts w:asciiTheme="minorEastAsia" w:hAnsiTheme="minorEastAsia" w:cs="楷体_GB2312"/>
          <w:kern w:val="0"/>
          <w:szCs w:val="21"/>
        </w:rPr>
      </w:pPr>
      <w:r>
        <w:rPr>
          <w:rFonts w:asciiTheme="minorEastAsia" w:hAnsiTheme="minorEastAsia" w:cs="楷体_GB2312" w:hint="eastAsia"/>
          <w:kern w:val="0"/>
          <w:szCs w:val="21"/>
        </w:rPr>
        <w:t>在</w:t>
      </w:r>
      <w:r w:rsidRPr="00731AB1">
        <w:rPr>
          <w:rFonts w:asciiTheme="minorEastAsia" w:hAnsiTheme="minorEastAsia" w:cs="楷体_GB2312" w:hint="eastAsia"/>
          <w:kern w:val="0"/>
          <w:szCs w:val="21"/>
        </w:rPr>
        <w:t>本月成立的 420 款集合信托产品中有 103 款未公布成立规模。</w:t>
      </w:r>
      <w:r>
        <w:rPr>
          <w:rFonts w:asciiTheme="minorEastAsia" w:hAnsiTheme="minorEastAsia" w:cs="楷体_GB2312" w:hint="eastAsia"/>
          <w:kern w:val="0"/>
          <w:szCs w:val="21"/>
        </w:rPr>
        <w:t>在</w:t>
      </w:r>
      <w:r w:rsidRPr="00731AB1">
        <w:rPr>
          <w:rFonts w:asciiTheme="minorEastAsia" w:hAnsiTheme="minorEastAsia" w:cs="楷体_GB2312" w:hint="eastAsia"/>
          <w:kern w:val="0"/>
          <w:szCs w:val="21"/>
        </w:rPr>
        <w:t>有公布成立规模的产品中，成立规模最大的为中信信托成立的“中</w:t>
      </w:r>
      <w:proofErr w:type="gramStart"/>
      <w:r w:rsidRPr="00731AB1">
        <w:rPr>
          <w:rFonts w:asciiTheme="minorEastAsia" w:hAnsiTheme="minorEastAsia" w:cs="楷体_GB2312" w:hint="eastAsia"/>
          <w:kern w:val="0"/>
          <w:szCs w:val="21"/>
        </w:rPr>
        <w:t>信</w:t>
      </w:r>
      <w:proofErr w:type="gramEnd"/>
      <w:r w:rsidRPr="00731AB1">
        <w:rPr>
          <w:rFonts w:asciiTheme="minorEastAsia" w:hAnsiTheme="minorEastAsia" w:cs="楷体_GB2312" w:hint="eastAsia"/>
          <w:kern w:val="0"/>
          <w:szCs w:val="21"/>
        </w:rPr>
        <w:t>信托-融金-中国泛海贷款集合资金信托计划”，成立规模为 40.0 亿元；本月成立规模最小的产品为东莞信托成立的“东莞信托-恒信-华夏幸福集合资金信托计划第七个推介开放”，成立规模仅为 100 万元。同时，本月只有 4 款集合产品成立规模达到 10 亿元以上。</w:t>
      </w:r>
    </w:p>
    <w:p w:rsidR="004F1718" w:rsidRDefault="00AA6E68" w:rsidP="005570E2">
      <w:pPr>
        <w:spacing w:afterLines="50" w:line="360" w:lineRule="auto"/>
        <w:ind w:firstLineChars="200" w:firstLine="420"/>
        <w:jc w:val="left"/>
        <w:rPr>
          <w:rFonts w:asciiTheme="minorEastAsia" w:hAnsiTheme="minorEastAsia" w:cs="楷体_GB2312"/>
          <w:kern w:val="0"/>
          <w:szCs w:val="21"/>
        </w:rPr>
      </w:pPr>
      <w:r>
        <w:rPr>
          <w:rFonts w:asciiTheme="minorEastAsia" w:hAnsiTheme="minorEastAsia" w:cs="楷体_GB2312"/>
          <w:noProof/>
          <w:kern w:val="0"/>
          <w:szCs w:val="21"/>
        </w:rPr>
        <w:pict>
          <v:shape id="_x0000_s2126" type="#_x0000_t202" style="position:absolute;left:0;text-align:left;margin-left:207.9pt;margin-top:179pt;width:108.75pt;height:21.75pt;z-index:251894784" strokecolor="white [3212]">
            <v:textbox>
              <w:txbxContent>
                <w:p w:rsidR="00832D5A" w:rsidRDefault="00832D5A" w:rsidP="007B0AB0">
                  <w:pPr>
                    <w:jc w:val="center"/>
                  </w:pPr>
                  <w:r>
                    <w:rPr>
                      <w:rFonts w:hint="eastAsia"/>
                    </w:rPr>
                    <w:t>第</w:t>
                  </w:r>
                  <w:r>
                    <w:rPr>
                      <w:rFonts w:hint="eastAsia"/>
                    </w:rPr>
                    <w:t>11</w:t>
                  </w:r>
                  <w:r>
                    <w:rPr>
                      <w:rFonts w:hint="eastAsia"/>
                    </w:rPr>
                    <w:t>页</w:t>
                  </w:r>
                </w:p>
              </w:txbxContent>
            </v:textbox>
          </v:shape>
        </w:pict>
      </w:r>
      <w:r w:rsidR="004F1718">
        <w:rPr>
          <w:rFonts w:asciiTheme="minorEastAsia" w:hAnsiTheme="minorEastAsia" w:cs="楷体_GB2312" w:hint="eastAsia"/>
          <w:kern w:val="0"/>
          <w:szCs w:val="21"/>
        </w:rPr>
        <w:t>从资金运用方式来看，</w:t>
      </w:r>
      <w:r w:rsidR="004F1718" w:rsidRPr="00731AB1">
        <w:rPr>
          <w:rFonts w:asciiTheme="minorEastAsia" w:hAnsiTheme="minorEastAsia" w:cs="楷体_GB2312" w:hint="eastAsia"/>
          <w:kern w:val="0"/>
          <w:szCs w:val="21"/>
        </w:rPr>
        <w:t>信托贷款类</w:t>
      </w:r>
      <w:r w:rsidR="004F1718">
        <w:rPr>
          <w:rFonts w:asciiTheme="minorEastAsia" w:hAnsiTheme="minorEastAsia" w:cs="楷体_GB2312" w:hint="eastAsia"/>
          <w:kern w:val="0"/>
          <w:szCs w:val="21"/>
        </w:rPr>
        <w:t>产品居</w:t>
      </w:r>
      <w:r w:rsidR="004F1718" w:rsidRPr="00731AB1">
        <w:rPr>
          <w:rFonts w:asciiTheme="minorEastAsia" w:hAnsiTheme="minorEastAsia" w:cs="楷体_GB2312" w:hint="eastAsia"/>
          <w:kern w:val="0"/>
          <w:szCs w:val="21"/>
        </w:rPr>
        <w:t>首</w:t>
      </w:r>
      <w:r w:rsidR="004F1718">
        <w:rPr>
          <w:rFonts w:asciiTheme="minorEastAsia" w:hAnsiTheme="minorEastAsia" w:cs="楷体_GB2312" w:hint="eastAsia"/>
          <w:kern w:val="0"/>
          <w:szCs w:val="21"/>
        </w:rPr>
        <w:t>位</w:t>
      </w:r>
      <w:r w:rsidR="004F1718" w:rsidRPr="00731AB1">
        <w:rPr>
          <w:rFonts w:asciiTheme="minorEastAsia" w:hAnsiTheme="minorEastAsia" w:cs="楷体_GB2312" w:hint="eastAsia"/>
          <w:kern w:val="0"/>
          <w:szCs w:val="21"/>
        </w:rPr>
        <w:t>本月共成立 124 款，募集资金约为 174.43 亿元，占比45.63%</w:t>
      </w:r>
      <w:r w:rsidR="004F1718">
        <w:rPr>
          <w:rFonts w:asciiTheme="minorEastAsia" w:hAnsiTheme="minorEastAsia" w:cs="楷体_GB2312" w:hint="eastAsia"/>
          <w:kern w:val="0"/>
          <w:szCs w:val="21"/>
        </w:rPr>
        <w:t>；</w:t>
      </w:r>
      <w:r w:rsidR="004F1718" w:rsidRPr="00731AB1">
        <w:rPr>
          <w:rFonts w:asciiTheme="minorEastAsia" w:hAnsiTheme="minorEastAsia" w:cs="楷体_GB2312" w:hint="eastAsia"/>
          <w:kern w:val="0"/>
          <w:szCs w:val="21"/>
        </w:rPr>
        <w:t>紧随其后的是以权益投资为投资方式的新产品，本月共成立 87 款，募集资金规模约 89.72 亿元，占比 23.47%；股权投资类产品共成立了 27 款，募集资金总规模约 45.21 亿元，占比 11.83%，位列第三位；以其他投资方式成立的产品共成立 40 款，募集资金约为 41.83 亿元，占比 10.94%，位列第四位；以证券投资方式成立的新产品共成立 45 款，募集资金规模约为 21.62 亿元，占比 5.66%，位列第五位；最后，以组合投资方式成立的新产品共成立 22 款，募集资金约为 9.47 亿元，占比 2.48%。</w:t>
      </w:r>
    </w:p>
    <w:p w:rsidR="004F1718" w:rsidRDefault="0057362C" w:rsidP="005570E2">
      <w:pPr>
        <w:spacing w:afterLines="50" w:line="360" w:lineRule="auto"/>
        <w:ind w:firstLineChars="200" w:firstLine="420"/>
        <w:jc w:val="center"/>
        <w:rPr>
          <w:rFonts w:asciiTheme="minorEastAsia" w:hAnsiTheme="minorEastAsia" w:cs="楷体_GB2312"/>
          <w:kern w:val="0"/>
          <w:szCs w:val="21"/>
        </w:rPr>
      </w:pPr>
      <w:r w:rsidRPr="0057362C">
        <w:rPr>
          <w:rFonts w:asciiTheme="minorEastAsia" w:hAnsiTheme="minorEastAsia" w:cs="楷体_GB2312" w:hint="eastAsia"/>
          <w:noProof/>
          <w:kern w:val="0"/>
          <w:szCs w:val="21"/>
        </w:rPr>
        <w:lastRenderedPageBreak/>
        <w:drawing>
          <wp:anchor distT="0" distB="0" distL="114300" distR="114300" simplePos="0" relativeHeight="251838464" behindDoc="1" locked="0" layoutInCell="1" allowOverlap="1">
            <wp:simplePos x="0" y="0"/>
            <wp:positionH relativeFrom="column">
              <wp:posOffset>-683895</wp:posOffset>
            </wp:positionH>
            <wp:positionV relativeFrom="paragraph">
              <wp:posOffset>-1411605</wp:posOffset>
            </wp:positionV>
            <wp:extent cx="7581900" cy="10725150"/>
            <wp:effectExtent l="19050" t="0" r="0" b="0"/>
            <wp:wrapNone/>
            <wp:docPr id="101"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004F1718">
        <w:rPr>
          <w:rFonts w:asciiTheme="minorEastAsia" w:hAnsiTheme="minorEastAsia" w:cs="楷体_GB2312" w:hint="eastAsia"/>
          <w:kern w:val="0"/>
          <w:szCs w:val="21"/>
        </w:rPr>
        <w:t>图20：本月成立集合信托产品资金运用方式占比图</w:t>
      </w:r>
    </w:p>
    <w:p w:rsidR="004F1718" w:rsidRDefault="004F1718" w:rsidP="005570E2">
      <w:pPr>
        <w:spacing w:afterLines="50" w:line="360" w:lineRule="auto"/>
        <w:ind w:firstLineChars="200" w:firstLine="420"/>
        <w:jc w:val="center"/>
        <w:rPr>
          <w:rFonts w:asciiTheme="minorEastAsia" w:hAnsiTheme="minorEastAsia" w:cs="楷体_GB2312"/>
          <w:kern w:val="0"/>
          <w:szCs w:val="21"/>
        </w:rPr>
      </w:pPr>
      <w:r w:rsidRPr="00EA0B57">
        <w:rPr>
          <w:rFonts w:asciiTheme="minorEastAsia" w:hAnsiTheme="minorEastAsia" w:cs="楷体_GB2312"/>
          <w:noProof/>
          <w:kern w:val="0"/>
          <w:szCs w:val="21"/>
        </w:rPr>
        <w:drawing>
          <wp:inline distT="0" distB="0" distL="0" distR="0">
            <wp:extent cx="4238625" cy="2705100"/>
            <wp:effectExtent l="0" t="0" r="0" b="0"/>
            <wp:docPr id="8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F1718" w:rsidRDefault="004F1718" w:rsidP="005570E2">
      <w:pPr>
        <w:spacing w:afterLines="50" w:line="360" w:lineRule="auto"/>
        <w:ind w:firstLineChars="200" w:firstLine="420"/>
        <w:jc w:val="left"/>
        <w:rPr>
          <w:rFonts w:asciiTheme="minorEastAsia" w:hAnsiTheme="minorEastAsia" w:cs="楷体_GB2312"/>
          <w:kern w:val="0"/>
          <w:szCs w:val="21"/>
        </w:rPr>
      </w:pPr>
      <w:r>
        <w:rPr>
          <w:rFonts w:asciiTheme="minorEastAsia" w:hAnsiTheme="minorEastAsia" w:cs="楷体_GB2312" w:hint="eastAsia"/>
          <w:kern w:val="0"/>
          <w:szCs w:val="21"/>
        </w:rPr>
        <w:t>从资金投向上看</w:t>
      </w:r>
      <w:r w:rsidRPr="00731AB1">
        <w:rPr>
          <w:rFonts w:asciiTheme="minorEastAsia" w:hAnsiTheme="minorEastAsia" w:cs="楷体_GB2312" w:hint="eastAsia"/>
          <w:kern w:val="0"/>
          <w:szCs w:val="21"/>
        </w:rPr>
        <w:t>： 工商企业领域共成立产品 113 款，募集资金的总规模约 138.92 亿元，占比 36.42%，位列本月资金投向榜的第一位；本月投向房地产投资领域的新产品共有 76 款，募集规模约为 117.46 亿元，占本月总募集规模的比例为 30.79%，位列第二位；投向基础设施领域市场的新产品有48 款产品，募集资金规模约为 61.37 亿元，占比 16.09%，位列第三位；募集资金投向其他市场领域的产品有 50 款，募集资金规模约为37.27 亿元，占比 9.77%，位列第四位；本月金融市场投资领域共成立了 57 款新产品，募集总金额为约 26.39 亿元，占比 6.92%，位列本月资金投向榜的末位。</w:t>
      </w:r>
    </w:p>
    <w:p w:rsidR="004F1718" w:rsidRDefault="004F1718" w:rsidP="005570E2">
      <w:pPr>
        <w:spacing w:afterLines="50" w:line="360" w:lineRule="auto"/>
        <w:ind w:firstLineChars="200" w:firstLine="420"/>
        <w:jc w:val="center"/>
        <w:rPr>
          <w:rFonts w:asciiTheme="minorEastAsia" w:hAnsiTheme="minorEastAsia" w:cs="楷体_GB2312"/>
          <w:kern w:val="0"/>
          <w:szCs w:val="21"/>
        </w:rPr>
      </w:pPr>
      <w:r>
        <w:rPr>
          <w:rFonts w:asciiTheme="minorEastAsia" w:hAnsiTheme="minorEastAsia" w:cs="楷体_GB2312" w:hint="eastAsia"/>
          <w:kern w:val="0"/>
          <w:szCs w:val="21"/>
        </w:rPr>
        <w:t>图21:本月成立集合信托产品资金</w:t>
      </w:r>
      <w:proofErr w:type="gramStart"/>
      <w:r>
        <w:rPr>
          <w:rFonts w:asciiTheme="minorEastAsia" w:hAnsiTheme="minorEastAsia" w:cs="楷体_GB2312" w:hint="eastAsia"/>
          <w:kern w:val="0"/>
          <w:szCs w:val="21"/>
        </w:rPr>
        <w:t>投向占</w:t>
      </w:r>
      <w:proofErr w:type="gramEnd"/>
      <w:r>
        <w:rPr>
          <w:rFonts w:asciiTheme="minorEastAsia" w:hAnsiTheme="minorEastAsia" w:cs="楷体_GB2312" w:hint="eastAsia"/>
          <w:kern w:val="0"/>
          <w:szCs w:val="21"/>
        </w:rPr>
        <w:t>比图</w:t>
      </w:r>
    </w:p>
    <w:p w:rsidR="004F1718" w:rsidRPr="00731AB1" w:rsidRDefault="00AA6E68" w:rsidP="005570E2">
      <w:pPr>
        <w:spacing w:afterLines="50" w:line="360" w:lineRule="auto"/>
        <w:ind w:firstLineChars="200" w:firstLine="420"/>
        <w:jc w:val="center"/>
        <w:rPr>
          <w:rFonts w:asciiTheme="minorEastAsia" w:hAnsiTheme="minorEastAsia" w:cs="楷体_GB2312"/>
          <w:kern w:val="0"/>
          <w:szCs w:val="21"/>
        </w:rPr>
      </w:pPr>
      <w:r>
        <w:rPr>
          <w:rFonts w:asciiTheme="minorEastAsia" w:hAnsiTheme="minorEastAsia" w:cs="楷体_GB2312"/>
          <w:noProof/>
          <w:kern w:val="0"/>
          <w:szCs w:val="21"/>
        </w:rPr>
        <w:pict>
          <v:shape id="_x0000_s2127" type="#_x0000_t202" style="position:absolute;left:0;text-align:left;margin-left:206.4pt;margin-top:256.8pt;width:105.75pt;height:21.75pt;z-index:251895808" strokecolor="white [3212]">
            <v:textbox>
              <w:txbxContent>
                <w:p w:rsidR="00832D5A" w:rsidRDefault="00832D5A" w:rsidP="007B0AB0">
                  <w:pPr>
                    <w:jc w:val="center"/>
                  </w:pPr>
                  <w:r>
                    <w:rPr>
                      <w:rFonts w:hint="eastAsia"/>
                    </w:rPr>
                    <w:t>第</w:t>
                  </w:r>
                  <w:r>
                    <w:rPr>
                      <w:rFonts w:hint="eastAsia"/>
                    </w:rPr>
                    <w:t>12</w:t>
                  </w:r>
                  <w:r>
                    <w:rPr>
                      <w:rFonts w:hint="eastAsia"/>
                    </w:rPr>
                    <w:t>页</w:t>
                  </w:r>
                </w:p>
              </w:txbxContent>
            </v:textbox>
          </v:shape>
        </w:pict>
      </w:r>
      <w:r w:rsidR="004F1718" w:rsidRPr="000D2023">
        <w:rPr>
          <w:rFonts w:asciiTheme="minorEastAsia" w:hAnsiTheme="minorEastAsia" w:cs="楷体_GB2312"/>
          <w:noProof/>
          <w:kern w:val="0"/>
          <w:szCs w:val="21"/>
        </w:rPr>
        <w:drawing>
          <wp:inline distT="0" distB="0" distL="0" distR="0">
            <wp:extent cx="4219575" cy="2743200"/>
            <wp:effectExtent l="0" t="0" r="0" b="0"/>
            <wp:docPr id="8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F1718" w:rsidRPr="00731AB1" w:rsidRDefault="0057362C" w:rsidP="005570E2">
      <w:pPr>
        <w:spacing w:afterLines="50" w:line="360" w:lineRule="auto"/>
        <w:ind w:firstLineChars="200" w:firstLine="420"/>
        <w:jc w:val="left"/>
        <w:rPr>
          <w:rFonts w:asciiTheme="minorEastAsia" w:hAnsiTheme="minorEastAsia" w:cs="楷体_GB2312"/>
          <w:kern w:val="0"/>
          <w:szCs w:val="21"/>
        </w:rPr>
      </w:pPr>
      <w:r w:rsidRPr="0057362C">
        <w:rPr>
          <w:rFonts w:asciiTheme="minorEastAsia" w:hAnsiTheme="minorEastAsia" w:cs="楷体_GB2312" w:hint="eastAsia"/>
          <w:noProof/>
          <w:kern w:val="0"/>
          <w:szCs w:val="21"/>
        </w:rPr>
        <w:lastRenderedPageBreak/>
        <w:drawing>
          <wp:anchor distT="0" distB="0" distL="114300" distR="114300" simplePos="0" relativeHeight="251840512" behindDoc="1" locked="0" layoutInCell="1" allowOverlap="1">
            <wp:simplePos x="0" y="0"/>
            <wp:positionH relativeFrom="column">
              <wp:posOffset>-683895</wp:posOffset>
            </wp:positionH>
            <wp:positionV relativeFrom="paragraph">
              <wp:posOffset>-1411605</wp:posOffset>
            </wp:positionV>
            <wp:extent cx="7581900" cy="10725150"/>
            <wp:effectExtent l="19050" t="0" r="0" b="0"/>
            <wp:wrapNone/>
            <wp:docPr id="102"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004F1718">
        <w:rPr>
          <w:rFonts w:asciiTheme="minorEastAsia" w:hAnsiTheme="minorEastAsia" w:cs="楷体_GB2312" w:hint="eastAsia"/>
          <w:kern w:val="0"/>
          <w:szCs w:val="21"/>
        </w:rPr>
        <w:t>从产品平均收益率来看</w:t>
      </w:r>
      <w:r w:rsidR="004F1718" w:rsidRPr="00731AB1">
        <w:rPr>
          <w:rFonts w:asciiTheme="minorEastAsia" w:hAnsiTheme="minorEastAsia" w:cs="楷体_GB2312" w:hint="eastAsia"/>
          <w:kern w:val="0"/>
          <w:szCs w:val="21"/>
        </w:rPr>
        <w:t>， 投向房地产领域的新产品平均预期收益率约为9.56%，位列本月平均预期收益率排行榜的第一位；紧随其后的是工商企业领域，为 9.242%；本月投向基础设施领域新产品的平均预期收益率约为 9.237%，位列第三位；其他市场领域成立的新产品的平均预期收益率约为 8.80%，位列本月平均预期收益率排行榜的第四位； 排名最后一位的是金融市场领域，本月该领域成立的新产品的平均预期收益率约为 8.13%。总体来说，本月信托产品成立的平均预期收益率在近十二个月内处于比较高的水平。</w:t>
      </w:r>
    </w:p>
    <w:p w:rsidR="004F1718" w:rsidRPr="001F7255" w:rsidRDefault="004F1718" w:rsidP="004F1718">
      <w:pPr>
        <w:spacing w:line="360" w:lineRule="auto"/>
        <w:ind w:firstLineChars="200" w:firstLine="420"/>
        <w:rPr>
          <w:rFonts w:ascii="Arial" w:hAnsi="Arial" w:cs="Arial"/>
          <w:kern w:val="0"/>
          <w:szCs w:val="21"/>
        </w:rPr>
      </w:pPr>
      <w:r>
        <w:rPr>
          <w:szCs w:val="21"/>
        </w:rPr>
        <w:t>据不完全统计，本月共</w:t>
      </w:r>
      <w:r>
        <w:rPr>
          <w:rFonts w:hint="eastAsia"/>
          <w:szCs w:val="21"/>
        </w:rPr>
        <w:t>26</w:t>
      </w:r>
      <w:r>
        <w:rPr>
          <w:szCs w:val="21"/>
        </w:rPr>
        <w:t>家信托公司</w:t>
      </w:r>
      <w:r>
        <w:rPr>
          <w:rFonts w:hint="eastAsia"/>
          <w:szCs w:val="21"/>
        </w:rPr>
        <w:t>的</w:t>
      </w:r>
      <w:r>
        <w:rPr>
          <w:rFonts w:hint="eastAsia"/>
          <w:szCs w:val="21"/>
        </w:rPr>
        <w:t>115</w:t>
      </w:r>
      <w:r>
        <w:rPr>
          <w:szCs w:val="21"/>
        </w:rPr>
        <w:t>款产品</w:t>
      </w:r>
      <w:r>
        <w:rPr>
          <w:rFonts w:hint="eastAsia"/>
          <w:szCs w:val="21"/>
        </w:rPr>
        <w:t>到期。</w:t>
      </w:r>
      <w:r>
        <w:rPr>
          <w:rFonts w:ascii="KaiTi" w:hAnsi="KaiTi" w:cs="KaiTi" w:hint="eastAsia"/>
          <w:szCs w:val="21"/>
        </w:rPr>
        <w:t>到期</w:t>
      </w:r>
      <w:r>
        <w:rPr>
          <w:szCs w:val="21"/>
        </w:rPr>
        <w:t>总规模约为</w:t>
      </w:r>
      <w:r>
        <w:rPr>
          <w:szCs w:val="21"/>
        </w:rPr>
        <w:t>133.41</w:t>
      </w:r>
      <w:r>
        <w:rPr>
          <w:rFonts w:ascii="KaiTi" w:hAnsi="KaiTi" w:cs="KaiTi"/>
          <w:szCs w:val="21"/>
        </w:rPr>
        <w:t>亿元，相比上月</w:t>
      </w:r>
      <w:r>
        <w:rPr>
          <w:szCs w:val="21"/>
        </w:rPr>
        <w:t>上升约为</w:t>
      </w:r>
      <w:r>
        <w:rPr>
          <w:rFonts w:ascii="Arial" w:hAnsi="Arial" w:cs="Arial"/>
          <w:szCs w:val="21"/>
        </w:rPr>
        <w:t>0.10%</w:t>
      </w:r>
      <w:r>
        <w:rPr>
          <w:szCs w:val="21"/>
        </w:rPr>
        <w:t>；</w:t>
      </w:r>
      <w:r>
        <w:rPr>
          <w:rFonts w:hint="eastAsia"/>
          <w:szCs w:val="21"/>
        </w:rPr>
        <w:t>到期</w:t>
      </w:r>
      <w:r>
        <w:rPr>
          <w:szCs w:val="21"/>
        </w:rPr>
        <w:t>产品的平均规模约为</w:t>
      </w:r>
      <w:r>
        <w:rPr>
          <w:rFonts w:ascii="Arial" w:hAnsi="Arial" w:cs="Arial"/>
          <w:szCs w:val="21"/>
        </w:rPr>
        <w:t>1.63</w:t>
      </w:r>
      <w:r>
        <w:rPr>
          <w:szCs w:val="21"/>
        </w:rPr>
        <w:t>亿元，相比上月上升了</w:t>
      </w:r>
      <w:r>
        <w:rPr>
          <w:rFonts w:ascii="Arial" w:hAnsi="Arial" w:cs="Arial"/>
          <w:szCs w:val="21"/>
        </w:rPr>
        <w:t>18.12%</w:t>
      </w:r>
      <w:r>
        <w:rPr>
          <w:szCs w:val="21"/>
        </w:rPr>
        <w:t>；本月</w:t>
      </w:r>
      <w:r>
        <w:rPr>
          <w:rFonts w:hint="eastAsia"/>
          <w:szCs w:val="21"/>
        </w:rPr>
        <w:t>到期</w:t>
      </w:r>
      <w:r>
        <w:rPr>
          <w:szCs w:val="21"/>
        </w:rPr>
        <w:t>集合信托产品的平均预期收益率约为</w:t>
      </w:r>
      <w:r>
        <w:rPr>
          <w:rFonts w:ascii="Arial" w:hAnsi="Arial" w:cs="Arial"/>
          <w:szCs w:val="21"/>
        </w:rPr>
        <w:t>8.42%</w:t>
      </w:r>
      <w:r>
        <w:rPr>
          <w:szCs w:val="21"/>
        </w:rPr>
        <w:t>，相比上月的</w:t>
      </w:r>
      <w:r>
        <w:rPr>
          <w:rFonts w:ascii="Arial" w:hAnsi="Arial" w:cs="Arial"/>
          <w:szCs w:val="21"/>
        </w:rPr>
        <w:t>8.41%</w:t>
      </w:r>
      <w:r>
        <w:rPr>
          <w:szCs w:val="21"/>
        </w:rPr>
        <w:t>的预期收益率略微上升了</w:t>
      </w:r>
      <w:r>
        <w:rPr>
          <w:rFonts w:ascii="Arial" w:hAnsi="Arial" w:cs="Arial"/>
          <w:szCs w:val="21"/>
        </w:rPr>
        <w:t>0.12%</w:t>
      </w:r>
      <w:r>
        <w:rPr>
          <w:szCs w:val="21"/>
        </w:rPr>
        <w:t>。</w:t>
      </w:r>
      <w:r>
        <w:rPr>
          <w:rFonts w:hint="eastAsia"/>
          <w:szCs w:val="21"/>
        </w:rPr>
        <w:t>其中</w:t>
      </w:r>
      <w:r w:rsidRPr="00B25B56">
        <w:rPr>
          <w:szCs w:val="21"/>
        </w:rPr>
        <w:t>投向工商企业领域的有</w:t>
      </w:r>
      <w:r w:rsidRPr="00B25B56">
        <w:rPr>
          <w:szCs w:val="21"/>
        </w:rPr>
        <w:t>32</w:t>
      </w:r>
      <w:r w:rsidRPr="00B25B56">
        <w:rPr>
          <w:szCs w:val="21"/>
        </w:rPr>
        <w:t>款，</w:t>
      </w:r>
      <w:r>
        <w:rPr>
          <w:rFonts w:hint="eastAsia"/>
          <w:szCs w:val="21"/>
        </w:rPr>
        <w:t>已公布</w:t>
      </w:r>
      <w:r>
        <w:rPr>
          <w:szCs w:val="21"/>
        </w:rPr>
        <w:t>到期</w:t>
      </w:r>
      <w:r w:rsidRPr="00B25B56">
        <w:rPr>
          <w:szCs w:val="21"/>
        </w:rPr>
        <w:t>总规模约为</w:t>
      </w:r>
      <w:r w:rsidRPr="00B25B56">
        <w:rPr>
          <w:szCs w:val="21"/>
        </w:rPr>
        <w:t>40.45</w:t>
      </w:r>
      <w:r w:rsidRPr="00B25B56">
        <w:rPr>
          <w:szCs w:val="21"/>
        </w:rPr>
        <w:t>亿元</w:t>
      </w:r>
      <w:r>
        <w:rPr>
          <w:rFonts w:hint="eastAsia"/>
          <w:szCs w:val="21"/>
        </w:rPr>
        <w:t>，</w:t>
      </w:r>
      <w:r w:rsidRPr="00B25B56">
        <w:rPr>
          <w:szCs w:val="21"/>
        </w:rPr>
        <w:t>平均预期收益率为</w:t>
      </w:r>
      <w:r w:rsidRPr="00B25B56">
        <w:rPr>
          <w:szCs w:val="21"/>
        </w:rPr>
        <w:t>8.40%</w:t>
      </w:r>
      <w:r w:rsidRPr="00B25B56">
        <w:rPr>
          <w:szCs w:val="21"/>
        </w:rPr>
        <w:t>；紧随其后的是投向金融市场领域的产品，有</w:t>
      </w:r>
      <w:r w:rsidRPr="00B25B56">
        <w:rPr>
          <w:szCs w:val="21"/>
        </w:rPr>
        <w:t>26</w:t>
      </w:r>
      <w:r w:rsidRPr="00B25B56">
        <w:rPr>
          <w:szCs w:val="21"/>
        </w:rPr>
        <w:t>款，</w:t>
      </w:r>
      <w:r>
        <w:rPr>
          <w:rFonts w:hint="eastAsia"/>
          <w:szCs w:val="21"/>
        </w:rPr>
        <w:t>已公布</w:t>
      </w:r>
      <w:r>
        <w:rPr>
          <w:szCs w:val="21"/>
        </w:rPr>
        <w:t>到期</w:t>
      </w:r>
      <w:r w:rsidRPr="00B25B56">
        <w:rPr>
          <w:szCs w:val="21"/>
        </w:rPr>
        <w:t>总规模约为</w:t>
      </w:r>
      <w:r w:rsidRPr="00B25B56">
        <w:rPr>
          <w:szCs w:val="21"/>
        </w:rPr>
        <w:t>31.60</w:t>
      </w:r>
      <w:r w:rsidRPr="00B25B56">
        <w:rPr>
          <w:szCs w:val="21"/>
        </w:rPr>
        <w:t>亿元，平均预期收益率达到</w:t>
      </w:r>
      <w:r w:rsidRPr="00B25B56">
        <w:rPr>
          <w:szCs w:val="21"/>
        </w:rPr>
        <w:t>7.74%</w:t>
      </w:r>
      <w:r w:rsidRPr="00B25B56">
        <w:rPr>
          <w:szCs w:val="21"/>
        </w:rPr>
        <w:t>，；投向基础设施领域的产品</w:t>
      </w:r>
      <w:r>
        <w:rPr>
          <w:szCs w:val="21"/>
        </w:rPr>
        <w:t>到期</w:t>
      </w:r>
      <w:r w:rsidRPr="00B25B56">
        <w:rPr>
          <w:szCs w:val="21"/>
        </w:rPr>
        <w:t>数量为</w:t>
      </w:r>
      <w:r w:rsidRPr="00B25B56">
        <w:rPr>
          <w:szCs w:val="21"/>
        </w:rPr>
        <w:t>11</w:t>
      </w:r>
      <w:r w:rsidRPr="00B25B56">
        <w:rPr>
          <w:szCs w:val="21"/>
        </w:rPr>
        <w:t>款</w:t>
      </w:r>
      <w:r>
        <w:rPr>
          <w:rFonts w:hint="eastAsia"/>
          <w:szCs w:val="21"/>
        </w:rPr>
        <w:t>，已公布</w:t>
      </w:r>
      <w:r>
        <w:rPr>
          <w:szCs w:val="21"/>
        </w:rPr>
        <w:t>到期</w:t>
      </w:r>
      <w:r w:rsidRPr="00B25B56">
        <w:rPr>
          <w:szCs w:val="21"/>
        </w:rPr>
        <w:t>总规模约为</w:t>
      </w:r>
      <w:r w:rsidRPr="00B25B56">
        <w:rPr>
          <w:szCs w:val="21"/>
        </w:rPr>
        <w:t>30.51</w:t>
      </w:r>
      <w:r w:rsidRPr="00B25B56">
        <w:rPr>
          <w:szCs w:val="21"/>
        </w:rPr>
        <w:t>亿元，</w:t>
      </w:r>
      <w:r>
        <w:rPr>
          <w:rFonts w:hint="eastAsia"/>
          <w:szCs w:val="21"/>
        </w:rPr>
        <w:t>平</w:t>
      </w:r>
      <w:r w:rsidRPr="00B25B56">
        <w:rPr>
          <w:szCs w:val="21"/>
        </w:rPr>
        <w:t>均预期收益率为</w:t>
      </w:r>
      <w:r w:rsidRPr="00B25B56">
        <w:rPr>
          <w:szCs w:val="21"/>
        </w:rPr>
        <w:t>9.26%</w:t>
      </w:r>
      <w:r>
        <w:rPr>
          <w:szCs w:val="21"/>
        </w:rPr>
        <w:t>；</w:t>
      </w:r>
      <w:r w:rsidRPr="00B25B56">
        <w:rPr>
          <w:szCs w:val="21"/>
        </w:rPr>
        <w:t>投向房地产市场领域的共有</w:t>
      </w:r>
      <w:r w:rsidRPr="00B25B56">
        <w:rPr>
          <w:szCs w:val="21"/>
        </w:rPr>
        <w:t>10</w:t>
      </w:r>
      <w:r w:rsidRPr="00B25B56">
        <w:rPr>
          <w:szCs w:val="21"/>
        </w:rPr>
        <w:t>款</w:t>
      </w:r>
      <w:r>
        <w:rPr>
          <w:rFonts w:hint="eastAsia"/>
          <w:szCs w:val="21"/>
        </w:rPr>
        <w:t>，已公布</w:t>
      </w:r>
      <w:r>
        <w:rPr>
          <w:szCs w:val="21"/>
        </w:rPr>
        <w:t>到期</w:t>
      </w:r>
      <w:r w:rsidRPr="00B25B56">
        <w:rPr>
          <w:szCs w:val="21"/>
        </w:rPr>
        <w:t>总规模约为</w:t>
      </w:r>
      <w:r w:rsidRPr="00B25B56">
        <w:rPr>
          <w:szCs w:val="21"/>
        </w:rPr>
        <w:t>14.48</w:t>
      </w:r>
      <w:r w:rsidRPr="00B25B56">
        <w:rPr>
          <w:szCs w:val="21"/>
        </w:rPr>
        <w:t>亿元</w:t>
      </w:r>
      <w:r>
        <w:rPr>
          <w:rFonts w:hint="eastAsia"/>
          <w:szCs w:val="21"/>
        </w:rPr>
        <w:t>，</w:t>
      </w:r>
      <w:r w:rsidRPr="00B25B56">
        <w:rPr>
          <w:szCs w:val="21"/>
        </w:rPr>
        <w:t>平均预期收益率为</w:t>
      </w:r>
      <w:r w:rsidRPr="00B25B56">
        <w:rPr>
          <w:szCs w:val="21"/>
        </w:rPr>
        <w:t>9.52%</w:t>
      </w:r>
      <w:r>
        <w:rPr>
          <w:szCs w:val="21"/>
        </w:rPr>
        <w:t>；</w:t>
      </w:r>
      <w:r w:rsidRPr="00B25B56">
        <w:rPr>
          <w:szCs w:val="21"/>
        </w:rPr>
        <w:t>投向其他市场领域的产品</w:t>
      </w:r>
      <w:r>
        <w:rPr>
          <w:szCs w:val="21"/>
        </w:rPr>
        <w:t>到期</w:t>
      </w:r>
      <w:r w:rsidRPr="00B25B56">
        <w:rPr>
          <w:szCs w:val="21"/>
        </w:rPr>
        <w:t>数量为</w:t>
      </w:r>
      <w:r w:rsidRPr="00B25B56">
        <w:rPr>
          <w:szCs w:val="21"/>
        </w:rPr>
        <w:t>18</w:t>
      </w:r>
      <w:r w:rsidRPr="00B25B56">
        <w:rPr>
          <w:szCs w:val="21"/>
        </w:rPr>
        <w:t>款</w:t>
      </w:r>
      <w:r>
        <w:rPr>
          <w:rFonts w:hint="eastAsia"/>
          <w:szCs w:val="21"/>
        </w:rPr>
        <w:t>已公布</w:t>
      </w:r>
      <w:r>
        <w:rPr>
          <w:szCs w:val="21"/>
        </w:rPr>
        <w:t>到期</w:t>
      </w:r>
      <w:r w:rsidRPr="00B25B56">
        <w:rPr>
          <w:szCs w:val="21"/>
        </w:rPr>
        <w:t>规模约为</w:t>
      </w:r>
      <w:r w:rsidRPr="00B25B56">
        <w:rPr>
          <w:szCs w:val="21"/>
        </w:rPr>
        <w:t>10.66</w:t>
      </w:r>
      <w:r w:rsidRPr="00B25B56">
        <w:rPr>
          <w:szCs w:val="21"/>
        </w:rPr>
        <w:t>亿元</w:t>
      </w:r>
      <w:r>
        <w:rPr>
          <w:rFonts w:hint="eastAsia"/>
          <w:szCs w:val="21"/>
        </w:rPr>
        <w:t>，</w:t>
      </w:r>
      <w:r w:rsidRPr="00B25B56">
        <w:rPr>
          <w:szCs w:val="21"/>
        </w:rPr>
        <w:t>平均预期收益率为</w:t>
      </w:r>
      <w:r w:rsidRPr="00B25B56">
        <w:rPr>
          <w:szCs w:val="21"/>
        </w:rPr>
        <w:t>8.54%</w:t>
      </w:r>
      <w:r w:rsidRPr="00B25B56">
        <w:rPr>
          <w:szCs w:val="21"/>
        </w:rPr>
        <w:t>。</w:t>
      </w:r>
    </w:p>
    <w:p w:rsidR="004F1718" w:rsidRDefault="00832D5A" w:rsidP="00AD0568">
      <w:pPr>
        <w:spacing w:line="360" w:lineRule="auto"/>
        <w:ind w:firstLine="420"/>
      </w:pPr>
      <w:r w:rsidRPr="00912D49">
        <w:rPr>
          <w:rFonts w:hint="eastAsia"/>
        </w:rPr>
        <w:t>自从去年监管层批准基金管理公司可以成立子公司发行类信托产品以来，至今已经有一年时间，据最新数据显示，截止到</w:t>
      </w:r>
      <w:r w:rsidRPr="00912D49">
        <w:rPr>
          <w:rFonts w:hint="eastAsia"/>
        </w:rPr>
        <w:t>2013</w:t>
      </w:r>
      <w:r w:rsidRPr="00912D49">
        <w:rPr>
          <w:rFonts w:hint="eastAsia"/>
        </w:rPr>
        <w:t>年</w:t>
      </w:r>
      <w:r w:rsidRPr="00912D49">
        <w:rPr>
          <w:rFonts w:hint="eastAsia"/>
        </w:rPr>
        <w:t>9</w:t>
      </w:r>
      <w:r w:rsidRPr="00912D49">
        <w:rPr>
          <w:rFonts w:hint="eastAsia"/>
        </w:rPr>
        <w:t>月，市场上已成立</w:t>
      </w:r>
      <w:r w:rsidRPr="00912D49">
        <w:rPr>
          <w:rFonts w:hint="eastAsia"/>
        </w:rPr>
        <w:t>44</w:t>
      </w:r>
      <w:r w:rsidRPr="00912D49">
        <w:rPr>
          <w:rFonts w:hint="eastAsia"/>
        </w:rPr>
        <w:t>家基金子公司，其资产管理规模也已经突破了</w:t>
      </w:r>
      <w:r w:rsidRPr="00912D49">
        <w:rPr>
          <w:rFonts w:hint="eastAsia"/>
        </w:rPr>
        <w:t>2000</w:t>
      </w:r>
      <w:r w:rsidRPr="00912D49">
        <w:rPr>
          <w:rFonts w:hint="eastAsia"/>
        </w:rPr>
        <w:t>亿元。</w:t>
      </w:r>
      <w:r>
        <w:rPr>
          <w:rFonts w:hint="eastAsia"/>
        </w:rPr>
        <w:t>这与</w:t>
      </w:r>
      <w:r>
        <w:rPr>
          <w:rFonts w:hint="eastAsia"/>
        </w:rPr>
        <w:t>4</w:t>
      </w:r>
      <w:r>
        <w:rPr>
          <w:rFonts w:hint="eastAsia"/>
        </w:rPr>
        <w:t>月底数据（当时资产管理总规模为</w:t>
      </w:r>
      <w:r>
        <w:rPr>
          <w:rFonts w:hint="eastAsia"/>
        </w:rPr>
        <w:t>600</w:t>
      </w:r>
      <w:r>
        <w:rPr>
          <w:rFonts w:hint="eastAsia"/>
        </w:rPr>
        <w:t>亿元）相比规模已增长了</w:t>
      </w:r>
      <w:r>
        <w:rPr>
          <w:rFonts w:hint="eastAsia"/>
        </w:rPr>
        <w:t>3</w:t>
      </w:r>
      <w:r>
        <w:rPr>
          <w:rFonts w:hint="eastAsia"/>
        </w:rPr>
        <w:t>倍，子公司占基金公司非公</w:t>
      </w:r>
      <w:proofErr w:type="gramStart"/>
      <w:r>
        <w:rPr>
          <w:rFonts w:hint="eastAsia"/>
        </w:rPr>
        <w:t>募业务</w:t>
      </w:r>
      <w:proofErr w:type="gramEnd"/>
      <w:r>
        <w:rPr>
          <w:rFonts w:hint="eastAsia"/>
        </w:rPr>
        <w:t>比例更是达到了</w:t>
      </w:r>
      <w:r>
        <w:rPr>
          <w:rFonts w:hint="eastAsia"/>
        </w:rPr>
        <w:t>16%</w:t>
      </w:r>
      <w:r>
        <w:rPr>
          <w:rFonts w:hint="eastAsia"/>
        </w:rPr>
        <w:t>，其发展可谓迅猛。从以上数据来看我们有理由相信这样的规模翻番趋势还将持续，今年年底这一数据很可能会超过</w:t>
      </w:r>
      <w:r>
        <w:rPr>
          <w:rFonts w:hint="eastAsia"/>
        </w:rPr>
        <w:t>6000</w:t>
      </w:r>
      <w:r>
        <w:rPr>
          <w:rFonts w:hint="eastAsia"/>
        </w:rPr>
        <w:t>亿元。目前基金子公司发展规模的迅速扩大主要得益于当前宽松的政策环境，很多基金公司都想及时把握住</w:t>
      </w:r>
      <w:proofErr w:type="gramStart"/>
      <w:r>
        <w:rPr>
          <w:rFonts w:hint="eastAsia"/>
        </w:rPr>
        <w:t>当前资管</w:t>
      </w:r>
      <w:proofErr w:type="gramEnd"/>
      <w:r>
        <w:rPr>
          <w:rFonts w:hint="eastAsia"/>
        </w:rPr>
        <w:t>行业政策调整的间隙，利用子公司平台将规模做大。从目前子公司业务开展形式来看还是以通道业务为主，这一业务大概占到了子公司所有业务规模的八成，通道业务</w:t>
      </w:r>
      <w:proofErr w:type="gramStart"/>
      <w:r>
        <w:rPr>
          <w:rFonts w:hint="eastAsia"/>
        </w:rPr>
        <w:t>占比较高主要</w:t>
      </w:r>
      <w:proofErr w:type="gramEnd"/>
      <w:r>
        <w:rPr>
          <w:rFonts w:hint="eastAsia"/>
        </w:rPr>
        <w:t>有三个方面原因，一是因为宽松的监管环境为通道业务发展提供了较大空间，二是与其</w:t>
      </w:r>
      <w:proofErr w:type="gramStart"/>
      <w:r>
        <w:rPr>
          <w:rFonts w:hint="eastAsia"/>
        </w:rPr>
        <w:t>他资管</w:t>
      </w:r>
      <w:proofErr w:type="gramEnd"/>
      <w:r>
        <w:rPr>
          <w:rFonts w:hint="eastAsia"/>
        </w:rPr>
        <w:t>机构相比基金子公司通道收费整体偏低，更具成本优势；三是与其他业务相比通道业务技术含量较低，相对风险可控，这比较符合子公司在业务初期迅速扩大</w:t>
      </w:r>
      <w:proofErr w:type="gramStart"/>
      <w:r>
        <w:rPr>
          <w:rFonts w:hint="eastAsia"/>
        </w:rPr>
        <w:t>资管规模</w:t>
      </w:r>
      <w:proofErr w:type="gramEnd"/>
      <w:r>
        <w:rPr>
          <w:rFonts w:hint="eastAsia"/>
        </w:rPr>
        <w:t>的</w:t>
      </w:r>
      <w:r w:rsidRPr="006730CD">
        <w:rPr>
          <w:rFonts w:hint="eastAsia"/>
        </w:rPr>
        <w:t>要求</w:t>
      </w:r>
      <w:r>
        <w:rPr>
          <w:rFonts w:hint="eastAsia"/>
        </w:rPr>
        <w:t>。</w:t>
      </w:r>
    </w:p>
    <w:p w:rsidR="00AD0568" w:rsidRPr="00EE73D9" w:rsidRDefault="00AD0568" w:rsidP="00AD0568">
      <w:pPr>
        <w:spacing w:line="360" w:lineRule="auto"/>
        <w:ind w:firstLine="420"/>
        <w:rPr>
          <w:rFonts w:asciiTheme="minorEastAsia" w:hAnsiTheme="minorEastAsia"/>
          <w:szCs w:val="21"/>
        </w:rPr>
      </w:pPr>
    </w:p>
    <w:p w:rsidR="004F1718" w:rsidRPr="00A62161" w:rsidRDefault="004F1718" w:rsidP="004F1718">
      <w:pPr>
        <w:pStyle w:val="a7"/>
        <w:numPr>
          <w:ilvl w:val="0"/>
          <w:numId w:val="7"/>
        </w:numPr>
        <w:spacing w:line="360" w:lineRule="auto"/>
        <w:ind w:firstLineChars="0"/>
        <w:rPr>
          <w:rFonts w:asciiTheme="minorEastAsia" w:hAnsiTheme="minorEastAsia"/>
          <w:b/>
          <w:sz w:val="24"/>
          <w:szCs w:val="24"/>
        </w:rPr>
      </w:pPr>
      <w:r w:rsidRPr="00A62161">
        <w:rPr>
          <w:rFonts w:asciiTheme="minorEastAsia" w:hAnsiTheme="minorEastAsia" w:hint="eastAsia"/>
          <w:b/>
          <w:sz w:val="24"/>
          <w:szCs w:val="24"/>
        </w:rPr>
        <w:t>股权投资市场</w:t>
      </w:r>
      <w:r w:rsidR="00453D44">
        <w:rPr>
          <w:rFonts w:asciiTheme="minorEastAsia" w:hAnsiTheme="minorEastAsia" w:hint="eastAsia"/>
          <w:b/>
          <w:sz w:val="24"/>
          <w:szCs w:val="24"/>
        </w:rPr>
        <w:t>——股市分化出现，切换需谨慎</w:t>
      </w:r>
    </w:p>
    <w:p w:rsidR="004F1718" w:rsidRPr="00BA1850" w:rsidRDefault="004F1718" w:rsidP="004F1718">
      <w:pPr>
        <w:spacing w:line="360" w:lineRule="auto"/>
        <w:rPr>
          <w:rFonts w:asciiTheme="minorEastAsia" w:hAnsiTheme="minorEastAsia"/>
          <w:szCs w:val="21"/>
        </w:rPr>
      </w:pPr>
      <w:r>
        <w:rPr>
          <w:rFonts w:asciiTheme="minorEastAsia" w:hAnsiTheme="minorEastAsia" w:hint="eastAsia"/>
          <w:szCs w:val="21"/>
        </w:rPr>
        <w:t>（一）、股票市场</w:t>
      </w:r>
      <w:r w:rsidR="00582889">
        <w:rPr>
          <w:rFonts w:asciiTheme="minorEastAsia" w:hAnsiTheme="minorEastAsia" w:hint="eastAsia"/>
          <w:szCs w:val="21"/>
        </w:rPr>
        <w:t>创业板指强者恒强</w:t>
      </w:r>
    </w:p>
    <w:p w:rsidR="004F1718" w:rsidRPr="00FE099C" w:rsidRDefault="00AA6E68" w:rsidP="005570E2">
      <w:pPr>
        <w:spacing w:afterLines="50" w:line="360" w:lineRule="auto"/>
        <w:ind w:firstLineChars="200" w:firstLine="420"/>
        <w:jc w:val="left"/>
        <w:rPr>
          <w:rFonts w:asciiTheme="minorEastAsia" w:hAnsiTheme="minorEastAsia" w:cs="楷体_GB2312"/>
          <w:kern w:val="0"/>
          <w:szCs w:val="21"/>
        </w:rPr>
      </w:pPr>
      <w:r>
        <w:rPr>
          <w:rFonts w:asciiTheme="minorEastAsia" w:hAnsiTheme="minorEastAsia" w:cs="楷体_GB2312"/>
          <w:noProof/>
          <w:kern w:val="0"/>
          <w:szCs w:val="21"/>
        </w:rPr>
        <w:pict>
          <v:shape id="_x0000_s2128" type="#_x0000_t202" style="position:absolute;left:0;text-align:left;margin-left:212.4pt;margin-top:72.9pt;width:96pt;height:22.5pt;z-index:251896832" strokecolor="white [3212]">
            <v:textbox>
              <w:txbxContent>
                <w:p w:rsidR="00832D5A" w:rsidRDefault="00832D5A" w:rsidP="007B0AB0">
                  <w:pPr>
                    <w:jc w:val="center"/>
                  </w:pPr>
                  <w:r>
                    <w:rPr>
                      <w:rFonts w:hint="eastAsia"/>
                    </w:rPr>
                    <w:t>第</w:t>
                  </w:r>
                  <w:r>
                    <w:rPr>
                      <w:rFonts w:hint="eastAsia"/>
                    </w:rPr>
                    <w:t>13</w:t>
                  </w:r>
                  <w:r>
                    <w:rPr>
                      <w:rFonts w:hint="eastAsia"/>
                    </w:rPr>
                    <w:t>页</w:t>
                  </w:r>
                </w:p>
              </w:txbxContent>
            </v:textbox>
          </v:shape>
        </w:pict>
      </w:r>
      <w:r w:rsidR="004F1718" w:rsidRPr="00FE099C">
        <w:rPr>
          <w:rFonts w:asciiTheme="minorEastAsia" w:hAnsiTheme="minorEastAsia" w:cs="楷体_GB2312" w:hint="eastAsia"/>
          <w:kern w:val="0"/>
          <w:szCs w:val="21"/>
        </w:rPr>
        <w:t>九月份全球主要国家股指均呈现上涨，俄罗斯、印度表现最为亮眼，分别上涨11.8%和6.8%，日经225</w:t>
      </w:r>
      <w:r w:rsidR="004F1718" w:rsidRPr="00FE099C">
        <w:rPr>
          <w:rFonts w:asciiTheme="minorEastAsia" w:hAnsiTheme="minorEastAsia" w:cs="楷体_GB2312" w:hint="eastAsia"/>
          <w:kern w:val="0"/>
          <w:szCs w:val="21"/>
        </w:rPr>
        <w:lastRenderedPageBreak/>
        <w:t>和道琼斯则分别上涨3.5%和1. 8%。上证综指则取得3.6%的绝对收益。</w:t>
      </w:r>
    </w:p>
    <w:p w:rsidR="00011E0A" w:rsidRDefault="00AD0568" w:rsidP="005570E2">
      <w:pPr>
        <w:spacing w:afterLines="50" w:line="360" w:lineRule="auto"/>
        <w:ind w:firstLineChars="200" w:firstLine="420"/>
        <w:jc w:val="left"/>
        <w:rPr>
          <w:rFonts w:asciiTheme="minorEastAsia" w:hAnsiTheme="minorEastAsia" w:cs="楷体_GB2312"/>
          <w:kern w:val="0"/>
          <w:szCs w:val="21"/>
        </w:rPr>
      </w:pPr>
      <w:r>
        <w:rPr>
          <w:rFonts w:asciiTheme="minorEastAsia" w:hAnsiTheme="minorEastAsia" w:cs="楷体_GB2312" w:hint="eastAsia"/>
          <w:noProof/>
          <w:kern w:val="0"/>
          <w:szCs w:val="21"/>
        </w:rPr>
        <w:drawing>
          <wp:anchor distT="0" distB="0" distL="114300" distR="114300" simplePos="0" relativeHeight="251842560" behindDoc="1" locked="0" layoutInCell="1" allowOverlap="1">
            <wp:simplePos x="0" y="0"/>
            <wp:positionH relativeFrom="column">
              <wp:posOffset>-683895</wp:posOffset>
            </wp:positionH>
            <wp:positionV relativeFrom="paragraph">
              <wp:posOffset>-1807845</wp:posOffset>
            </wp:positionV>
            <wp:extent cx="7581900" cy="10725150"/>
            <wp:effectExtent l="19050" t="0" r="0" b="0"/>
            <wp:wrapNone/>
            <wp:docPr id="103"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004F1718" w:rsidRPr="00FE099C">
        <w:rPr>
          <w:rFonts w:asciiTheme="minorEastAsia" w:hAnsiTheme="minorEastAsia" w:cs="楷体_GB2312" w:hint="eastAsia"/>
          <w:kern w:val="0"/>
          <w:szCs w:val="21"/>
        </w:rPr>
        <w:t>A股主要指数中，创业板指强者恒强，一月大涨15.4%，年初至今已累计上涨91.6%。上证50上月则仅上涨3. 4%，</w:t>
      </w:r>
      <w:proofErr w:type="gramStart"/>
      <w:r w:rsidR="004F1718" w:rsidRPr="00FE099C">
        <w:rPr>
          <w:rFonts w:asciiTheme="minorEastAsia" w:hAnsiTheme="minorEastAsia" w:cs="楷体_GB2312" w:hint="eastAsia"/>
          <w:kern w:val="0"/>
          <w:szCs w:val="21"/>
        </w:rPr>
        <w:t>跑输大盘</w:t>
      </w:r>
      <w:proofErr w:type="gramEnd"/>
      <w:r w:rsidR="004F1718" w:rsidRPr="00FE099C">
        <w:rPr>
          <w:rFonts w:asciiTheme="minorEastAsia" w:hAnsiTheme="minorEastAsia" w:cs="楷体_GB2312" w:hint="eastAsia"/>
          <w:kern w:val="0"/>
          <w:szCs w:val="21"/>
        </w:rPr>
        <w:t>，年初至今更是累计下跌11.6%，大小盘分化被进一步拉大，创业板相对整体A股估值溢价再次创下新高。</w:t>
      </w:r>
    </w:p>
    <w:p w:rsidR="004F1718" w:rsidRDefault="004F1718" w:rsidP="005570E2">
      <w:pPr>
        <w:spacing w:afterLines="50" w:line="360" w:lineRule="auto"/>
        <w:ind w:firstLineChars="200" w:firstLine="420"/>
        <w:jc w:val="left"/>
        <w:rPr>
          <w:rFonts w:asciiTheme="minorEastAsia" w:hAnsiTheme="minorEastAsia" w:cs="楷体_GB2312"/>
          <w:kern w:val="0"/>
          <w:szCs w:val="21"/>
        </w:rPr>
      </w:pPr>
      <w:r>
        <w:rPr>
          <w:rFonts w:asciiTheme="minorEastAsia" w:hAnsiTheme="minorEastAsia" w:cs="楷体_GB2312" w:hint="eastAsia"/>
          <w:kern w:val="0"/>
          <w:szCs w:val="21"/>
        </w:rPr>
        <w:t>图22：A股主要指数9月表现（%）                        图23：A股主要指数年初以来表现（%）</w:t>
      </w:r>
    </w:p>
    <w:p w:rsidR="004F1718" w:rsidRPr="00FE099C" w:rsidRDefault="004F1718" w:rsidP="005570E2">
      <w:pPr>
        <w:spacing w:afterLines="50" w:line="360" w:lineRule="auto"/>
        <w:ind w:firstLineChars="200" w:firstLine="420"/>
        <w:jc w:val="left"/>
        <w:rPr>
          <w:rFonts w:asciiTheme="minorEastAsia" w:hAnsiTheme="minorEastAsia" w:cs="楷体_GB2312"/>
          <w:kern w:val="0"/>
          <w:szCs w:val="21"/>
        </w:rPr>
      </w:pPr>
      <w:r w:rsidRPr="009D6EDF">
        <w:rPr>
          <w:rFonts w:asciiTheme="minorEastAsia" w:hAnsiTheme="minorEastAsia" w:cs="楷体_GB2312"/>
          <w:noProof/>
          <w:kern w:val="0"/>
          <w:szCs w:val="21"/>
        </w:rPr>
        <w:drawing>
          <wp:inline distT="0" distB="0" distL="0" distR="0">
            <wp:extent cx="2905125" cy="3305175"/>
            <wp:effectExtent l="19050" t="0" r="9525" b="0"/>
            <wp:docPr id="78" name="图表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9D6EDF">
        <w:rPr>
          <w:rFonts w:asciiTheme="minorEastAsia" w:hAnsiTheme="minorEastAsia" w:cs="楷体_GB2312"/>
          <w:noProof/>
          <w:kern w:val="0"/>
          <w:szCs w:val="21"/>
        </w:rPr>
        <w:drawing>
          <wp:inline distT="0" distB="0" distL="0" distR="0">
            <wp:extent cx="2876550" cy="3305175"/>
            <wp:effectExtent l="19050" t="0" r="19050" b="0"/>
            <wp:docPr id="79" name="图表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F1718" w:rsidRPr="00FE099C" w:rsidRDefault="004F1718" w:rsidP="005570E2">
      <w:pPr>
        <w:spacing w:afterLines="50" w:line="360" w:lineRule="auto"/>
        <w:ind w:firstLineChars="200" w:firstLine="420"/>
        <w:jc w:val="left"/>
        <w:rPr>
          <w:rFonts w:asciiTheme="minorEastAsia" w:hAnsiTheme="minorEastAsia" w:cs="楷体_GB2312"/>
          <w:kern w:val="0"/>
          <w:szCs w:val="21"/>
        </w:rPr>
      </w:pPr>
      <w:r w:rsidRPr="00FE099C">
        <w:rPr>
          <w:rFonts w:asciiTheme="minorEastAsia" w:hAnsiTheme="minorEastAsia" w:cs="楷体_GB2312" w:hint="eastAsia"/>
          <w:kern w:val="0"/>
          <w:szCs w:val="21"/>
        </w:rPr>
        <w:t>行业方面，9月份，前期表现出色的信息服务、信息设备、医药服务继续领先大盘，此外，商业贸易、农林牧渔、餐饮旅游等前期涨幅较小的板块亦出现补涨行情。虽然8月份经济数据普遍向好，但仍未能支撑周期板块走强，有色金属、房地产、建筑建材、交通运输、采掘、黑色金属、化工等</w:t>
      </w:r>
      <w:proofErr w:type="gramStart"/>
      <w:r w:rsidRPr="00FE099C">
        <w:rPr>
          <w:rFonts w:asciiTheme="minorEastAsia" w:hAnsiTheme="minorEastAsia" w:cs="楷体_GB2312" w:hint="eastAsia"/>
          <w:kern w:val="0"/>
          <w:szCs w:val="21"/>
        </w:rPr>
        <w:t>行业涨幅</w:t>
      </w:r>
      <w:proofErr w:type="gramEnd"/>
      <w:r w:rsidRPr="00FE099C">
        <w:rPr>
          <w:rFonts w:asciiTheme="minorEastAsia" w:hAnsiTheme="minorEastAsia" w:cs="楷体_GB2312" w:hint="eastAsia"/>
          <w:kern w:val="0"/>
          <w:szCs w:val="21"/>
        </w:rPr>
        <w:t>落后。</w:t>
      </w:r>
    </w:p>
    <w:p w:rsidR="004F1718" w:rsidRDefault="004F1718" w:rsidP="005570E2">
      <w:pPr>
        <w:spacing w:afterLines="50" w:line="360" w:lineRule="auto"/>
        <w:ind w:firstLineChars="200" w:firstLine="420"/>
        <w:jc w:val="left"/>
        <w:rPr>
          <w:rFonts w:asciiTheme="minorEastAsia" w:hAnsiTheme="minorEastAsia" w:cs="楷体_GB2312"/>
          <w:kern w:val="0"/>
          <w:szCs w:val="21"/>
        </w:rPr>
      </w:pPr>
      <w:r w:rsidRPr="00FE099C">
        <w:rPr>
          <w:rFonts w:asciiTheme="minorEastAsia" w:hAnsiTheme="minorEastAsia" w:cs="楷体_GB2312" w:hint="eastAsia"/>
          <w:kern w:val="0"/>
          <w:szCs w:val="21"/>
        </w:rPr>
        <w:t>概念板块中，互联网金融、网络游戏、文化传媒持续发酵，而前期受自贸区带动的中日韩自贸区、深圳前海新区、</w:t>
      </w:r>
      <w:proofErr w:type="gramStart"/>
      <w:r w:rsidRPr="00FE099C">
        <w:rPr>
          <w:rFonts w:asciiTheme="minorEastAsia" w:hAnsiTheme="minorEastAsia" w:cs="楷体_GB2312" w:hint="eastAsia"/>
          <w:kern w:val="0"/>
          <w:szCs w:val="21"/>
        </w:rPr>
        <w:t>舟山新区</w:t>
      </w:r>
      <w:proofErr w:type="gramEnd"/>
      <w:r w:rsidRPr="00FE099C">
        <w:rPr>
          <w:rFonts w:asciiTheme="minorEastAsia" w:hAnsiTheme="minorEastAsia" w:cs="楷体_GB2312" w:hint="eastAsia"/>
          <w:kern w:val="0"/>
          <w:szCs w:val="21"/>
        </w:rPr>
        <w:t>等板块则出现退潮，上海自贸</w:t>
      </w:r>
      <w:proofErr w:type="gramStart"/>
      <w:r w:rsidRPr="00FE099C">
        <w:rPr>
          <w:rFonts w:asciiTheme="minorEastAsia" w:hAnsiTheme="minorEastAsia" w:cs="楷体_GB2312" w:hint="eastAsia"/>
          <w:kern w:val="0"/>
          <w:szCs w:val="21"/>
        </w:rPr>
        <w:t>区概念</w:t>
      </w:r>
      <w:proofErr w:type="gramEnd"/>
      <w:r w:rsidRPr="00FE099C">
        <w:rPr>
          <w:rFonts w:asciiTheme="minorEastAsia" w:hAnsiTheme="minorEastAsia" w:cs="楷体_GB2312" w:hint="eastAsia"/>
          <w:kern w:val="0"/>
          <w:szCs w:val="21"/>
        </w:rPr>
        <w:t>在短期快速冲高后或有较大获利回吐压力。</w:t>
      </w:r>
    </w:p>
    <w:p w:rsidR="0057362C" w:rsidRDefault="00AA6E68" w:rsidP="00CD07F8">
      <w:pPr>
        <w:spacing w:line="360" w:lineRule="auto"/>
        <w:ind w:firstLineChars="200" w:firstLine="420"/>
        <w:rPr>
          <w:rFonts w:asciiTheme="minorEastAsia" w:hAnsiTheme="minorEastAsia" w:cs="楷体_GB2312"/>
          <w:kern w:val="0"/>
          <w:szCs w:val="21"/>
        </w:rPr>
      </w:pPr>
      <w:r>
        <w:rPr>
          <w:rFonts w:asciiTheme="minorEastAsia" w:hAnsiTheme="minorEastAsia" w:cs="楷体_GB2312"/>
          <w:noProof/>
          <w:kern w:val="0"/>
          <w:szCs w:val="21"/>
        </w:rPr>
        <w:pict>
          <v:shape id="_x0000_s2129" type="#_x0000_t202" style="position:absolute;left:0;text-align:left;margin-left:210.75pt;margin-top:145.35pt;width:95.25pt;height:23.25pt;z-index:251897856" strokecolor="white [3212]">
            <v:textbox>
              <w:txbxContent>
                <w:p w:rsidR="00832D5A" w:rsidRDefault="00832D5A" w:rsidP="00D96AFD">
                  <w:pPr>
                    <w:jc w:val="center"/>
                  </w:pPr>
                  <w:r>
                    <w:rPr>
                      <w:rFonts w:hint="eastAsia"/>
                    </w:rPr>
                    <w:t>第</w:t>
                  </w:r>
                  <w:r>
                    <w:rPr>
                      <w:rFonts w:hint="eastAsia"/>
                    </w:rPr>
                    <w:t>14</w:t>
                  </w:r>
                  <w:r>
                    <w:rPr>
                      <w:rFonts w:hint="eastAsia"/>
                    </w:rPr>
                    <w:t>页</w:t>
                  </w:r>
                </w:p>
              </w:txbxContent>
            </v:textbox>
          </v:shape>
        </w:pict>
      </w:r>
      <w:r w:rsidR="0057362C" w:rsidRPr="00FE099C">
        <w:rPr>
          <w:rFonts w:asciiTheme="minorEastAsia" w:hAnsiTheme="minorEastAsia" w:cs="楷体_GB2312" w:hint="eastAsia"/>
          <w:kern w:val="0"/>
          <w:szCs w:val="21"/>
        </w:rPr>
        <w:t>预计四季度A股市场震荡中重心略有下移，上证综指核心运行区间在2000点-2300点。投资建议：1）、重题材，轻行业。从宏观环境及市场资金的性质来看，题材股的机会仍然存在。不过，下半年题材投资将更加重视预期，建议减持已经兑现的题材，重点关注破除垄断及并购重组等新题材;2）、重成长，轻价值。三季报前后，市场估值重心将开始切换，成长股之间将出现分化。建议关注医药、大众消费、</w:t>
      </w:r>
      <w:proofErr w:type="gramStart"/>
      <w:r w:rsidR="0057362C" w:rsidRPr="00FE099C">
        <w:rPr>
          <w:rFonts w:asciiTheme="minorEastAsia" w:hAnsiTheme="minorEastAsia" w:cs="楷体_GB2312" w:hint="eastAsia"/>
          <w:kern w:val="0"/>
          <w:szCs w:val="21"/>
        </w:rPr>
        <w:t>光伏及天然</w:t>
      </w:r>
      <w:r w:rsidR="0057362C" w:rsidRPr="00FE099C">
        <w:rPr>
          <w:rFonts w:asciiTheme="minorEastAsia" w:hAnsiTheme="minorEastAsia" w:cs="楷体_GB2312" w:hint="eastAsia"/>
          <w:kern w:val="0"/>
          <w:szCs w:val="21"/>
        </w:rPr>
        <w:lastRenderedPageBreak/>
        <w:t>气</w:t>
      </w:r>
      <w:proofErr w:type="gramEnd"/>
      <w:r w:rsidR="0057362C" w:rsidRPr="00FE099C">
        <w:rPr>
          <w:rFonts w:asciiTheme="minorEastAsia" w:hAnsiTheme="minorEastAsia" w:cs="楷体_GB2312" w:hint="eastAsia"/>
          <w:kern w:val="0"/>
          <w:szCs w:val="21"/>
        </w:rPr>
        <w:t>等新能源板块。</w:t>
      </w:r>
    </w:p>
    <w:p w:rsidR="004F1718" w:rsidRDefault="00CD07F8" w:rsidP="005570E2">
      <w:pPr>
        <w:spacing w:afterLines="50" w:line="360" w:lineRule="auto"/>
        <w:ind w:firstLineChars="200" w:firstLine="420"/>
        <w:jc w:val="left"/>
        <w:rPr>
          <w:rFonts w:asciiTheme="minorEastAsia" w:hAnsiTheme="minorEastAsia" w:cs="楷体_GB2312"/>
          <w:kern w:val="0"/>
          <w:szCs w:val="21"/>
        </w:rPr>
      </w:pPr>
      <w:r>
        <w:rPr>
          <w:rFonts w:asciiTheme="minorEastAsia" w:hAnsiTheme="minorEastAsia" w:cs="楷体_GB2312" w:hint="eastAsia"/>
          <w:noProof/>
          <w:kern w:val="0"/>
          <w:szCs w:val="21"/>
        </w:rPr>
        <w:drawing>
          <wp:anchor distT="0" distB="0" distL="114300" distR="114300" simplePos="0" relativeHeight="251844608" behindDoc="1" locked="0" layoutInCell="1" allowOverlap="1">
            <wp:simplePos x="0" y="0"/>
            <wp:positionH relativeFrom="column">
              <wp:posOffset>-683895</wp:posOffset>
            </wp:positionH>
            <wp:positionV relativeFrom="paragraph">
              <wp:posOffset>-1737360</wp:posOffset>
            </wp:positionV>
            <wp:extent cx="7581900" cy="10725150"/>
            <wp:effectExtent l="19050" t="0" r="0" b="0"/>
            <wp:wrapNone/>
            <wp:docPr id="104"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004F1718">
        <w:rPr>
          <w:rFonts w:asciiTheme="minorEastAsia" w:hAnsiTheme="minorEastAsia" w:cs="楷体_GB2312" w:hint="eastAsia"/>
          <w:kern w:val="0"/>
          <w:szCs w:val="21"/>
        </w:rPr>
        <w:t>图24：一个月大类行业表现                             图25：大类行业年初以来表现</w:t>
      </w:r>
    </w:p>
    <w:p w:rsidR="004F1718" w:rsidRPr="00FE099C" w:rsidRDefault="004F1718" w:rsidP="005570E2">
      <w:pPr>
        <w:spacing w:afterLines="50" w:line="360" w:lineRule="auto"/>
        <w:ind w:firstLineChars="200" w:firstLine="420"/>
        <w:jc w:val="left"/>
        <w:rPr>
          <w:rFonts w:asciiTheme="minorEastAsia" w:hAnsiTheme="minorEastAsia" w:cs="楷体_GB2312"/>
          <w:kern w:val="0"/>
          <w:szCs w:val="21"/>
        </w:rPr>
      </w:pPr>
      <w:r w:rsidRPr="009D6EDF">
        <w:rPr>
          <w:rFonts w:asciiTheme="minorEastAsia" w:hAnsiTheme="minorEastAsia" w:cs="楷体_GB2312"/>
          <w:noProof/>
          <w:kern w:val="0"/>
          <w:szCs w:val="21"/>
        </w:rPr>
        <w:drawing>
          <wp:inline distT="0" distB="0" distL="0" distR="0">
            <wp:extent cx="2800350" cy="4057650"/>
            <wp:effectExtent l="19050" t="0" r="19050" b="0"/>
            <wp:docPr id="76" name="图表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9D6EDF">
        <w:rPr>
          <w:rFonts w:asciiTheme="minorEastAsia" w:hAnsiTheme="minorEastAsia" w:cs="楷体_GB2312"/>
          <w:noProof/>
          <w:kern w:val="0"/>
          <w:szCs w:val="21"/>
        </w:rPr>
        <w:drawing>
          <wp:inline distT="0" distB="0" distL="0" distR="0">
            <wp:extent cx="2809875" cy="4057650"/>
            <wp:effectExtent l="19050" t="0" r="9525" b="0"/>
            <wp:docPr id="77" name="图表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F1718" w:rsidRDefault="004F1718" w:rsidP="004F1718">
      <w:pPr>
        <w:spacing w:line="360" w:lineRule="auto"/>
        <w:ind w:firstLineChars="200" w:firstLine="420"/>
        <w:rPr>
          <w:rFonts w:asciiTheme="minorEastAsia" w:hAnsiTheme="minorEastAsia"/>
          <w:szCs w:val="21"/>
        </w:rPr>
      </w:pPr>
    </w:p>
    <w:p w:rsidR="004F1718" w:rsidRPr="00AE789D" w:rsidRDefault="004F1718" w:rsidP="004F1718">
      <w:pPr>
        <w:spacing w:line="360" w:lineRule="auto"/>
        <w:rPr>
          <w:rFonts w:asciiTheme="minorEastAsia" w:hAnsiTheme="minorEastAsia"/>
          <w:szCs w:val="21"/>
        </w:rPr>
      </w:pPr>
      <w:r w:rsidRPr="00F6746C">
        <w:rPr>
          <w:rFonts w:asciiTheme="minorEastAsia" w:hAnsiTheme="minorEastAsia" w:hint="eastAsia"/>
          <w:szCs w:val="21"/>
        </w:rPr>
        <w:t>（二）、</w:t>
      </w:r>
      <w:r w:rsidRPr="000B2F9A">
        <w:rPr>
          <w:rFonts w:asciiTheme="minorEastAsia" w:hAnsiTheme="minorEastAsia" w:hint="eastAsia"/>
          <w:szCs w:val="21"/>
        </w:rPr>
        <w:t>私</w:t>
      </w:r>
      <w:proofErr w:type="gramStart"/>
      <w:r w:rsidRPr="000B2F9A">
        <w:rPr>
          <w:rFonts w:asciiTheme="minorEastAsia" w:hAnsiTheme="minorEastAsia" w:hint="eastAsia"/>
          <w:szCs w:val="21"/>
        </w:rPr>
        <w:t>募股权</w:t>
      </w:r>
      <w:proofErr w:type="gramEnd"/>
      <w:r w:rsidRPr="000B2F9A">
        <w:rPr>
          <w:rFonts w:asciiTheme="minorEastAsia" w:hAnsiTheme="minorEastAsia" w:hint="eastAsia"/>
          <w:szCs w:val="21"/>
        </w:rPr>
        <w:t>市场</w:t>
      </w:r>
      <w:r w:rsidR="004D729F">
        <w:rPr>
          <w:rFonts w:asciiTheme="minorEastAsia" w:hAnsiTheme="minorEastAsia" w:hint="eastAsia"/>
          <w:szCs w:val="21"/>
        </w:rPr>
        <w:t>，战略新兴产业投资活跃</w:t>
      </w:r>
    </w:p>
    <w:p w:rsidR="004F1718" w:rsidRPr="00E000FF" w:rsidRDefault="004F1718" w:rsidP="005570E2">
      <w:pPr>
        <w:widowControl/>
        <w:shd w:val="clear" w:color="auto" w:fill="FFFFFF"/>
        <w:spacing w:afterLines="50" w:line="360" w:lineRule="auto"/>
        <w:ind w:firstLineChars="170" w:firstLine="357"/>
        <w:jc w:val="left"/>
        <w:rPr>
          <w:rFonts w:asciiTheme="minorEastAsia" w:hAnsiTheme="minorEastAsia" w:cs="宋体"/>
          <w:kern w:val="0"/>
          <w:szCs w:val="21"/>
        </w:rPr>
      </w:pPr>
      <w:r w:rsidRPr="00E71F34">
        <w:rPr>
          <w:rFonts w:asciiTheme="minorEastAsia" w:hAnsiTheme="minorEastAsia" w:cs="宋体" w:hint="eastAsia"/>
          <w:kern w:val="0"/>
          <w:szCs w:val="21"/>
        </w:rPr>
        <w:t>2013年三季度共有42支可投资于中国大陆的私</w:t>
      </w:r>
      <w:proofErr w:type="gramStart"/>
      <w:r w:rsidRPr="00E71F34">
        <w:rPr>
          <w:rFonts w:asciiTheme="minorEastAsia" w:hAnsiTheme="minorEastAsia" w:cs="宋体" w:hint="eastAsia"/>
          <w:kern w:val="0"/>
          <w:szCs w:val="21"/>
        </w:rPr>
        <w:t>募股权投资</w:t>
      </w:r>
      <w:proofErr w:type="gramEnd"/>
      <w:r w:rsidRPr="00E71F34">
        <w:rPr>
          <w:rFonts w:asciiTheme="minorEastAsia" w:hAnsiTheme="minorEastAsia" w:cs="宋体" w:hint="eastAsia"/>
          <w:kern w:val="0"/>
          <w:szCs w:val="21"/>
        </w:rPr>
        <w:t>基金完成募集，其中披露金额的38支基金共计募集41.46亿美元，虽然较去年</w:t>
      </w:r>
      <w:proofErr w:type="gramStart"/>
      <w:r w:rsidRPr="00E71F34">
        <w:rPr>
          <w:rFonts w:asciiTheme="minorEastAsia" w:hAnsiTheme="minorEastAsia" w:cs="宋体" w:hint="eastAsia"/>
          <w:kern w:val="0"/>
          <w:szCs w:val="21"/>
        </w:rPr>
        <w:t>同比仍</w:t>
      </w:r>
      <w:proofErr w:type="gramEnd"/>
      <w:r w:rsidRPr="00E71F34">
        <w:rPr>
          <w:rFonts w:asciiTheme="minorEastAsia" w:hAnsiTheme="minorEastAsia" w:cs="宋体" w:hint="eastAsia"/>
          <w:kern w:val="0"/>
          <w:szCs w:val="21"/>
        </w:rPr>
        <w:t>有较大降幅，但募集数量与募集金额分别环比增长23.5%和32.1%，市场出现向好信号。募资环比增长主要得益于城镇化建设推进，在城镇化大背景下，资金向基础设施建设、房地产行业的涌入加速。</w:t>
      </w:r>
    </w:p>
    <w:p w:rsidR="00CD07F8" w:rsidRDefault="00CD07F8" w:rsidP="005570E2">
      <w:pPr>
        <w:widowControl/>
        <w:shd w:val="clear" w:color="auto" w:fill="FFFFFF"/>
        <w:spacing w:afterLines="50" w:line="360" w:lineRule="auto"/>
        <w:ind w:firstLine="360"/>
        <w:jc w:val="center"/>
        <w:rPr>
          <w:rFonts w:asciiTheme="minorEastAsia" w:hAnsiTheme="minorEastAsia" w:cs="宋体"/>
          <w:kern w:val="0"/>
          <w:szCs w:val="21"/>
        </w:rPr>
      </w:pPr>
    </w:p>
    <w:p w:rsidR="00CD07F8" w:rsidRDefault="00CD07F8" w:rsidP="005570E2">
      <w:pPr>
        <w:widowControl/>
        <w:shd w:val="clear" w:color="auto" w:fill="FFFFFF"/>
        <w:spacing w:afterLines="50" w:line="360" w:lineRule="auto"/>
        <w:ind w:firstLine="360"/>
        <w:jc w:val="center"/>
        <w:rPr>
          <w:rFonts w:asciiTheme="minorEastAsia" w:hAnsiTheme="minorEastAsia" w:cs="宋体"/>
          <w:kern w:val="0"/>
          <w:szCs w:val="21"/>
        </w:rPr>
      </w:pPr>
    </w:p>
    <w:p w:rsidR="00CD07F8" w:rsidRDefault="00CD07F8" w:rsidP="005570E2">
      <w:pPr>
        <w:widowControl/>
        <w:shd w:val="clear" w:color="auto" w:fill="FFFFFF"/>
        <w:spacing w:afterLines="50" w:line="360" w:lineRule="auto"/>
        <w:ind w:firstLine="360"/>
        <w:jc w:val="center"/>
        <w:rPr>
          <w:rFonts w:asciiTheme="minorEastAsia" w:hAnsiTheme="minorEastAsia" w:cs="宋体"/>
          <w:kern w:val="0"/>
          <w:szCs w:val="21"/>
        </w:rPr>
      </w:pPr>
    </w:p>
    <w:p w:rsidR="00CD07F8" w:rsidRDefault="00AA6E68" w:rsidP="005570E2">
      <w:pPr>
        <w:widowControl/>
        <w:shd w:val="clear" w:color="auto" w:fill="FFFFFF"/>
        <w:spacing w:afterLines="50" w:line="360" w:lineRule="auto"/>
        <w:ind w:firstLine="360"/>
        <w:jc w:val="center"/>
        <w:rPr>
          <w:rFonts w:asciiTheme="minorEastAsia" w:hAnsiTheme="minorEastAsia" w:cs="宋体"/>
          <w:kern w:val="0"/>
          <w:szCs w:val="21"/>
        </w:rPr>
      </w:pPr>
      <w:r>
        <w:rPr>
          <w:rFonts w:asciiTheme="minorEastAsia" w:hAnsiTheme="minorEastAsia" w:cs="宋体"/>
          <w:noProof/>
          <w:kern w:val="0"/>
          <w:szCs w:val="21"/>
        </w:rPr>
        <w:pict>
          <v:shape id="_x0000_s2130" type="#_x0000_t202" style="position:absolute;left:0;text-align:left;margin-left:204.9pt;margin-top:55.05pt;width:99.75pt;height:21.75pt;z-index:251898880" strokecolor="white [3212]">
            <v:textbox>
              <w:txbxContent>
                <w:p w:rsidR="00832D5A" w:rsidRDefault="00832D5A" w:rsidP="00D96AFD">
                  <w:pPr>
                    <w:jc w:val="center"/>
                  </w:pPr>
                  <w:r>
                    <w:rPr>
                      <w:rFonts w:hint="eastAsia"/>
                    </w:rPr>
                    <w:t>第</w:t>
                  </w:r>
                  <w:r>
                    <w:rPr>
                      <w:rFonts w:hint="eastAsia"/>
                    </w:rPr>
                    <w:t>15</w:t>
                  </w:r>
                  <w:r>
                    <w:rPr>
                      <w:rFonts w:hint="eastAsia"/>
                    </w:rPr>
                    <w:t>页</w:t>
                  </w:r>
                </w:p>
              </w:txbxContent>
            </v:textbox>
          </v:shape>
        </w:pict>
      </w:r>
    </w:p>
    <w:p w:rsidR="004F1718" w:rsidRPr="00E71F34" w:rsidRDefault="00CD07F8" w:rsidP="005570E2">
      <w:pPr>
        <w:widowControl/>
        <w:shd w:val="clear" w:color="auto" w:fill="FFFFFF"/>
        <w:spacing w:afterLines="50" w:line="360" w:lineRule="auto"/>
        <w:ind w:firstLine="360"/>
        <w:jc w:val="center"/>
        <w:rPr>
          <w:rFonts w:asciiTheme="minorEastAsia" w:hAnsiTheme="minorEastAsia" w:cs="宋体"/>
          <w:kern w:val="0"/>
          <w:szCs w:val="21"/>
        </w:rPr>
      </w:pPr>
      <w:r>
        <w:rPr>
          <w:rFonts w:asciiTheme="minorEastAsia" w:hAnsiTheme="minorEastAsia" w:cs="宋体" w:hint="eastAsia"/>
          <w:noProof/>
          <w:kern w:val="0"/>
          <w:szCs w:val="21"/>
        </w:rPr>
        <w:lastRenderedPageBreak/>
        <w:drawing>
          <wp:anchor distT="0" distB="0" distL="114300" distR="114300" simplePos="0" relativeHeight="251846656" behindDoc="1" locked="0" layoutInCell="1" allowOverlap="1">
            <wp:simplePos x="0" y="0"/>
            <wp:positionH relativeFrom="column">
              <wp:posOffset>-683895</wp:posOffset>
            </wp:positionH>
            <wp:positionV relativeFrom="paragraph">
              <wp:posOffset>-1421130</wp:posOffset>
            </wp:positionV>
            <wp:extent cx="7581900" cy="10725150"/>
            <wp:effectExtent l="19050" t="0" r="0" b="0"/>
            <wp:wrapNone/>
            <wp:docPr id="110"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004F1718" w:rsidRPr="00E000FF">
        <w:rPr>
          <w:rFonts w:asciiTheme="minorEastAsia" w:hAnsiTheme="minorEastAsia" w:cs="宋体" w:hint="eastAsia"/>
          <w:kern w:val="0"/>
          <w:szCs w:val="21"/>
        </w:rPr>
        <w:t>图</w:t>
      </w:r>
      <w:r w:rsidR="004F1718">
        <w:rPr>
          <w:rFonts w:asciiTheme="minorEastAsia" w:hAnsiTheme="minorEastAsia" w:cs="宋体" w:hint="eastAsia"/>
          <w:kern w:val="0"/>
          <w:szCs w:val="21"/>
        </w:rPr>
        <w:t>26</w:t>
      </w:r>
      <w:r w:rsidR="004F1718" w:rsidRPr="00E000FF">
        <w:rPr>
          <w:rFonts w:asciiTheme="minorEastAsia" w:hAnsiTheme="minorEastAsia" w:cs="宋体" w:hint="eastAsia"/>
          <w:kern w:val="0"/>
          <w:szCs w:val="21"/>
        </w:rPr>
        <w:t>:私</w:t>
      </w:r>
      <w:proofErr w:type="gramStart"/>
      <w:r w:rsidR="004F1718" w:rsidRPr="00E000FF">
        <w:rPr>
          <w:rFonts w:asciiTheme="minorEastAsia" w:hAnsiTheme="minorEastAsia" w:cs="宋体" w:hint="eastAsia"/>
          <w:kern w:val="0"/>
          <w:szCs w:val="21"/>
        </w:rPr>
        <w:t>募股权投资</w:t>
      </w:r>
      <w:proofErr w:type="gramEnd"/>
      <w:r w:rsidR="004F1718" w:rsidRPr="00E000FF">
        <w:rPr>
          <w:rFonts w:asciiTheme="minorEastAsia" w:hAnsiTheme="minorEastAsia" w:cs="宋体" w:hint="eastAsia"/>
          <w:kern w:val="0"/>
          <w:szCs w:val="21"/>
        </w:rPr>
        <w:t>基金募资总量比较（Q1</w:t>
      </w:r>
      <w:proofErr w:type="gramStart"/>
      <w:r w:rsidR="004F1718" w:rsidRPr="00E000FF">
        <w:rPr>
          <w:rFonts w:asciiTheme="minorEastAsia" w:hAnsiTheme="minorEastAsia" w:cs="宋体"/>
          <w:kern w:val="0"/>
          <w:szCs w:val="21"/>
        </w:rPr>
        <w:t>’</w:t>
      </w:r>
      <w:proofErr w:type="gramEnd"/>
      <w:r w:rsidR="004F1718" w:rsidRPr="00E000FF">
        <w:rPr>
          <w:rFonts w:asciiTheme="minorEastAsia" w:hAnsiTheme="minorEastAsia" w:cs="宋体" w:hint="eastAsia"/>
          <w:kern w:val="0"/>
          <w:szCs w:val="21"/>
        </w:rPr>
        <w:t>11-Q3</w:t>
      </w:r>
      <w:proofErr w:type="gramStart"/>
      <w:r w:rsidR="004F1718" w:rsidRPr="00E000FF">
        <w:rPr>
          <w:rFonts w:asciiTheme="minorEastAsia" w:hAnsiTheme="minorEastAsia" w:cs="宋体"/>
          <w:kern w:val="0"/>
          <w:szCs w:val="21"/>
        </w:rPr>
        <w:t>’</w:t>
      </w:r>
      <w:proofErr w:type="gramEnd"/>
      <w:r w:rsidR="004F1718" w:rsidRPr="00E000FF">
        <w:rPr>
          <w:rFonts w:asciiTheme="minorEastAsia" w:hAnsiTheme="minorEastAsia" w:cs="宋体" w:hint="eastAsia"/>
          <w:kern w:val="0"/>
          <w:szCs w:val="21"/>
        </w:rPr>
        <w:t>13）</w:t>
      </w:r>
    </w:p>
    <w:p w:rsidR="004F1718" w:rsidRPr="00E71F34" w:rsidRDefault="004F1718" w:rsidP="005570E2">
      <w:pPr>
        <w:widowControl/>
        <w:shd w:val="clear" w:color="auto" w:fill="FFFFFF"/>
        <w:spacing w:afterLines="50" w:line="360" w:lineRule="auto"/>
        <w:jc w:val="center"/>
        <w:rPr>
          <w:rFonts w:asciiTheme="minorEastAsia" w:hAnsiTheme="minorEastAsia" w:cs="宋体"/>
          <w:kern w:val="0"/>
          <w:szCs w:val="21"/>
        </w:rPr>
      </w:pPr>
      <w:r w:rsidRPr="00E000FF">
        <w:rPr>
          <w:rFonts w:asciiTheme="minorEastAsia" w:hAnsiTheme="minorEastAsia" w:cs="宋体"/>
          <w:noProof/>
          <w:kern w:val="0"/>
          <w:szCs w:val="21"/>
        </w:rPr>
        <w:drawing>
          <wp:inline distT="0" distB="0" distL="0" distR="0">
            <wp:extent cx="4686300" cy="3009900"/>
            <wp:effectExtent l="0" t="0" r="0" b="0"/>
            <wp:docPr id="10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F1718" w:rsidRPr="00E000FF" w:rsidRDefault="004F1718" w:rsidP="005570E2">
      <w:pPr>
        <w:widowControl/>
        <w:shd w:val="clear" w:color="auto" w:fill="FFFFFF"/>
        <w:spacing w:afterLines="50" w:line="360" w:lineRule="auto"/>
        <w:ind w:firstLine="345"/>
        <w:jc w:val="left"/>
        <w:rPr>
          <w:rFonts w:asciiTheme="minorEastAsia" w:hAnsiTheme="minorEastAsia" w:cs="宋体"/>
          <w:kern w:val="0"/>
          <w:szCs w:val="21"/>
        </w:rPr>
      </w:pPr>
      <w:r w:rsidRPr="00E71F34">
        <w:rPr>
          <w:rFonts w:asciiTheme="minorEastAsia" w:hAnsiTheme="minorEastAsia" w:cs="宋体" w:hint="eastAsia"/>
          <w:kern w:val="0"/>
          <w:szCs w:val="21"/>
        </w:rPr>
        <w:t>从新</w:t>
      </w:r>
      <w:proofErr w:type="gramStart"/>
      <w:r w:rsidRPr="00E71F34">
        <w:rPr>
          <w:rFonts w:asciiTheme="minorEastAsia" w:hAnsiTheme="minorEastAsia" w:cs="宋体" w:hint="eastAsia"/>
          <w:kern w:val="0"/>
          <w:szCs w:val="21"/>
        </w:rPr>
        <w:t>募</w:t>
      </w:r>
      <w:proofErr w:type="gramEnd"/>
      <w:r w:rsidRPr="00E71F34">
        <w:rPr>
          <w:rFonts w:asciiTheme="minorEastAsia" w:hAnsiTheme="minorEastAsia" w:cs="宋体" w:hint="eastAsia"/>
          <w:kern w:val="0"/>
          <w:szCs w:val="21"/>
        </w:rPr>
        <w:t>基金类型角度分析，42支新基金中，有19支为成长基金，房地产基金的募集依旧活跃，三季度募集完成13支。同时，三季度有3支并购基金和1支夹层基金募集到位;此外，包括基础设施基金在内的6支其他类型基金也在本季完成募集，涉及金额6.21亿美元。</w:t>
      </w:r>
    </w:p>
    <w:p w:rsidR="004F1718" w:rsidRPr="00E000FF" w:rsidRDefault="004F1718" w:rsidP="005570E2">
      <w:pPr>
        <w:widowControl/>
        <w:shd w:val="clear" w:color="auto" w:fill="FFFFFF"/>
        <w:spacing w:afterLines="50" w:line="360" w:lineRule="auto"/>
        <w:ind w:firstLine="345"/>
        <w:jc w:val="center"/>
        <w:rPr>
          <w:rFonts w:asciiTheme="minorEastAsia" w:hAnsiTheme="minorEastAsia" w:cs="宋体"/>
          <w:kern w:val="0"/>
          <w:szCs w:val="21"/>
        </w:rPr>
      </w:pPr>
      <w:r w:rsidRPr="00E000FF">
        <w:rPr>
          <w:rFonts w:asciiTheme="minorEastAsia" w:hAnsiTheme="minorEastAsia" w:cs="宋体" w:hint="eastAsia"/>
          <w:kern w:val="0"/>
          <w:szCs w:val="21"/>
        </w:rPr>
        <w:t>图</w:t>
      </w:r>
      <w:r>
        <w:rPr>
          <w:rFonts w:asciiTheme="minorEastAsia" w:hAnsiTheme="minorEastAsia" w:cs="宋体" w:hint="eastAsia"/>
          <w:kern w:val="0"/>
          <w:szCs w:val="21"/>
        </w:rPr>
        <w:t>27</w:t>
      </w:r>
      <w:r w:rsidRPr="00E000FF">
        <w:rPr>
          <w:rFonts w:asciiTheme="minorEastAsia" w:hAnsiTheme="minorEastAsia" w:cs="宋体" w:hint="eastAsia"/>
          <w:kern w:val="0"/>
          <w:szCs w:val="21"/>
        </w:rPr>
        <w:t>：2013</w:t>
      </w:r>
      <w:r>
        <w:rPr>
          <w:rFonts w:asciiTheme="minorEastAsia" w:hAnsiTheme="minorEastAsia" w:cs="宋体" w:hint="eastAsia"/>
          <w:kern w:val="0"/>
          <w:szCs w:val="21"/>
        </w:rPr>
        <w:t>年三季度</w:t>
      </w:r>
      <w:proofErr w:type="gramStart"/>
      <w:r>
        <w:rPr>
          <w:rFonts w:asciiTheme="minorEastAsia" w:hAnsiTheme="minorEastAsia" w:cs="宋体" w:hint="eastAsia"/>
          <w:kern w:val="0"/>
          <w:szCs w:val="21"/>
        </w:rPr>
        <w:t>新私募股权基金</w:t>
      </w:r>
      <w:proofErr w:type="gramEnd"/>
      <w:r>
        <w:rPr>
          <w:rFonts w:asciiTheme="minorEastAsia" w:hAnsiTheme="minorEastAsia" w:cs="宋体" w:hint="eastAsia"/>
          <w:kern w:val="0"/>
          <w:szCs w:val="21"/>
        </w:rPr>
        <w:t>类型统计（按募资金额</w:t>
      </w:r>
      <w:r w:rsidRPr="00E000FF">
        <w:rPr>
          <w:rFonts w:asciiTheme="minorEastAsia" w:hAnsiTheme="minorEastAsia" w:cs="宋体" w:hint="eastAsia"/>
          <w:kern w:val="0"/>
          <w:szCs w:val="21"/>
        </w:rPr>
        <w:t>）</w:t>
      </w:r>
    </w:p>
    <w:p w:rsidR="004F1718" w:rsidRPr="00E71F34" w:rsidRDefault="00AA6E68" w:rsidP="005570E2">
      <w:pPr>
        <w:widowControl/>
        <w:shd w:val="clear" w:color="auto" w:fill="FFFFFF"/>
        <w:spacing w:afterLines="50" w:line="360" w:lineRule="auto"/>
        <w:ind w:firstLine="345"/>
        <w:jc w:val="center"/>
        <w:rPr>
          <w:rFonts w:asciiTheme="minorEastAsia" w:hAnsiTheme="minorEastAsia" w:cs="宋体"/>
          <w:kern w:val="0"/>
          <w:szCs w:val="21"/>
        </w:rPr>
      </w:pPr>
      <w:r>
        <w:rPr>
          <w:rFonts w:asciiTheme="minorEastAsia" w:hAnsiTheme="minorEastAsia" w:cs="宋体"/>
          <w:noProof/>
          <w:kern w:val="0"/>
          <w:szCs w:val="21"/>
        </w:rPr>
        <w:pict>
          <v:shape id="_x0000_s2131" type="#_x0000_t202" style="position:absolute;left:0;text-align:left;margin-left:195.9pt;margin-top:292.05pt;width:128.25pt;height:20.25pt;z-index:251899904" strokecolor="white [3212]">
            <v:textbox>
              <w:txbxContent>
                <w:p w:rsidR="00832D5A" w:rsidRDefault="00832D5A" w:rsidP="00D96AFD">
                  <w:pPr>
                    <w:jc w:val="center"/>
                  </w:pPr>
                  <w:r>
                    <w:rPr>
                      <w:rFonts w:hint="eastAsia"/>
                    </w:rPr>
                    <w:t>第</w:t>
                  </w:r>
                  <w:r>
                    <w:rPr>
                      <w:rFonts w:hint="eastAsia"/>
                    </w:rPr>
                    <w:t>16</w:t>
                  </w:r>
                  <w:r>
                    <w:rPr>
                      <w:rFonts w:hint="eastAsia"/>
                    </w:rPr>
                    <w:t>页</w:t>
                  </w:r>
                </w:p>
              </w:txbxContent>
            </v:textbox>
          </v:shape>
        </w:pict>
      </w:r>
      <w:r w:rsidR="004F1718" w:rsidRPr="00E000FF">
        <w:rPr>
          <w:rFonts w:asciiTheme="minorEastAsia" w:hAnsiTheme="minorEastAsia" w:cs="宋体"/>
          <w:noProof/>
          <w:kern w:val="0"/>
          <w:szCs w:val="21"/>
        </w:rPr>
        <w:drawing>
          <wp:inline distT="0" distB="0" distL="0" distR="0">
            <wp:extent cx="4143375" cy="2419350"/>
            <wp:effectExtent l="0" t="0" r="0" b="0"/>
            <wp:docPr id="10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F1718" w:rsidRPr="00E71F34" w:rsidRDefault="00CD07F8" w:rsidP="005570E2">
      <w:pPr>
        <w:widowControl/>
        <w:shd w:val="clear" w:color="auto" w:fill="FFFFFF"/>
        <w:spacing w:afterLines="50" w:line="360" w:lineRule="auto"/>
        <w:jc w:val="left"/>
        <w:rPr>
          <w:rFonts w:asciiTheme="minorEastAsia" w:hAnsiTheme="minorEastAsia" w:cs="宋体"/>
          <w:kern w:val="0"/>
          <w:szCs w:val="21"/>
        </w:rPr>
      </w:pPr>
      <w:r>
        <w:rPr>
          <w:rFonts w:asciiTheme="minorEastAsia" w:hAnsiTheme="minorEastAsia" w:cs="宋体" w:hint="eastAsia"/>
          <w:noProof/>
          <w:kern w:val="0"/>
          <w:szCs w:val="21"/>
        </w:rPr>
        <w:lastRenderedPageBreak/>
        <w:drawing>
          <wp:anchor distT="0" distB="0" distL="114300" distR="114300" simplePos="0" relativeHeight="251848704" behindDoc="1" locked="0" layoutInCell="1" allowOverlap="1">
            <wp:simplePos x="0" y="0"/>
            <wp:positionH relativeFrom="column">
              <wp:posOffset>-683895</wp:posOffset>
            </wp:positionH>
            <wp:positionV relativeFrom="paragraph">
              <wp:posOffset>-1421130</wp:posOffset>
            </wp:positionV>
            <wp:extent cx="7581900" cy="10725150"/>
            <wp:effectExtent l="19050" t="0" r="0" b="0"/>
            <wp:wrapNone/>
            <wp:docPr id="111"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004F1718" w:rsidRPr="00E71F34">
        <w:rPr>
          <w:rFonts w:asciiTheme="minorEastAsia" w:hAnsiTheme="minorEastAsia" w:cs="宋体" w:hint="eastAsia"/>
          <w:kern w:val="0"/>
          <w:szCs w:val="21"/>
        </w:rPr>
        <w:t> 2013年三季度的新</w:t>
      </w:r>
      <w:proofErr w:type="gramStart"/>
      <w:r w:rsidR="004F1718" w:rsidRPr="00E71F34">
        <w:rPr>
          <w:rFonts w:asciiTheme="minorEastAsia" w:hAnsiTheme="minorEastAsia" w:cs="宋体" w:hint="eastAsia"/>
          <w:kern w:val="0"/>
          <w:szCs w:val="21"/>
        </w:rPr>
        <w:t>募基金</w:t>
      </w:r>
      <w:proofErr w:type="gramEnd"/>
      <w:r w:rsidR="004F1718" w:rsidRPr="00E71F34">
        <w:rPr>
          <w:rFonts w:asciiTheme="minorEastAsia" w:hAnsiTheme="minorEastAsia" w:cs="宋体" w:hint="eastAsia"/>
          <w:kern w:val="0"/>
          <w:szCs w:val="21"/>
        </w:rPr>
        <w:t>中包括人民币基金41支， 其中披露金额的37支募资总额为38.96亿美元，募资数量与募资金额均占比90.0%以上。而受上半年已有不少外币基金完成募集的影响，三季度新增外币基金较少，仅有1支，共计到位2.50亿美元。</w:t>
      </w:r>
    </w:p>
    <w:p w:rsidR="004F1718" w:rsidRPr="00E000FF" w:rsidRDefault="004F1718" w:rsidP="005570E2">
      <w:pPr>
        <w:widowControl/>
        <w:shd w:val="clear" w:color="auto" w:fill="FFFFFF"/>
        <w:spacing w:afterLines="50" w:line="360" w:lineRule="auto"/>
        <w:jc w:val="left"/>
        <w:rPr>
          <w:rFonts w:asciiTheme="minorEastAsia" w:hAnsiTheme="minorEastAsia" w:cs="宋体"/>
          <w:kern w:val="0"/>
          <w:szCs w:val="21"/>
        </w:rPr>
      </w:pPr>
      <w:r w:rsidRPr="00E71F34">
        <w:rPr>
          <w:rFonts w:asciiTheme="minorEastAsia" w:hAnsiTheme="minorEastAsia" w:cs="宋体" w:hint="eastAsia"/>
          <w:kern w:val="0"/>
          <w:szCs w:val="21"/>
        </w:rPr>
        <w:t xml:space="preserve">　　2013年三季度中国私</w:t>
      </w:r>
      <w:proofErr w:type="gramStart"/>
      <w:r w:rsidRPr="00E71F34">
        <w:rPr>
          <w:rFonts w:asciiTheme="minorEastAsia" w:hAnsiTheme="minorEastAsia" w:cs="宋体" w:hint="eastAsia"/>
          <w:kern w:val="0"/>
          <w:szCs w:val="21"/>
        </w:rPr>
        <w:t>募股权</w:t>
      </w:r>
      <w:proofErr w:type="gramEnd"/>
      <w:r w:rsidRPr="00E71F34">
        <w:rPr>
          <w:rFonts w:asciiTheme="minorEastAsia" w:hAnsiTheme="minorEastAsia" w:cs="宋体" w:hint="eastAsia"/>
          <w:kern w:val="0"/>
          <w:szCs w:val="21"/>
        </w:rPr>
        <w:t>市场投资交易活跃</w:t>
      </w:r>
      <w:proofErr w:type="gramStart"/>
      <w:r w:rsidRPr="00E71F34">
        <w:rPr>
          <w:rFonts w:asciiTheme="minorEastAsia" w:hAnsiTheme="minorEastAsia" w:cs="宋体" w:hint="eastAsia"/>
          <w:kern w:val="0"/>
          <w:szCs w:val="21"/>
        </w:rPr>
        <w:t>度同样</w:t>
      </w:r>
      <w:proofErr w:type="gramEnd"/>
      <w:r w:rsidRPr="00E71F34">
        <w:rPr>
          <w:rFonts w:asciiTheme="minorEastAsia" w:hAnsiTheme="minorEastAsia" w:cs="宋体" w:hint="eastAsia"/>
          <w:kern w:val="0"/>
          <w:szCs w:val="21"/>
        </w:rPr>
        <w:t>出现反弹态势，共发生投资案例109起，同比下降43.8%，环比上升23.9%;其中披露金额的92起案例共计投资33.10亿美元，虽然与二季度58.05亿美元相比有较大幅度缩水，但若扣除二季度240.00亿人民币超大宗交易影响，整体趋势仍处在上升区间。</w:t>
      </w:r>
    </w:p>
    <w:p w:rsidR="004F1718" w:rsidRPr="00E000FF" w:rsidRDefault="004F1718" w:rsidP="005570E2">
      <w:pPr>
        <w:widowControl/>
        <w:shd w:val="clear" w:color="auto" w:fill="FFFFFF"/>
        <w:spacing w:afterLines="50" w:line="360" w:lineRule="auto"/>
        <w:jc w:val="center"/>
        <w:rPr>
          <w:rFonts w:asciiTheme="minorEastAsia" w:hAnsiTheme="minorEastAsia" w:cs="宋体"/>
          <w:kern w:val="0"/>
          <w:szCs w:val="21"/>
        </w:rPr>
      </w:pPr>
      <w:r w:rsidRPr="00E000FF">
        <w:rPr>
          <w:rFonts w:asciiTheme="minorEastAsia" w:hAnsiTheme="minorEastAsia" w:cs="宋体" w:hint="eastAsia"/>
          <w:kern w:val="0"/>
          <w:szCs w:val="21"/>
        </w:rPr>
        <w:t>图</w:t>
      </w:r>
      <w:r>
        <w:rPr>
          <w:rFonts w:asciiTheme="minorEastAsia" w:hAnsiTheme="minorEastAsia" w:cs="宋体" w:hint="eastAsia"/>
          <w:kern w:val="0"/>
          <w:szCs w:val="21"/>
        </w:rPr>
        <w:t>28</w:t>
      </w:r>
      <w:r w:rsidRPr="00E000FF">
        <w:rPr>
          <w:rFonts w:asciiTheme="minorEastAsia" w:hAnsiTheme="minorEastAsia" w:cs="宋体" w:hint="eastAsia"/>
          <w:kern w:val="0"/>
          <w:szCs w:val="21"/>
        </w:rPr>
        <w:t>：Q1</w:t>
      </w:r>
      <w:proofErr w:type="gramStart"/>
      <w:r w:rsidRPr="00E000FF">
        <w:rPr>
          <w:rFonts w:asciiTheme="minorEastAsia" w:hAnsiTheme="minorEastAsia" w:cs="宋体"/>
          <w:kern w:val="0"/>
          <w:szCs w:val="21"/>
        </w:rPr>
        <w:t>’</w:t>
      </w:r>
      <w:proofErr w:type="gramEnd"/>
      <w:r w:rsidRPr="00E000FF">
        <w:rPr>
          <w:rFonts w:asciiTheme="minorEastAsia" w:hAnsiTheme="minorEastAsia" w:cs="宋体" w:hint="eastAsia"/>
          <w:kern w:val="0"/>
          <w:szCs w:val="21"/>
        </w:rPr>
        <w:t>11-Q3</w:t>
      </w:r>
      <w:proofErr w:type="gramStart"/>
      <w:r w:rsidRPr="00E000FF">
        <w:rPr>
          <w:rFonts w:asciiTheme="minorEastAsia" w:hAnsiTheme="minorEastAsia" w:cs="宋体"/>
          <w:kern w:val="0"/>
          <w:szCs w:val="21"/>
        </w:rPr>
        <w:t>’</w:t>
      </w:r>
      <w:proofErr w:type="gramEnd"/>
      <w:r w:rsidRPr="00E000FF">
        <w:rPr>
          <w:rFonts w:asciiTheme="minorEastAsia" w:hAnsiTheme="minorEastAsia" w:cs="宋体" w:hint="eastAsia"/>
          <w:kern w:val="0"/>
          <w:szCs w:val="21"/>
        </w:rPr>
        <w:t>13</w:t>
      </w:r>
      <w:r w:rsidR="004D729F">
        <w:rPr>
          <w:rFonts w:asciiTheme="minorEastAsia" w:hAnsiTheme="minorEastAsia" w:cs="宋体" w:hint="eastAsia"/>
          <w:kern w:val="0"/>
          <w:szCs w:val="21"/>
        </w:rPr>
        <w:t>中国私</w:t>
      </w:r>
      <w:proofErr w:type="gramStart"/>
      <w:r w:rsidR="004D729F">
        <w:rPr>
          <w:rFonts w:asciiTheme="minorEastAsia" w:hAnsiTheme="minorEastAsia" w:cs="宋体" w:hint="eastAsia"/>
          <w:kern w:val="0"/>
          <w:szCs w:val="21"/>
        </w:rPr>
        <w:t>募股权投资</w:t>
      </w:r>
      <w:proofErr w:type="gramEnd"/>
      <w:r w:rsidR="004D729F">
        <w:rPr>
          <w:rFonts w:asciiTheme="minorEastAsia" w:hAnsiTheme="minorEastAsia" w:cs="宋体" w:hint="eastAsia"/>
          <w:kern w:val="0"/>
          <w:szCs w:val="21"/>
        </w:rPr>
        <w:t>基金</w:t>
      </w:r>
      <w:r w:rsidRPr="00E000FF">
        <w:rPr>
          <w:rFonts w:asciiTheme="minorEastAsia" w:hAnsiTheme="minorEastAsia" w:cs="宋体" w:hint="eastAsia"/>
          <w:kern w:val="0"/>
          <w:szCs w:val="21"/>
        </w:rPr>
        <w:t>投资</w:t>
      </w:r>
      <w:proofErr w:type="gramStart"/>
      <w:r w:rsidRPr="00E000FF">
        <w:rPr>
          <w:rFonts w:asciiTheme="minorEastAsia" w:hAnsiTheme="minorEastAsia" w:cs="宋体" w:hint="eastAsia"/>
          <w:kern w:val="0"/>
          <w:szCs w:val="21"/>
        </w:rPr>
        <w:t>总量环</w:t>
      </w:r>
      <w:proofErr w:type="gramEnd"/>
      <w:r w:rsidRPr="00E000FF">
        <w:rPr>
          <w:rFonts w:asciiTheme="minorEastAsia" w:hAnsiTheme="minorEastAsia" w:cs="宋体" w:hint="eastAsia"/>
          <w:kern w:val="0"/>
          <w:szCs w:val="21"/>
        </w:rPr>
        <w:t>比比较</w:t>
      </w:r>
    </w:p>
    <w:p w:rsidR="004F1718" w:rsidRPr="00E71F34" w:rsidRDefault="004F1718" w:rsidP="005570E2">
      <w:pPr>
        <w:widowControl/>
        <w:shd w:val="clear" w:color="auto" w:fill="FFFFFF"/>
        <w:spacing w:afterLines="50" w:line="360" w:lineRule="auto"/>
        <w:jc w:val="center"/>
        <w:rPr>
          <w:rFonts w:asciiTheme="minorEastAsia" w:hAnsiTheme="minorEastAsia" w:cs="宋体"/>
          <w:kern w:val="0"/>
          <w:szCs w:val="21"/>
        </w:rPr>
      </w:pPr>
      <w:r w:rsidRPr="00E000FF">
        <w:rPr>
          <w:rFonts w:asciiTheme="minorEastAsia" w:hAnsiTheme="minorEastAsia" w:cs="宋体"/>
          <w:noProof/>
          <w:kern w:val="0"/>
          <w:szCs w:val="21"/>
        </w:rPr>
        <w:drawing>
          <wp:inline distT="0" distB="0" distL="0" distR="0">
            <wp:extent cx="4572000" cy="2743200"/>
            <wp:effectExtent l="0" t="0" r="0" b="0"/>
            <wp:docPr id="107"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F1718" w:rsidRDefault="004F1718" w:rsidP="005570E2">
      <w:pPr>
        <w:widowControl/>
        <w:shd w:val="clear" w:color="auto" w:fill="FFFFFF"/>
        <w:spacing w:afterLines="50" w:line="360" w:lineRule="auto"/>
        <w:ind w:firstLine="360"/>
        <w:jc w:val="left"/>
        <w:rPr>
          <w:rFonts w:asciiTheme="minorEastAsia" w:hAnsiTheme="minorEastAsia" w:cs="宋体"/>
          <w:kern w:val="0"/>
          <w:szCs w:val="21"/>
        </w:rPr>
      </w:pPr>
      <w:r w:rsidRPr="00E71F34">
        <w:rPr>
          <w:rFonts w:asciiTheme="minorEastAsia" w:hAnsiTheme="minorEastAsia" w:cs="宋体" w:hint="eastAsia"/>
          <w:kern w:val="0"/>
          <w:szCs w:val="21"/>
        </w:rPr>
        <w:t>从投资策略来看，2013年三季度成长资本、PIPE(投资上市公司)、房地产投资三种策略三分天下。在完成的109起投资中，成长资本共计投资交易75起，其中披露金额的67起案例共涉及资金16.13亿美元</w:t>
      </w:r>
      <w:r>
        <w:rPr>
          <w:rFonts w:asciiTheme="minorEastAsia" w:hAnsiTheme="minorEastAsia" w:cs="宋体" w:hint="eastAsia"/>
          <w:kern w:val="0"/>
          <w:szCs w:val="21"/>
        </w:rPr>
        <w:t>;</w:t>
      </w:r>
      <w:r w:rsidRPr="00E71F34">
        <w:rPr>
          <w:rFonts w:asciiTheme="minorEastAsia" w:hAnsiTheme="minorEastAsia" w:cs="宋体" w:hint="eastAsia"/>
          <w:kern w:val="0"/>
          <w:szCs w:val="21"/>
        </w:rPr>
        <w:t>PIPE与房地产投资分别发生投资交易16起和10起，披露金额的投资分别有15起和9起，其中房地产投资策略的单笔投资额达到1.06亿美元，远超其他两种投资策略，侧面反映出房地产投资的热度与受重视程度。</w:t>
      </w:r>
    </w:p>
    <w:p w:rsidR="0057362C" w:rsidRDefault="00AA6E68" w:rsidP="005570E2">
      <w:pPr>
        <w:widowControl/>
        <w:shd w:val="clear" w:color="auto" w:fill="FFFFFF"/>
        <w:spacing w:afterLines="50" w:line="360" w:lineRule="auto"/>
        <w:ind w:firstLine="360"/>
        <w:jc w:val="left"/>
        <w:rPr>
          <w:rFonts w:asciiTheme="minorEastAsia" w:hAnsiTheme="minorEastAsia" w:cs="宋体"/>
          <w:kern w:val="0"/>
          <w:szCs w:val="21"/>
        </w:rPr>
      </w:pPr>
      <w:r>
        <w:rPr>
          <w:rFonts w:asciiTheme="minorEastAsia" w:hAnsiTheme="minorEastAsia" w:cs="宋体"/>
          <w:noProof/>
          <w:kern w:val="0"/>
          <w:szCs w:val="21"/>
        </w:rPr>
        <w:pict>
          <v:shape id="_x0000_s2132" type="#_x0000_t202" style="position:absolute;left:0;text-align:left;margin-left:197.4pt;margin-top:152.4pt;width:114.75pt;height:21pt;z-index:251900928" strokecolor="white [3212]">
            <v:textbox>
              <w:txbxContent>
                <w:p w:rsidR="00832D5A" w:rsidRDefault="00832D5A" w:rsidP="00D96AFD">
                  <w:pPr>
                    <w:jc w:val="center"/>
                  </w:pPr>
                  <w:r>
                    <w:rPr>
                      <w:rFonts w:hint="eastAsia"/>
                    </w:rPr>
                    <w:t>第</w:t>
                  </w:r>
                  <w:r>
                    <w:rPr>
                      <w:rFonts w:hint="eastAsia"/>
                    </w:rPr>
                    <w:t>17</w:t>
                  </w:r>
                  <w:r>
                    <w:rPr>
                      <w:rFonts w:hint="eastAsia"/>
                    </w:rPr>
                    <w:t>页</w:t>
                  </w:r>
                </w:p>
              </w:txbxContent>
            </v:textbox>
          </v:shape>
        </w:pict>
      </w:r>
      <w:r w:rsidR="0057362C" w:rsidRPr="00E71F34">
        <w:rPr>
          <w:rFonts w:asciiTheme="minorEastAsia" w:hAnsiTheme="minorEastAsia" w:cs="宋体" w:hint="eastAsia"/>
          <w:bCs/>
          <w:kern w:val="0"/>
          <w:szCs w:val="21"/>
        </w:rPr>
        <w:t xml:space="preserve">　</w:t>
      </w:r>
      <w:r w:rsidR="0057362C" w:rsidRPr="00E71F34">
        <w:rPr>
          <w:rFonts w:asciiTheme="minorEastAsia" w:hAnsiTheme="minorEastAsia" w:cs="宋体" w:hint="eastAsia"/>
          <w:kern w:val="0"/>
          <w:szCs w:val="21"/>
        </w:rPr>
        <w:t>2013年三季度，私</w:t>
      </w:r>
      <w:proofErr w:type="gramStart"/>
      <w:r w:rsidR="0057362C" w:rsidRPr="00E71F34">
        <w:rPr>
          <w:rFonts w:asciiTheme="minorEastAsia" w:hAnsiTheme="minorEastAsia" w:cs="宋体" w:hint="eastAsia"/>
          <w:kern w:val="0"/>
          <w:szCs w:val="21"/>
        </w:rPr>
        <w:t>募股权投资</w:t>
      </w:r>
      <w:proofErr w:type="gramEnd"/>
      <w:r w:rsidR="0057362C" w:rsidRPr="00E71F34">
        <w:rPr>
          <w:rFonts w:asciiTheme="minorEastAsia" w:hAnsiTheme="minorEastAsia" w:cs="宋体" w:hint="eastAsia"/>
          <w:kern w:val="0"/>
          <w:szCs w:val="21"/>
        </w:rPr>
        <w:t>机构所投行业分布在20个</w:t>
      </w:r>
      <w:proofErr w:type="gramStart"/>
      <w:r w:rsidR="0057362C" w:rsidRPr="00E71F34">
        <w:rPr>
          <w:rFonts w:asciiTheme="minorEastAsia" w:hAnsiTheme="minorEastAsia" w:cs="宋体" w:hint="eastAsia"/>
          <w:kern w:val="0"/>
          <w:szCs w:val="21"/>
        </w:rPr>
        <w:t>一级行业</w:t>
      </w:r>
      <w:proofErr w:type="gramEnd"/>
      <w:r w:rsidR="0057362C" w:rsidRPr="00E71F34">
        <w:rPr>
          <w:rFonts w:asciiTheme="minorEastAsia" w:hAnsiTheme="minorEastAsia" w:cs="宋体" w:hint="eastAsia"/>
          <w:kern w:val="0"/>
          <w:szCs w:val="21"/>
        </w:rPr>
        <w:t>中，战略新兴产业较为集中的行业本季度投资活跃。其中</w:t>
      </w:r>
      <w:hyperlink r:id="rId44" w:tgtFrame="_blank" w:history="1">
        <w:r w:rsidR="0057362C" w:rsidRPr="00E71F34">
          <w:rPr>
            <w:rFonts w:asciiTheme="minorEastAsia" w:hAnsiTheme="minorEastAsia" w:cs="宋体" w:hint="eastAsia"/>
            <w:kern w:val="0"/>
            <w:szCs w:val="21"/>
          </w:rPr>
          <w:t>生物技术/医疗健康</w:t>
        </w:r>
      </w:hyperlink>
      <w:r w:rsidR="0057362C" w:rsidRPr="00E71F34">
        <w:rPr>
          <w:rFonts w:asciiTheme="minorEastAsia" w:hAnsiTheme="minorEastAsia" w:cs="宋体" w:hint="eastAsia"/>
          <w:kern w:val="0"/>
          <w:szCs w:val="21"/>
        </w:rPr>
        <w:t>以13起案例位居各行业之首，</w:t>
      </w:r>
      <w:hyperlink r:id="rId45" w:tgtFrame="_blank" w:history="1">
        <w:r w:rsidR="0057362C" w:rsidRPr="00E71F34">
          <w:rPr>
            <w:rFonts w:asciiTheme="minorEastAsia" w:hAnsiTheme="minorEastAsia" w:cs="宋体" w:hint="eastAsia"/>
            <w:kern w:val="0"/>
            <w:szCs w:val="21"/>
          </w:rPr>
          <w:t>互联网</w:t>
        </w:r>
      </w:hyperlink>
      <w:r w:rsidR="0057362C" w:rsidRPr="00E71F34">
        <w:rPr>
          <w:rFonts w:asciiTheme="minorEastAsia" w:hAnsiTheme="minorEastAsia" w:cs="宋体" w:hint="eastAsia"/>
          <w:kern w:val="0"/>
          <w:szCs w:val="21"/>
        </w:rPr>
        <w:t>行业以12起案例位居第二，</w:t>
      </w:r>
      <w:hyperlink r:id="rId46" w:tgtFrame="_blank" w:history="1">
        <w:r w:rsidR="0057362C" w:rsidRPr="00E71F34">
          <w:rPr>
            <w:rFonts w:asciiTheme="minorEastAsia" w:hAnsiTheme="minorEastAsia" w:cs="宋体" w:hint="eastAsia"/>
            <w:kern w:val="0"/>
            <w:szCs w:val="21"/>
          </w:rPr>
          <w:t>清洁技术</w:t>
        </w:r>
      </w:hyperlink>
      <w:r w:rsidR="0057362C" w:rsidRPr="00E71F34">
        <w:rPr>
          <w:rFonts w:asciiTheme="minorEastAsia" w:hAnsiTheme="minorEastAsia" w:cs="宋体" w:hint="eastAsia"/>
          <w:kern w:val="0"/>
          <w:szCs w:val="21"/>
        </w:rPr>
        <w:t>、</w:t>
      </w:r>
      <w:hyperlink r:id="rId47" w:tgtFrame="_blank" w:history="1">
        <w:r w:rsidR="0057362C" w:rsidRPr="00E71F34">
          <w:rPr>
            <w:rFonts w:asciiTheme="minorEastAsia" w:hAnsiTheme="minorEastAsia" w:cs="宋体" w:hint="eastAsia"/>
            <w:kern w:val="0"/>
            <w:szCs w:val="21"/>
          </w:rPr>
          <w:t>电信及增值业务</w:t>
        </w:r>
      </w:hyperlink>
      <w:r w:rsidR="0057362C" w:rsidRPr="00E71F34">
        <w:rPr>
          <w:rFonts w:asciiTheme="minorEastAsia" w:hAnsiTheme="minorEastAsia" w:cs="宋体" w:hint="eastAsia"/>
          <w:kern w:val="0"/>
          <w:szCs w:val="21"/>
        </w:rPr>
        <w:t>行业各以11起投资并列第三，均超过了热门的房地产行业。</w:t>
      </w:r>
      <w:hyperlink r:id="rId48" w:tgtFrame="_blank" w:history="1">
        <w:r w:rsidR="0057362C" w:rsidRPr="00E71F34">
          <w:rPr>
            <w:rFonts w:asciiTheme="minorEastAsia" w:hAnsiTheme="minorEastAsia" w:cs="宋体" w:hint="eastAsia"/>
            <w:kern w:val="0"/>
            <w:szCs w:val="21"/>
          </w:rPr>
          <w:t>IT</w:t>
        </w:r>
      </w:hyperlink>
      <w:r w:rsidR="0057362C" w:rsidRPr="00E71F34">
        <w:rPr>
          <w:rFonts w:asciiTheme="minorEastAsia" w:hAnsiTheme="minorEastAsia" w:cs="宋体" w:hint="eastAsia"/>
          <w:kern w:val="0"/>
          <w:szCs w:val="21"/>
        </w:rPr>
        <w:t>、电子及</w:t>
      </w:r>
      <w:hyperlink r:id="rId49" w:tgtFrame="_blank" w:history="1">
        <w:r w:rsidR="0057362C" w:rsidRPr="00E71F34">
          <w:rPr>
            <w:rFonts w:asciiTheme="minorEastAsia" w:hAnsiTheme="minorEastAsia" w:cs="宋体" w:hint="eastAsia"/>
            <w:kern w:val="0"/>
            <w:szCs w:val="21"/>
          </w:rPr>
          <w:t>光电</w:t>
        </w:r>
      </w:hyperlink>
      <w:r w:rsidR="0057362C" w:rsidRPr="00E71F34">
        <w:rPr>
          <w:rFonts w:asciiTheme="minorEastAsia" w:hAnsiTheme="minorEastAsia" w:cs="宋体" w:hint="eastAsia"/>
          <w:kern w:val="0"/>
          <w:szCs w:val="21"/>
        </w:rPr>
        <w:t>设备行业本季度也各获得8起投资。而此前较受追捧的如</w:t>
      </w:r>
      <w:hyperlink r:id="rId50" w:tgtFrame="_blank" w:history="1">
        <w:r w:rsidR="0057362C" w:rsidRPr="00E71F34">
          <w:rPr>
            <w:rFonts w:asciiTheme="minorEastAsia" w:hAnsiTheme="minorEastAsia" w:cs="宋体" w:hint="eastAsia"/>
            <w:kern w:val="0"/>
            <w:szCs w:val="21"/>
          </w:rPr>
          <w:t>能源及矿产</w:t>
        </w:r>
      </w:hyperlink>
      <w:r w:rsidR="0057362C" w:rsidRPr="00E71F34">
        <w:rPr>
          <w:rFonts w:asciiTheme="minorEastAsia" w:hAnsiTheme="minorEastAsia" w:cs="宋体" w:hint="eastAsia"/>
          <w:kern w:val="0"/>
          <w:szCs w:val="21"/>
        </w:rPr>
        <w:t>、</w:t>
      </w:r>
      <w:hyperlink r:id="rId51" w:tgtFrame="_blank" w:history="1">
        <w:r w:rsidR="0057362C" w:rsidRPr="00E71F34">
          <w:rPr>
            <w:rFonts w:asciiTheme="minorEastAsia" w:hAnsiTheme="minorEastAsia" w:cs="宋体" w:hint="eastAsia"/>
            <w:kern w:val="0"/>
            <w:szCs w:val="21"/>
          </w:rPr>
          <w:t>农/林/牧/渔</w:t>
        </w:r>
      </w:hyperlink>
      <w:r w:rsidR="0057362C" w:rsidRPr="00E71F34">
        <w:rPr>
          <w:rFonts w:asciiTheme="minorEastAsia" w:hAnsiTheme="minorEastAsia" w:cs="宋体" w:hint="eastAsia"/>
          <w:kern w:val="0"/>
          <w:szCs w:val="21"/>
        </w:rPr>
        <w:t>、</w:t>
      </w:r>
      <w:hyperlink r:id="rId52" w:tgtFrame="_blank" w:history="1">
        <w:r w:rsidR="0057362C" w:rsidRPr="00E71F34">
          <w:rPr>
            <w:rFonts w:asciiTheme="minorEastAsia" w:hAnsiTheme="minorEastAsia" w:cs="宋体" w:hint="eastAsia"/>
            <w:kern w:val="0"/>
            <w:szCs w:val="21"/>
          </w:rPr>
          <w:t>化工原料及加工</w:t>
        </w:r>
      </w:hyperlink>
      <w:r w:rsidR="0057362C" w:rsidRPr="00E71F34">
        <w:rPr>
          <w:rFonts w:asciiTheme="minorEastAsia" w:hAnsiTheme="minorEastAsia" w:cs="宋体" w:hint="eastAsia"/>
          <w:kern w:val="0"/>
          <w:szCs w:val="21"/>
        </w:rPr>
        <w:t>等传统行业本季度投资案例数偏少。</w:t>
      </w:r>
    </w:p>
    <w:p w:rsidR="004F1718" w:rsidRPr="00E000FF" w:rsidRDefault="00CD07F8" w:rsidP="005570E2">
      <w:pPr>
        <w:widowControl/>
        <w:shd w:val="clear" w:color="auto" w:fill="FFFFFF"/>
        <w:spacing w:afterLines="50" w:line="360" w:lineRule="auto"/>
        <w:ind w:firstLine="360"/>
        <w:jc w:val="center"/>
        <w:rPr>
          <w:rFonts w:asciiTheme="minorEastAsia" w:hAnsiTheme="minorEastAsia" w:cs="宋体"/>
          <w:kern w:val="0"/>
          <w:szCs w:val="21"/>
        </w:rPr>
      </w:pPr>
      <w:r>
        <w:rPr>
          <w:rFonts w:asciiTheme="minorEastAsia" w:hAnsiTheme="minorEastAsia" w:cs="宋体" w:hint="eastAsia"/>
          <w:noProof/>
          <w:kern w:val="0"/>
          <w:szCs w:val="21"/>
        </w:rPr>
        <w:lastRenderedPageBreak/>
        <w:drawing>
          <wp:anchor distT="0" distB="0" distL="114300" distR="114300" simplePos="0" relativeHeight="251850752" behindDoc="1" locked="0" layoutInCell="1" allowOverlap="1">
            <wp:simplePos x="0" y="0"/>
            <wp:positionH relativeFrom="column">
              <wp:posOffset>-683895</wp:posOffset>
            </wp:positionH>
            <wp:positionV relativeFrom="paragraph">
              <wp:posOffset>-1430655</wp:posOffset>
            </wp:positionV>
            <wp:extent cx="7581900" cy="10725150"/>
            <wp:effectExtent l="19050" t="0" r="0" b="0"/>
            <wp:wrapNone/>
            <wp:docPr id="112"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004F1718" w:rsidRPr="00E000FF">
        <w:rPr>
          <w:rFonts w:asciiTheme="minorEastAsia" w:hAnsiTheme="minorEastAsia" w:cs="宋体" w:hint="eastAsia"/>
          <w:kern w:val="0"/>
          <w:szCs w:val="21"/>
        </w:rPr>
        <w:t>图</w:t>
      </w:r>
      <w:r w:rsidR="004F1718">
        <w:rPr>
          <w:rFonts w:asciiTheme="minorEastAsia" w:hAnsiTheme="minorEastAsia" w:cs="宋体" w:hint="eastAsia"/>
          <w:kern w:val="0"/>
          <w:szCs w:val="21"/>
        </w:rPr>
        <w:t>29</w:t>
      </w:r>
      <w:r w:rsidR="004F1718" w:rsidRPr="00E000FF">
        <w:rPr>
          <w:rFonts w:asciiTheme="minorEastAsia" w:hAnsiTheme="minorEastAsia" w:cs="宋体" w:hint="eastAsia"/>
          <w:kern w:val="0"/>
          <w:szCs w:val="21"/>
        </w:rPr>
        <w:t>：2013年三季度中国私</w:t>
      </w:r>
      <w:proofErr w:type="gramStart"/>
      <w:r w:rsidR="004F1718" w:rsidRPr="00E000FF">
        <w:rPr>
          <w:rFonts w:asciiTheme="minorEastAsia" w:hAnsiTheme="minorEastAsia" w:cs="宋体" w:hint="eastAsia"/>
          <w:kern w:val="0"/>
          <w:szCs w:val="21"/>
        </w:rPr>
        <w:t>募股权投资</w:t>
      </w:r>
      <w:proofErr w:type="gramEnd"/>
      <w:r w:rsidR="004F1718" w:rsidRPr="00E000FF">
        <w:rPr>
          <w:rFonts w:asciiTheme="minorEastAsia" w:hAnsiTheme="minorEastAsia" w:cs="宋体" w:hint="eastAsia"/>
          <w:kern w:val="0"/>
          <w:szCs w:val="21"/>
        </w:rPr>
        <w:t>市场投资策略统计（按投资金额）</w:t>
      </w:r>
    </w:p>
    <w:p w:rsidR="004F1718" w:rsidRPr="00E71F34" w:rsidRDefault="004F1718" w:rsidP="005570E2">
      <w:pPr>
        <w:widowControl/>
        <w:shd w:val="clear" w:color="auto" w:fill="FFFFFF"/>
        <w:spacing w:afterLines="50" w:line="360" w:lineRule="auto"/>
        <w:ind w:firstLine="360"/>
        <w:jc w:val="center"/>
        <w:rPr>
          <w:rFonts w:asciiTheme="minorEastAsia" w:hAnsiTheme="minorEastAsia" w:cs="宋体"/>
          <w:kern w:val="0"/>
          <w:szCs w:val="21"/>
        </w:rPr>
      </w:pPr>
      <w:r w:rsidRPr="00E000FF">
        <w:rPr>
          <w:rFonts w:asciiTheme="minorEastAsia" w:hAnsiTheme="minorEastAsia" w:cs="宋体"/>
          <w:noProof/>
          <w:kern w:val="0"/>
          <w:szCs w:val="21"/>
        </w:rPr>
        <w:drawing>
          <wp:inline distT="0" distB="0" distL="0" distR="0">
            <wp:extent cx="4038600" cy="2476500"/>
            <wp:effectExtent l="0" t="0" r="0" b="0"/>
            <wp:docPr id="108"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F1718" w:rsidRDefault="004F1718" w:rsidP="005570E2">
      <w:pPr>
        <w:widowControl/>
        <w:shd w:val="clear" w:color="auto" w:fill="FFFFFF"/>
        <w:spacing w:afterLines="50" w:line="360" w:lineRule="auto"/>
        <w:ind w:firstLine="420"/>
        <w:jc w:val="left"/>
        <w:rPr>
          <w:rFonts w:asciiTheme="minorEastAsia" w:hAnsiTheme="minorEastAsia" w:cs="宋体"/>
          <w:kern w:val="0"/>
          <w:szCs w:val="21"/>
        </w:rPr>
      </w:pPr>
      <w:r w:rsidRPr="00E71F34">
        <w:rPr>
          <w:rFonts w:asciiTheme="minorEastAsia" w:hAnsiTheme="minorEastAsia" w:cs="宋体" w:hint="eastAsia"/>
          <w:kern w:val="0"/>
          <w:szCs w:val="21"/>
        </w:rPr>
        <w:t>投资金额方面，房地产行业再次展示了强大的吸金能力，以9.50亿美元排名榜首;而</w:t>
      </w:r>
      <w:hyperlink r:id="rId54" w:tgtFrame="_blank" w:history="1">
        <w:r w:rsidRPr="00E71F34">
          <w:rPr>
            <w:rFonts w:asciiTheme="minorEastAsia" w:hAnsiTheme="minorEastAsia" w:cs="宋体" w:hint="eastAsia"/>
            <w:kern w:val="0"/>
            <w:szCs w:val="21"/>
          </w:rPr>
          <w:t>物流</w:t>
        </w:r>
      </w:hyperlink>
      <w:r w:rsidRPr="00E71F34">
        <w:rPr>
          <w:rFonts w:asciiTheme="minorEastAsia" w:hAnsiTheme="minorEastAsia" w:cs="宋体" w:hint="eastAsia"/>
          <w:kern w:val="0"/>
          <w:szCs w:val="21"/>
        </w:rPr>
        <w:t>行业则凭借</w:t>
      </w:r>
      <w:hyperlink r:id="rId55" w:tgtFrame="_blank" w:history="1">
        <w:r w:rsidRPr="00E71F34">
          <w:rPr>
            <w:rFonts w:asciiTheme="minorEastAsia" w:hAnsiTheme="minorEastAsia" w:cs="宋体" w:hint="eastAsia"/>
            <w:kern w:val="0"/>
            <w:szCs w:val="21"/>
          </w:rPr>
          <w:t>中</w:t>
        </w:r>
        <w:proofErr w:type="gramStart"/>
        <w:r w:rsidRPr="00E71F34">
          <w:rPr>
            <w:rFonts w:asciiTheme="minorEastAsia" w:hAnsiTheme="minorEastAsia" w:cs="宋体" w:hint="eastAsia"/>
            <w:kern w:val="0"/>
            <w:szCs w:val="21"/>
          </w:rPr>
          <w:t>信资本</w:t>
        </w:r>
        <w:proofErr w:type="gramEnd"/>
      </w:hyperlink>
      <w:r w:rsidRPr="00E71F34">
        <w:rPr>
          <w:rFonts w:asciiTheme="minorEastAsia" w:hAnsiTheme="minorEastAsia" w:cs="宋体" w:hint="eastAsia"/>
          <w:kern w:val="0"/>
          <w:szCs w:val="21"/>
        </w:rPr>
        <w:t>、招商局集团等机构对顺丰速运的大额投资，位列金额榜第二位;</w:t>
      </w:r>
      <w:hyperlink r:id="rId56" w:tgtFrame="_blank" w:history="1">
        <w:r w:rsidRPr="00E71F34">
          <w:rPr>
            <w:rFonts w:asciiTheme="minorEastAsia" w:hAnsiTheme="minorEastAsia" w:cs="宋体" w:hint="eastAsia"/>
            <w:kern w:val="0"/>
            <w:szCs w:val="21"/>
          </w:rPr>
          <w:t>化工原料及加工</w:t>
        </w:r>
      </w:hyperlink>
      <w:r w:rsidRPr="00E71F34">
        <w:rPr>
          <w:rFonts w:asciiTheme="minorEastAsia" w:hAnsiTheme="minorEastAsia" w:cs="宋体" w:hint="eastAsia"/>
          <w:kern w:val="0"/>
          <w:szCs w:val="21"/>
        </w:rPr>
        <w:t>行业排在第三名。前三名行业所获投资金额超过20.00亿美元，约占全部投资金额的七成，遥遥领先其他行业，资金行业集中度较高。</w:t>
      </w:r>
    </w:p>
    <w:p w:rsidR="0057362C" w:rsidRPr="00E71F34" w:rsidRDefault="0057362C" w:rsidP="005570E2">
      <w:pPr>
        <w:widowControl/>
        <w:shd w:val="clear" w:color="auto" w:fill="FFFFFF"/>
        <w:spacing w:afterLines="50" w:line="360" w:lineRule="auto"/>
        <w:jc w:val="left"/>
        <w:rPr>
          <w:rFonts w:asciiTheme="minorEastAsia" w:hAnsiTheme="minorEastAsia" w:cs="宋体"/>
          <w:kern w:val="0"/>
          <w:szCs w:val="21"/>
        </w:rPr>
      </w:pPr>
      <w:r w:rsidRPr="00E71F34">
        <w:rPr>
          <w:rFonts w:asciiTheme="minorEastAsia" w:hAnsiTheme="minorEastAsia" w:cs="宋体" w:hint="eastAsia"/>
          <w:kern w:val="0"/>
          <w:szCs w:val="21"/>
        </w:rPr>
        <w:t xml:space="preserve">　2013年三季度，境内IPO空窗期依旧延续，受此影响，本季共发生退出案例19笔，涉及企业14家。从退出方式来看，并购退出8笔，涉及6家企业;境外IPO退出7笔，其中NASDAQ和香港主板各3笔，另一笔退出发生在</w:t>
      </w:r>
      <w:proofErr w:type="gramStart"/>
      <w:r w:rsidRPr="00E71F34">
        <w:rPr>
          <w:rFonts w:asciiTheme="minorEastAsia" w:hAnsiTheme="minorEastAsia" w:cs="宋体" w:hint="eastAsia"/>
          <w:kern w:val="0"/>
          <w:szCs w:val="21"/>
        </w:rPr>
        <w:t>纽</w:t>
      </w:r>
      <w:proofErr w:type="gramEnd"/>
      <w:r w:rsidRPr="00E71F34">
        <w:rPr>
          <w:rFonts w:asciiTheme="minorEastAsia" w:hAnsiTheme="minorEastAsia" w:cs="宋体" w:hint="eastAsia"/>
          <w:kern w:val="0"/>
          <w:szCs w:val="21"/>
        </w:rPr>
        <w:t>交所，共涉及企业4家。此外，有3笔退出采用其他方式退出，退出主体为房地产基金，另有一笔退出未披露退出方式。</w:t>
      </w:r>
    </w:p>
    <w:p w:rsidR="0057362C" w:rsidRPr="008B1D03" w:rsidRDefault="0057362C" w:rsidP="005570E2">
      <w:pPr>
        <w:widowControl/>
        <w:shd w:val="clear" w:color="auto" w:fill="FFFFFF"/>
        <w:spacing w:afterLines="50" w:line="360" w:lineRule="auto"/>
        <w:ind w:firstLine="420"/>
        <w:jc w:val="left"/>
        <w:rPr>
          <w:rFonts w:asciiTheme="minorEastAsia" w:hAnsiTheme="minorEastAsia" w:cs="宋体"/>
          <w:kern w:val="0"/>
          <w:szCs w:val="21"/>
        </w:rPr>
      </w:pPr>
      <w:r w:rsidRPr="00E71F34">
        <w:rPr>
          <w:rFonts w:asciiTheme="minorEastAsia" w:hAnsiTheme="minorEastAsia" w:cs="宋体" w:hint="eastAsia"/>
          <w:kern w:val="0"/>
          <w:szCs w:val="21"/>
        </w:rPr>
        <w:t>从退出行业分布分析，实体行业获得退出较多，</w:t>
      </w:r>
      <w:hyperlink r:id="rId57" w:tgtFrame="_blank" w:history="1">
        <w:r w:rsidRPr="00E71F34">
          <w:rPr>
            <w:rFonts w:asciiTheme="minorEastAsia" w:hAnsiTheme="minorEastAsia" w:cs="宋体" w:hint="eastAsia"/>
            <w:kern w:val="0"/>
            <w:szCs w:val="21"/>
          </w:rPr>
          <w:t>机械制造</w:t>
        </w:r>
      </w:hyperlink>
      <w:r w:rsidRPr="00E71F34">
        <w:rPr>
          <w:rFonts w:asciiTheme="minorEastAsia" w:hAnsiTheme="minorEastAsia" w:cs="宋体" w:hint="eastAsia"/>
          <w:kern w:val="0"/>
          <w:szCs w:val="21"/>
        </w:rPr>
        <w:t>、房地产分别有5笔及4笔退出，食品&amp;饮料、</w:t>
      </w:r>
      <w:hyperlink r:id="rId58" w:tgtFrame="_blank" w:history="1">
        <w:r w:rsidRPr="00E71F34">
          <w:rPr>
            <w:rFonts w:asciiTheme="minorEastAsia" w:hAnsiTheme="minorEastAsia" w:cs="宋体" w:hint="eastAsia"/>
            <w:kern w:val="0"/>
            <w:szCs w:val="21"/>
          </w:rPr>
          <w:t>半导体</w:t>
        </w:r>
      </w:hyperlink>
      <w:r w:rsidRPr="00E71F34">
        <w:rPr>
          <w:rFonts w:asciiTheme="minorEastAsia" w:hAnsiTheme="minorEastAsia" w:cs="宋体" w:hint="eastAsia"/>
          <w:kern w:val="0"/>
          <w:szCs w:val="21"/>
        </w:rPr>
        <w:t>、</w:t>
      </w:r>
      <w:hyperlink r:id="rId59" w:tgtFrame="_blank" w:history="1">
        <w:r w:rsidRPr="00E71F34">
          <w:rPr>
            <w:rFonts w:asciiTheme="minorEastAsia" w:hAnsiTheme="minorEastAsia" w:cs="宋体" w:hint="eastAsia"/>
            <w:kern w:val="0"/>
            <w:szCs w:val="21"/>
          </w:rPr>
          <w:t>生物技术/医疗健康</w:t>
        </w:r>
      </w:hyperlink>
      <w:r w:rsidRPr="00E71F34">
        <w:rPr>
          <w:rFonts w:asciiTheme="minorEastAsia" w:hAnsiTheme="minorEastAsia" w:cs="宋体" w:hint="eastAsia"/>
          <w:kern w:val="0"/>
          <w:szCs w:val="21"/>
        </w:rPr>
        <w:t>行业各发生3笔退出。</w:t>
      </w:r>
    </w:p>
    <w:p w:rsidR="00011E0A" w:rsidRDefault="00011E0A" w:rsidP="005570E2">
      <w:pPr>
        <w:widowControl/>
        <w:shd w:val="clear" w:color="auto" w:fill="FFFFFF"/>
        <w:spacing w:afterLines="50" w:line="360" w:lineRule="auto"/>
        <w:rPr>
          <w:rFonts w:asciiTheme="minorEastAsia" w:hAnsiTheme="minorEastAsia" w:cs="宋体"/>
          <w:kern w:val="0"/>
          <w:szCs w:val="21"/>
        </w:rPr>
      </w:pPr>
    </w:p>
    <w:p w:rsidR="00011E0A" w:rsidRDefault="00011E0A" w:rsidP="005570E2">
      <w:pPr>
        <w:widowControl/>
        <w:shd w:val="clear" w:color="auto" w:fill="FFFFFF"/>
        <w:spacing w:afterLines="50" w:line="360" w:lineRule="auto"/>
        <w:rPr>
          <w:rFonts w:asciiTheme="minorEastAsia" w:hAnsiTheme="minorEastAsia" w:cs="宋体"/>
          <w:kern w:val="0"/>
          <w:szCs w:val="21"/>
        </w:rPr>
      </w:pPr>
    </w:p>
    <w:p w:rsidR="00011E0A" w:rsidRDefault="00011E0A" w:rsidP="005570E2">
      <w:pPr>
        <w:widowControl/>
        <w:shd w:val="clear" w:color="auto" w:fill="FFFFFF"/>
        <w:spacing w:afterLines="50" w:line="360" w:lineRule="auto"/>
        <w:rPr>
          <w:rFonts w:asciiTheme="minorEastAsia" w:hAnsiTheme="minorEastAsia" w:cs="宋体"/>
          <w:kern w:val="0"/>
          <w:szCs w:val="21"/>
        </w:rPr>
      </w:pPr>
    </w:p>
    <w:p w:rsidR="00011E0A" w:rsidRDefault="00011E0A" w:rsidP="005570E2">
      <w:pPr>
        <w:widowControl/>
        <w:shd w:val="clear" w:color="auto" w:fill="FFFFFF"/>
        <w:spacing w:afterLines="50" w:line="360" w:lineRule="auto"/>
        <w:rPr>
          <w:rFonts w:asciiTheme="minorEastAsia" w:hAnsiTheme="minorEastAsia" w:cs="宋体"/>
          <w:kern w:val="0"/>
          <w:szCs w:val="21"/>
        </w:rPr>
      </w:pPr>
    </w:p>
    <w:p w:rsidR="00011E0A" w:rsidRDefault="00AA6E68" w:rsidP="005570E2">
      <w:pPr>
        <w:widowControl/>
        <w:shd w:val="clear" w:color="auto" w:fill="FFFFFF"/>
        <w:spacing w:afterLines="50" w:line="360" w:lineRule="auto"/>
        <w:rPr>
          <w:rFonts w:asciiTheme="minorEastAsia" w:hAnsiTheme="minorEastAsia" w:cs="宋体"/>
          <w:kern w:val="0"/>
          <w:szCs w:val="21"/>
        </w:rPr>
      </w:pPr>
      <w:r>
        <w:rPr>
          <w:rFonts w:asciiTheme="minorEastAsia" w:hAnsiTheme="minorEastAsia" w:cs="宋体"/>
          <w:noProof/>
          <w:kern w:val="0"/>
          <w:szCs w:val="21"/>
        </w:rPr>
        <w:pict>
          <v:shape id="_x0000_s2133" type="#_x0000_t202" style="position:absolute;left:0;text-align:left;margin-left:209.4pt;margin-top:63.6pt;width:96.75pt;height:23.25pt;z-index:251901952" strokecolor="white [3212]">
            <v:textbox>
              <w:txbxContent>
                <w:p w:rsidR="00832D5A" w:rsidRDefault="00832D5A" w:rsidP="00D96AFD">
                  <w:pPr>
                    <w:jc w:val="center"/>
                  </w:pPr>
                  <w:r>
                    <w:rPr>
                      <w:rFonts w:hint="eastAsia"/>
                    </w:rPr>
                    <w:t>第</w:t>
                  </w:r>
                  <w:r>
                    <w:rPr>
                      <w:rFonts w:hint="eastAsia"/>
                    </w:rPr>
                    <w:t>18</w:t>
                  </w:r>
                  <w:r>
                    <w:rPr>
                      <w:rFonts w:hint="eastAsia"/>
                    </w:rPr>
                    <w:t>页</w:t>
                  </w:r>
                </w:p>
              </w:txbxContent>
            </v:textbox>
          </v:shape>
        </w:pict>
      </w:r>
    </w:p>
    <w:p w:rsidR="004F1718" w:rsidRPr="002C1486" w:rsidRDefault="00011E0A" w:rsidP="005570E2">
      <w:pPr>
        <w:widowControl/>
        <w:shd w:val="clear" w:color="auto" w:fill="FFFFFF"/>
        <w:spacing w:afterLines="50" w:line="360" w:lineRule="auto"/>
        <w:rPr>
          <w:rFonts w:asciiTheme="minorEastAsia" w:hAnsiTheme="minorEastAsia" w:cs="宋体"/>
          <w:kern w:val="0"/>
          <w:szCs w:val="21"/>
        </w:rPr>
      </w:pPr>
      <w:r>
        <w:rPr>
          <w:rFonts w:asciiTheme="minorEastAsia" w:hAnsiTheme="minorEastAsia" w:cs="宋体"/>
          <w:noProof/>
          <w:kern w:val="0"/>
          <w:szCs w:val="21"/>
        </w:rPr>
        <w:lastRenderedPageBreak/>
        <w:drawing>
          <wp:anchor distT="0" distB="0" distL="114300" distR="114300" simplePos="0" relativeHeight="251852800" behindDoc="1" locked="0" layoutInCell="1" allowOverlap="1">
            <wp:simplePos x="0" y="0"/>
            <wp:positionH relativeFrom="column">
              <wp:posOffset>-683895</wp:posOffset>
            </wp:positionH>
            <wp:positionV relativeFrom="paragraph">
              <wp:posOffset>-1430655</wp:posOffset>
            </wp:positionV>
            <wp:extent cx="7581900" cy="10725150"/>
            <wp:effectExtent l="19050" t="0" r="0" b="0"/>
            <wp:wrapNone/>
            <wp:docPr id="113"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004F1718">
        <w:rPr>
          <w:rFonts w:asciiTheme="minorEastAsia" w:hAnsiTheme="minorEastAsia" w:cs="宋体" w:hint="eastAsia"/>
          <w:kern w:val="0"/>
          <w:szCs w:val="21"/>
        </w:rPr>
        <w:t>图30：三季度PE市场行业投资分布（按案例数）    图31：三季度PE市场行业投资分布（</w:t>
      </w:r>
      <w:r w:rsidR="004F1718" w:rsidRPr="00E000FF">
        <w:rPr>
          <w:rFonts w:asciiTheme="minorEastAsia" w:hAnsiTheme="minorEastAsia" w:cs="宋体" w:hint="eastAsia"/>
          <w:kern w:val="0"/>
          <w:szCs w:val="21"/>
        </w:rPr>
        <w:t>按投资金额</w:t>
      </w:r>
      <w:r w:rsidR="004F1718">
        <w:rPr>
          <w:rFonts w:asciiTheme="minorEastAsia" w:hAnsiTheme="minorEastAsia" w:cs="宋体" w:hint="eastAsia"/>
          <w:kern w:val="0"/>
          <w:szCs w:val="21"/>
        </w:rPr>
        <w:t>）</w:t>
      </w:r>
    </w:p>
    <w:p w:rsidR="004F1718" w:rsidRPr="008B1D03" w:rsidRDefault="004F1718" w:rsidP="005570E2">
      <w:pPr>
        <w:widowControl/>
        <w:shd w:val="clear" w:color="auto" w:fill="FFFFFF"/>
        <w:spacing w:afterLines="50" w:line="360" w:lineRule="auto"/>
        <w:jc w:val="center"/>
        <w:rPr>
          <w:rFonts w:asciiTheme="minorEastAsia" w:hAnsiTheme="minorEastAsia" w:cs="宋体"/>
          <w:kern w:val="0"/>
          <w:szCs w:val="21"/>
        </w:rPr>
      </w:pPr>
      <w:r w:rsidRPr="002C1486">
        <w:rPr>
          <w:rFonts w:asciiTheme="minorEastAsia" w:hAnsiTheme="minorEastAsia" w:cs="宋体"/>
          <w:noProof/>
          <w:kern w:val="0"/>
          <w:szCs w:val="21"/>
        </w:rPr>
        <w:drawing>
          <wp:inline distT="0" distB="0" distL="0" distR="0">
            <wp:extent cx="2819400" cy="3829050"/>
            <wp:effectExtent l="19050" t="0" r="19050" b="0"/>
            <wp:docPr id="109"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3D1D90">
        <w:rPr>
          <w:rFonts w:asciiTheme="minorEastAsia" w:hAnsiTheme="minorEastAsia" w:cs="宋体"/>
          <w:noProof/>
          <w:kern w:val="0"/>
          <w:szCs w:val="21"/>
        </w:rPr>
        <w:drawing>
          <wp:inline distT="0" distB="0" distL="0" distR="0">
            <wp:extent cx="2990850" cy="3829050"/>
            <wp:effectExtent l="19050" t="0" r="19050" b="0"/>
            <wp:docPr id="5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F1718" w:rsidRPr="00A62161" w:rsidRDefault="004F1718" w:rsidP="004F1718">
      <w:pPr>
        <w:pStyle w:val="a7"/>
        <w:numPr>
          <w:ilvl w:val="0"/>
          <w:numId w:val="7"/>
        </w:numPr>
        <w:spacing w:line="360" w:lineRule="auto"/>
        <w:ind w:firstLineChars="0"/>
        <w:rPr>
          <w:rFonts w:asciiTheme="minorEastAsia" w:hAnsiTheme="minorEastAsia"/>
          <w:b/>
          <w:sz w:val="24"/>
          <w:szCs w:val="24"/>
        </w:rPr>
      </w:pPr>
      <w:r w:rsidRPr="00A62161">
        <w:rPr>
          <w:rFonts w:asciiTheme="minorEastAsia" w:hAnsiTheme="minorEastAsia" w:hint="eastAsia"/>
          <w:b/>
          <w:sz w:val="24"/>
          <w:szCs w:val="24"/>
        </w:rPr>
        <w:t>物</w:t>
      </w:r>
      <w:proofErr w:type="gramStart"/>
      <w:r w:rsidRPr="00A62161">
        <w:rPr>
          <w:rFonts w:asciiTheme="minorEastAsia" w:hAnsiTheme="minorEastAsia" w:hint="eastAsia"/>
          <w:b/>
          <w:sz w:val="24"/>
          <w:szCs w:val="24"/>
        </w:rPr>
        <w:t>权投资</w:t>
      </w:r>
      <w:proofErr w:type="gramEnd"/>
      <w:r w:rsidRPr="00A62161">
        <w:rPr>
          <w:rFonts w:asciiTheme="minorEastAsia" w:hAnsiTheme="minorEastAsia" w:hint="eastAsia"/>
          <w:b/>
          <w:sz w:val="24"/>
          <w:szCs w:val="24"/>
        </w:rPr>
        <w:t>市场</w:t>
      </w:r>
      <w:r w:rsidR="00453D44">
        <w:rPr>
          <w:rFonts w:asciiTheme="minorEastAsia" w:hAnsiTheme="minorEastAsia" w:hint="eastAsia"/>
          <w:b/>
          <w:sz w:val="24"/>
          <w:szCs w:val="24"/>
        </w:rPr>
        <w:t>——关注流动性，上升动力犹存</w:t>
      </w:r>
    </w:p>
    <w:p w:rsidR="004F1718" w:rsidRDefault="004F1718" w:rsidP="004F1718">
      <w:pPr>
        <w:spacing w:line="360" w:lineRule="auto"/>
        <w:rPr>
          <w:rFonts w:asciiTheme="minorEastAsia" w:hAnsiTheme="minorEastAsia"/>
          <w:szCs w:val="21"/>
        </w:rPr>
      </w:pPr>
      <w:r>
        <w:rPr>
          <w:rFonts w:asciiTheme="minorEastAsia" w:hAnsiTheme="minorEastAsia" w:hint="eastAsia"/>
          <w:szCs w:val="21"/>
        </w:rPr>
        <w:t>（一）、房地产市场</w:t>
      </w:r>
      <w:r w:rsidR="00E02189">
        <w:rPr>
          <w:rFonts w:asciiTheme="minorEastAsia" w:hAnsiTheme="minorEastAsia" w:hint="eastAsia"/>
          <w:szCs w:val="21"/>
        </w:rPr>
        <w:t>增速基本平稳</w:t>
      </w:r>
    </w:p>
    <w:p w:rsidR="004F1718" w:rsidRDefault="004F1718" w:rsidP="005570E2">
      <w:pPr>
        <w:spacing w:afterLines="50" w:line="360" w:lineRule="auto"/>
        <w:ind w:firstLineChars="200" w:firstLine="420"/>
        <w:jc w:val="left"/>
        <w:rPr>
          <w:rFonts w:asciiTheme="minorEastAsia" w:hAnsiTheme="minorEastAsia" w:cs="楷体_GB2312"/>
          <w:kern w:val="0"/>
          <w:szCs w:val="21"/>
        </w:rPr>
      </w:pPr>
      <w:r w:rsidRPr="00F52B01">
        <w:rPr>
          <w:rFonts w:asciiTheme="minorEastAsia" w:hAnsiTheme="minorEastAsia" w:cs="楷体_GB2312"/>
          <w:kern w:val="0"/>
          <w:szCs w:val="21"/>
        </w:rPr>
        <w:t>1-9</w:t>
      </w:r>
      <w:r w:rsidRPr="00F52B01">
        <w:rPr>
          <w:rFonts w:asciiTheme="minorEastAsia" w:hAnsiTheme="minorEastAsia" w:cs="楷体_GB2312" w:hint="eastAsia"/>
          <w:kern w:val="0"/>
          <w:szCs w:val="21"/>
        </w:rPr>
        <w:t>月全国商品房</w:t>
      </w:r>
      <w:r>
        <w:rPr>
          <w:rFonts w:asciiTheme="minorEastAsia" w:hAnsiTheme="minorEastAsia" w:cs="楷体_GB2312" w:hint="eastAsia"/>
          <w:kern w:val="0"/>
          <w:szCs w:val="21"/>
        </w:rPr>
        <w:t>累计</w:t>
      </w:r>
      <w:r w:rsidRPr="00F52B01">
        <w:rPr>
          <w:rFonts w:asciiTheme="minorEastAsia" w:hAnsiTheme="minorEastAsia" w:cs="楷体_GB2312" w:hint="eastAsia"/>
          <w:kern w:val="0"/>
          <w:szCs w:val="21"/>
        </w:rPr>
        <w:t>销售面积</w:t>
      </w:r>
      <w:r w:rsidRPr="00F52B01">
        <w:rPr>
          <w:rFonts w:asciiTheme="minorEastAsia" w:hAnsiTheme="minorEastAsia" w:cs="楷体_GB2312"/>
          <w:kern w:val="0"/>
          <w:szCs w:val="21"/>
        </w:rPr>
        <w:t>8.44</w:t>
      </w:r>
      <w:r w:rsidRPr="00F52B01">
        <w:rPr>
          <w:rFonts w:asciiTheme="minorEastAsia" w:hAnsiTheme="minorEastAsia" w:cs="楷体_GB2312" w:hint="eastAsia"/>
          <w:kern w:val="0"/>
          <w:szCs w:val="21"/>
        </w:rPr>
        <w:t>亿平米，同比上升</w:t>
      </w:r>
      <w:r w:rsidRPr="00F52B01">
        <w:rPr>
          <w:rFonts w:asciiTheme="minorEastAsia" w:hAnsiTheme="minorEastAsia" w:cs="楷体_GB2312"/>
          <w:kern w:val="0"/>
          <w:szCs w:val="21"/>
        </w:rPr>
        <w:t>23.3%</w:t>
      </w:r>
      <w:r w:rsidRPr="00F52B01">
        <w:rPr>
          <w:rFonts w:asciiTheme="minorEastAsia" w:hAnsiTheme="minorEastAsia" w:cs="楷体_GB2312" w:hint="eastAsia"/>
          <w:kern w:val="0"/>
          <w:szCs w:val="21"/>
        </w:rPr>
        <w:t>，升幅较</w:t>
      </w:r>
      <w:r w:rsidRPr="00F52B01">
        <w:rPr>
          <w:rFonts w:asciiTheme="minorEastAsia" w:hAnsiTheme="minorEastAsia" w:cs="楷体_GB2312"/>
          <w:kern w:val="0"/>
          <w:szCs w:val="21"/>
        </w:rPr>
        <w:t>1-</w:t>
      </w:r>
      <w:r>
        <w:rPr>
          <w:rFonts w:asciiTheme="minorEastAsia" w:hAnsiTheme="minorEastAsia" w:cs="楷体_GB2312" w:hint="eastAsia"/>
          <w:kern w:val="0"/>
          <w:szCs w:val="21"/>
        </w:rPr>
        <w:t>8</w:t>
      </w:r>
      <w:r w:rsidRPr="00F52B01">
        <w:rPr>
          <w:rFonts w:asciiTheme="minorEastAsia" w:hAnsiTheme="minorEastAsia" w:cs="楷体_GB2312" w:hint="eastAsia"/>
          <w:kern w:val="0"/>
          <w:szCs w:val="21"/>
        </w:rPr>
        <w:t>月缩小</w:t>
      </w:r>
      <w:r w:rsidRPr="00F52B01">
        <w:rPr>
          <w:rFonts w:asciiTheme="minorEastAsia" w:hAnsiTheme="minorEastAsia" w:cs="楷体_GB2312"/>
          <w:kern w:val="0"/>
          <w:szCs w:val="21"/>
        </w:rPr>
        <w:t>0.1</w:t>
      </w:r>
      <w:r>
        <w:rPr>
          <w:rFonts w:asciiTheme="minorEastAsia" w:hAnsiTheme="minorEastAsia" w:cs="楷体_GB2312" w:hint="eastAsia"/>
          <w:kern w:val="0"/>
          <w:szCs w:val="21"/>
        </w:rPr>
        <w:t>个百分点；</w:t>
      </w:r>
      <w:r w:rsidRPr="00F52B01">
        <w:rPr>
          <w:rFonts w:asciiTheme="minorEastAsia" w:hAnsiTheme="minorEastAsia" w:cs="楷体_GB2312" w:hint="eastAsia"/>
          <w:kern w:val="0"/>
          <w:szCs w:val="21"/>
        </w:rPr>
        <w:t>其中，</w:t>
      </w:r>
      <w:r w:rsidRPr="004F6064">
        <w:rPr>
          <w:rFonts w:asciiTheme="minorEastAsia" w:hAnsiTheme="minorEastAsia" w:cs="楷体_GB2312" w:hint="eastAsia"/>
          <w:kern w:val="0"/>
          <w:szCs w:val="21"/>
        </w:rPr>
        <w:t>住宅销售面积增长</w:t>
      </w:r>
      <w:r w:rsidRPr="004F6064">
        <w:rPr>
          <w:rFonts w:asciiTheme="minorEastAsia" w:hAnsiTheme="minorEastAsia" w:cs="楷体_GB2312"/>
          <w:kern w:val="0"/>
          <w:szCs w:val="21"/>
        </w:rPr>
        <w:t>23.9%</w:t>
      </w:r>
      <w:r w:rsidRPr="004F6064">
        <w:rPr>
          <w:rFonts w:asciiTheme="minorEastAsia" w:hAnsiTheme="minorEastAsia" w:cs="楷体_GB2312" w:hint="eastAsia"/>
          <w:kern w:val="0"/>
          <w:szCs w:val="21"/>
        </w:rPr>
        <w:t>，办公楼销售面积增长</w:t>
      </w:r>
      <w:r w:rsidRPr="004F6064">
        <w:rPr>
          <w:rFonts w:asciiTheme="minorEastAsia" w:hAnsiTheme="minorEastAsia" w:cs="楷体_GB2312"/>
          <w:kern w:val="0"/>
          <w:szCs w:val="21"/>
        </w:rPr>
        <w:t>32.8%</w:t>
      </w:r>
      <w:r w:rsidRPr="004F6064">
        <w:rPr>
          <w:rFonts w:asciiTheme="minorEastAsia" w:hAnsiTheme="minorEastAsia" w:cs="楷体_GB2312" w:hint="eastAsia"/>
          <w:kern w:val="0"/>
          <w:szCs w:val="21"/>
        </w:rPr>
        <w:t>，商业营业用房销售面积</w:t>
      </w:r>
      <w:r>
        <w:rPr>
          <w:rFonts w:asciiTheme="minorEastAsia" w:hAnsiTheme="minorEastAsia" w:cs="楷体_GB2312" w:hint="eastAsia"/>
          <w:kern w:val="0"/>
          <w:szCs w:val="21"/>
        </w:rPr>
        <w:t>s</w:t>
      </w:r>
      <w:r w:rsidRPr="004F6064">
        <w:rPr>
          <w:rFonts w:asciiTheme="minorEastAsia" w:hAnsiTheme="minorEastAsia" w:cs="楷体_GB2312" w:hint="eastAsia"/>
          <w:kern w:val="0"/>
          <w:szCs w:val="21"/>
        </w:rPr>
        <w:t>增长</w:t>
      </w:r>
      <w:r w:rsidRPr="004F6064">
        <w:rPr>
          <w:rFonts w:asciiTheme="minorEastAsia" w:hAnsiTheme="minorEastAsia" w:cs="楷体_GB2312"/>
          <w:kern w:val="0"/>
          <w:szCs w:val="21"/>
        </w:rPr>
        <w:t>10.8%</w:t>
      </w:r>
      <w:r w:rsidRPr="004F6064">
        <w:rPr>
          <w:rFonts w:asciiTheme="minorEastAsia" w:hAnsiTheme="minorEastAsia" w:cs="楷体_GB2312" w:hint="eastAsia"/>
          <w:kern w:val="0"/>
          <w:szCs w:val="21"/>
        </w:rPr>
        <w:t>。商品房销售额</w:t>
      </w:r>
      <w:r w:rsidRPr="004F6064">
        <w:rPr>
          <w:rFonts w:asciiTheme="minorEastAsia" w:hAnsiTheme="minorEastAsia" w:cs="楷体_GB2312"/>
          <w:kern w:val="0"/>
          <w:szCs w:val="21"/>
        </w:rPr>
        <w:t>54028</w:t>
      </w:r>
      <w:r w:rsidRPr="004F6064">
        <w:rPr>
          <w:rFonts w:asciiTheme="minorEastAsia" w:hAnsiTheme="minorEastAsia" w:cs="楷体_GB2312" w:hint="eastAsia"/>
          <w:kern w:val="0"/>
          <w:szCs w:val="21"/>
        </w:rPr>
        <w:t>亿元，增长</w:t>
      </w:r>
      <w:r w:rsidRPr="004F6064">
        <w:rPr>
          <w:rFonts w:asciiTheme="minorEastAsia" w:hAnsiTheme="minorEastAsia" w:cs="楷体_GB2312"/>
          <w:kern w:val="0"/>
          <w:szCs w:val="21"/>
        </w:rPr>
        <w:t>33.9%</w:t>
      </w:r>
      <w:r w:rsidRPr="004F6064">
        <w:rPr>
          <w:rFonts w:asciiTheme="minorEastAsia" w:hAnsiTheme="minorEastAsia" w:cs="楷体_GB2312" w:hint="eastAsia"/>
          <w:kern w:val="0"/>
          <w:szCs w:val="21"/>
        </w:rPr>
        <w:t>，增速比</w:t>
      </w:r>
      <w:r w:rsidRPr="004F6064">
        <w:rPr>
          <w:rFonts w:asciiTheme="minorEastAsia" w:hAnsiTheme="minorEastAsia" w:cs="楷体_GB2312"/>
          <w:kern w:val="0"/>
          <w:szCs w:val="21"/>
        </w:rPr>
        <w:t>1-8</w:t>
      </w:r>
      <w:r w:rsidRPr="004F6064">
        <w:rPr>
          <w:rFonts w:asciiTheme="minorEastAsia" w:hAnsiTheme="minorEastAsia" w:cs="楷体_GB2312" w:hint="eastAsia"/>
          <w:kern w:val="0"/>
          <w:szCs w:val="21"/>
        </w:rPr>
        <w:t>月份回落</w:t>
      </w:r>
      <w:r w:rsidRPr="004F6064">
        <w:rPr>
          <w:rFonts w:asciiTheme="minorEastAsia" w:hAnsiTheme="minorEastAsia" w:cs="楷体_GB2312"/>
          <w:kern w:val="0"/>
          <w:szCs w:val="21"/>
        </w:rPr>
        <w:t>0.5</w:t>
      </w:r>
      <w:r w:rsidRPr="004F6064">
        <w:rPr>
          <w:rFonts w:asciiTheme="minorEastAsia" w:hAnsiTheme="minorEastAsia" w:cs="楷体_GB2312" w:hint="eastAsia"/>
          <w:kern w:val="0"/>
          <w:szCs w:val="21"/>
        </w:rPr>
        <w:t>个百分点；其中，住宅销售额增长</w:t>
      </w:r>
      <w:r w:rsidRPr="004F6064">
        <w:rPr>
          <w:rFonts w:asciiTheme="minorEastAsia" w:hAnsiTheme="minorEastAsia" w:cs="楷体_GB2312"/>
          <w:kern w:val="0"/>
          <w:szCs w:val="21"/>
        </w:rPr>
        <w:t>34.5%</w:t>
      </w:r>
      <w:r w:rsidRPr="004F6064">
        <w:rPr>
          <w:rFonts w:asciiTheme="minorEastAsia" w:hAnsiTheme="minorEastAsia" w:cs="楷体_GB2312" w:hint="eastAsia"/>
          <w:kern w:val="0"/>
          <w:szCs w:val="21"/>
        </w:rPr>
        <w:t>，办公楼销售额增长</w:t>
      </w:r>
      <w:r w:rsidRPr="004F6064">
        <w:rPr>
          <w:rFonts w:asciiTheme="minorEastAsia" w:hAnsiTheme="minorEastAsia" w:cs="楷体_GB2312"/>
          <w:kern w:val="0"/>
          <w:szCs w:val="21"/>
        </w:rPr>
        <w:t>45.1%</w:t>
      </w:r>
      <w:r w:rsidRPr="004F6064">
        <w:rPr>
          <w:rFonts w:asciiTheme="minorEastAsia" w:hAnsiTheme="minorEastAsia" w:cs="楷体_GB2312" w:hint="eastAsia"/>
          <w:kern w:val="0"/>
          <w:szCs w:val="21"/>
        </w:rPr>
        <w:t>，商业营业用房销售额增长</w:t>
      </w:r>
      <w:r w:rsidRPr="004F6064">
        <w:rPr>
          <w:rFonts w:asciiTheme="minorEastAsia" w:hAnsiTheme="minorEastAsia" w:cs="楷体_GB2312"/>
          <w:kern w:val="0"/>
          <w:szCs w:val="21"/>
        </w:rPr>
        <w:t>22.9%</w:t>
      </w:r>
      <w:r w:rsidRPr="004F6064">
        <w:rPr>
          <w:rFonts w:asciiTheme="minorEastAsia" w:hAnsiTheme="minorEastAsia" w:cs="楷体_GB2312" w:hint="eastAsia"/>
          <w:kern w:val="0"/>
          <w:szCs w:val="21"/>
        </w:rPr>
        <w:t>。</w:t>
      </w:r>
      <w:r w:rsidRPr="004F6064">
        <w:rPr>
          <w:rFonts w:asciiTheme="minorEastAsia" w:hAnsiTheme="minorEastAsia" w:cs="楷体_GB2312"/>
          <w:kern w:val="0"/>
          <w:szCs w:val="21"/>
        </w:rPr>
        <w:t xml:space="preserve"> </w:t>
      </w:r>
    </w:p>
    <w:p w:rsidR="004F1718" w:rsidRPr="004C4486" w:rsidRDefault="004F1718" w:rsidP="004F1718">
      <w:pPr>
        <w:autoSpaceDE w:val="0"/>
        <w:autoSpaceDN w:val="0"/>
        <w:adjustRightInd w:val="0"/>
        <w:spacing w:line="360" w:lineRule="auto"/>
        <w:ind w:firstLineChars="200" w:firstLine="420"/>
        <w:jc w:val="left"/>
        <w:rPr>
          <w:rFonts w:asciiTheme="minorEastAsia" w:hAnsiTheme="minorEastAsia" w:cs="楷体_GB2312"/>
          <w:kern w:val="0"/>
          <w:szCs w:val="21"/>
        </w:rPr>
      </w:pPr>
      <w:r w:rsidRPr="005A2F5F">
        <w:rPr>
          <w:rFonts w:asciiTheme="minorEastAsia" w:hAnsiTheme="minorEastAsia" w:cs="楷体_GB2312" w:hint="eastAsia"/>
          <w:kern w:val="0"/>
          <w:szCs w:val="21"/>
        </w:rPr>
        <w:t>9月份，全国实现商品房销售面积13,541.41万平米，同比增长22.81</w:t>
      </w:r>
      <w:r w:rsidRPr="005A2F5F">
        <w:rPr>
          <w:rFonts w:asciiTheme="minorEastAsia" w:hAnsiTheme="minorEastAsia" w:cs="楷体_GB2312"/>
          <w:kern w:val="0"/>
          <w:szCs w:val="21"/>
        </w:rPr>
        <w:t>%</w:t>
      </w:r>
      <w:r w:rsidRPr="005A2F5F">
        <w:rPr>
          <w:rFonts w:asciiTheme="minorEastAsia" w:hAnsiTheme="minorEastAsia" w:cs="楷体_GB2312" w:hint="eastAsia"/>
          <w:kern w:val="0"/>
          <w:szCs w:val="21"/>
        </w:rPr>
        <w:t>，环比增加39.48</w:t>
      </w:r>
      <w:r w:rsidRPr="005A2F5F">
        <w:rPr>
          <w:rFonts w:asciiTheme="minorEastAsia" w:hAnsiTheme="minorEastAsia" w:cs="楷体_GB2312"/>
          <w:kern w:val="0"/>
          <w:szCs w:val="21"/>
        </w:rPr>
        <w:t>%</w:t>
      </w:r>
      <w:r w:rsidRPr="005A2F5F">
        <w:rPr>
          <w:rFonts w:asciiTheme="minorEastAsia" w:hAnsiTheme="minorEastAsia" w:cs="楷体_GB2312" w:hint="eastAsia"/>
          <w:kern w:val="0"/>
          <w:szCs w:val="21"/>
        </w:rPr>
        <w:t>。</w:t>
      </w:r>
      <w:r w:rsidRPr="004C4486">
        <w:rPr>
          <w:rFonts w:asciiTheme="minorEastAsia" w:hAnsiTheme="minorEastAsia" w:cs="楷体_GB2312" w:hint="eastAsia"/>
          <w:kern w:val="0"/>
          <w:szCs w:val="21"/>
        </w:rPr>
        <w:t>分项指标来看，住宅销售面积同比增长21.49</w:t>
      </w:r>
      <w:r w:rsidRPr="004C4486">
        <w:rPr>
          <w:rFonts w:asciiTheme="minorEastAsia" w:hAnsiTheme="minorEastAsia" w:cs="楷体_GB2312"/>
          <w:kern w:val="0"/>
          <w:szCs w:val="21"/>
        </w:rPr>
        <w:t>%</w:t>
      </w:r>
      <w:r w:rsidRPr="004C4486">
        <w:rPr>
          <w:rFonts w:asciiTheme="minorEastAsia" w:hAnsiTheme="minorEastAsia" w:cs="楷体_GB2312" w:hint="eastAsia"/>
          <w:kern w:val="0"/>
          <w:szCs w:val="21"/>
        </w:rPr>
        <w:t>，环比增长38.90%；办公楼销售面积同比增长65.58</w:t>
      </w:r>
      <w:r w:rsidRPr="004C4486">
        <w:rPr>
          <w:rFonts w:asciiTheme="minorEastAsia" w:hAnsiTheme="minorEastAsia" w:cs="楷体_GB2312"/>
          <w:kern w:val="0"/>
          <w:szCs w:val="21"/>
        </w:rPr>
        <w:t>%</w:t>
      </w:r>
      <w:r w:rsidRPr="004C4486">
        <w:rPr>
          <w:rFonts w:asciiTheme="minorEastAsia" w:hAnsiTheme="minorEastAsia" w:cs="楷体_GB2312" w:hint="eastAsia"/>
          <w:kern w:val="0"/>
          <w:szCs w:val="21"/>
        </w:rPr>
        <w:t>，环比减少41.68</w:t>
      </w:r>
      <w:r w:rsidRPr="004C4486">
        <w:rPr>
          <w:rFonts w:asciiTheme="minorEastAsia" w:hAnsiTheme="minorEastAsia" w:cs="楷体_GB2312"/>
          <w:kern w:val="0"/>
          <w:szCs w:val="21"/>
        </w:rPr>
        <w:t>%</w:t>
      </w:r>
      <w:r w:rsidRPr="004C4486">
        <w:rPr>
          <w:rFonts w:asciiTheme="minorEastAsia" w:hAnsiTheme="minorEastAsia" w:cs="楷体_GB2312" w:hint="eastAsia"/>
          <w:kern w:val="0"/>
          <w:szCs w:val="21"/>
        </w:rPr>
        <w:t>；商业营业用房销售面积同比增加28.47</w:t>
      </w:r>
      <w:r w:rsidRPr="004C4486">
        <w:rPr>
          <w:rFonts w:asciiTheme="minorEastAsia" w:hAnsiTheme="minorEastAsia" w:cs="楷体_GB2312"/>
          <w:kern w:val="0"/>
          <w:szCs w:val="21"/>
        </w:rPr>
        <w:t>%</w:t>
      </w:r>
      <w:r w:rsidRPr="004C4486">
        <w:rPr>
          <w:rFonts w:asciiTheme="minorEastAsia" w:hAnsiTheme="minorEastAsia" w:cs="楷体_GB2312" w:hint="eastAsia"/>
          <w:kern w:val="0"/>
          <w:szCs w:val="21"/>
        </w:rPr>
        <w:t>，环比增加40.32</w:t>
      </w:r>
      <w:r w:rsidRPr="004C4486">
        <w:rPr>
          <w:rFonts w:asciiTheme="minorEastAsia" w:hAnsiTheme="minorEastAsia" w:cs="楷体_GB2312"/>
          <w:kern w:val="0"/>
          <w:szCs w:val="21"/>
        </w:rPr>
        <w:t>%</w:t>
      </w:r>
      <w:r w:rsidRPr="004C4486">
        <w:rPr>
          <w:rFonts w:asciiTheme="minorEastAsia" w:hAnsiTheme="minorEastAsia" w:cs="楷体_GB2312" w:hint="eastAsia"/>
          <w:kern w:val="0"/>
          <w:szCs w:val="21"/>
        </w:rPr>
        <w:t>。</w:t>
      </w:r>
    </w:p>
    <w:p w:rsidR="004F1718" w:rsidRPr="005A2F5F" w:rsidRDefault="00AA6E68" w:rsidP="004F1718">
      <w:pPr>
        <w:spacing w:line="360" w:lineRule="auto"/>
        <w:jc w:val="center"/>
        <w:rPr>
          <w:rFonts w:asciiTheme="minorEastAsia" w:hAnsiTheme="minorEastAsia"/>
          <w:szCs w:val="21"/>
        </w:rPr>
      </w:pPr>
      <w:r>
        <w:rPr>
          <w:rFonts w:asciiTheme="minorEastAsia" w:hAnsiTheme="minorEastAsia"/>
          <w:noProof/>
          <w:szCs w:val="21"/>
        </w:rPr>
        <w:pict>
          <v:shape id="_x0000_s2134" type="#_x0000_t202" style="position:absolute;left:0;text-align:left;margin-left:201.15pt;margin-top:115.2pt;width:108pt;height:25.5pt;z-index:251902976" strokecolor="white [3212]">
            <v:textbox>
              <w:txbxContent>
                <w:p w:rsidR="00832D5A" w:rsidRDefault="00832D5A" w:rsidP="00D96AFD">
                  <w:pPr>
                    <w:jc w:val="center"/>
                  </w:pPr>
                  <w:r>
                    <w:rPr>
                      <w:rFonts w:hint="eastAsia"/>
                    </w:rPr>
                    <w:t>第</w:t>
                  </w:r>
                  <w:r>
                    <w:rPr>
                      <w:rFonts w:hint="eastAsia"/>
                    </w:rPr>
                    <w:t>19</w:t>
                  </w:r>
                  <w:r>
                    <w:rPr>
                      <w:rFonts w:hint="eastAsia"/>
                    </w:rPr>
                    <w:t>页</w:t>
                  </w:r>
                </w:p>
              </w:txbxContent>
            </v:textbox>
          </v:shape>
        </w:pict>
      </w:r>
      <w:r w:rsidR="004F1718" w:rsidRPr="005A2F5F">
        <w:rPr>
          <w:rFonts w:asciiTheme="minorEastAsia" w:hAnsiTheme="minorEastAsia" w:hint="eastAsia"/>
          <w:szCs w:val="21"/>
        </w:rPr>
        <w:t>图</w:t>
      </w:r>
      <w:r w:rsidR="004F1718">
        <w:rPr>
          <w:rFonts w:asciiTheme="minorEastAsia" w:hAnsiTheme="minorEastAsia" w:hint="eastAsia"/>
          <w:szCs w:val="21"/>
        </w:rPr>
        <w:t>32</w:t>
      </w:r>
      <w:r w:rsidR="004F1718" w:rsidRPr="005A2F5F">
        <w:rPr>
          <w:rFonts w:asciiTheme="minorEastAsia" w:hAnsiTheme="minorEastAsia" w:hint="eastAsia"/>
          <w:szCs w:val="21"/>
        </w:rPr>
        <w:t>:9月商品房销售面积</w:t>
      </w:r>
      <w:r w:rsidR="004F1718" w:rsidRPr="005A2F5F">
        <w:rPr>
          <w:rFonts w:asciiTheme="minorEastAsia" w:hAnsiTheme="minorEastAsia" w:cs="楷体_GB2312" w:hint="eastAsia"/>
          <w:kern w:val="0"/>
          <w:szCs w:val="21"/>
        </w:rPr>
        <w:t>同比增长22.81</w:t>
      </w:r>
      <w:r w:rsidR="004F1718" w:rsidRPr="005A2F5F">
        <w:rPr>
          <w:rFonts w:asciiTheme="minorEastAsia" w:hAnsiTheme="minorEastAsia" w:cs="楷体_GB2312"/>
          <w:kern w:val="0"/>
          <w:szCs w:val="21"/>
        </w:rPr>
        <w:t>%</w:t>
      </w:r>
      <w:r w:rsidR="004F1718" w:rsidRPr="005A2F5F">
        <w:rPr>
          <w:rFonts w:asciiTheme="minorEastAsia" w:hAnsiTheme="minorEastAsia" w:cs="楷体_GB2312" w:hint="eastAsia"/>
          <w:kern w:val="0"/>
          <w:szCs w:val="21"/>
        </w:rPr>
        <w:t>，环比增加39.48</w:t>
      </w:r>
      <w:r w:rsidR="004F1718" w:rsidRPr="005A2F5F">
        <w:rPr>
          <w:rFonts w:asciiTheme="minorEastAsia" w:hAnsiTheme="minorEastAsia" w:cs="楷体_GB2312"/>
          <w:kern w:val="0"/>
          <w:szCs w:val="21"/>
        </w:rPr>
        <w:t>%</w:t>
      </w:r>
    </w:p>
    <w:p w:rsidR="004F1718" w:rsidRPr="00F6635C" w:rsidRDefault="0048295B" w:rsidP="004F1718">
      <w:pPr>
        <w:widowControl/>
        <w:jc w:val="center"/>
        <w:rPr>
          <w:rFonts w:ascii="宋体" w:eastAsia="宋体" w:hAnsi="宋体" w:cs="宋体"/>
          <w:color w:val="FF0000"/>
          <w:kern w:val="0"/>
          <w:sz w:val="24"/>
          <w:szCs w:val="24"/>
        </w:rPr>
      </w:pPr>
      <w:r w:rsidRPr="0048295B">
        <w:rPr>
          <w:rFonts w:ascii="宋体" w:eastAsia="宋体" w:hAnsi="宋体" w:cs="宋体" w:hint="eastAsia"/>
          <w:noProof/>
          <w:color w:val="FF0000"/>
          <w:kern w:val="0"/>
          <w:sz w:val="24"/>
          <w:szCs w:val="24"/>
        </w:rPr>
        <w:lastRenderedPageBreak/>
        <w:drawing>
          <wp:anchor distT="0" distB="0" distL="114300" distR="114300" simplePos="0" relativeHeight="251854848" behindDoc="1" locked="0" layoutInCell="1" allowOverlap="1">
            <wp:simplePos x="0" y="0"/>
            <wp:positionH relativeFrom="column">
              <wp:posOffset>-683895</wp:posOffset>
            </wp:positionH>
            <wp:positionV relativeFrom="paragraph">
              <wp:posOffset>-1440180</wp:posOffset>
            </wp:positionV>
            <wp:extent cx="7581900" cy="10725150"/>
            <wp:effectExtent l="19050" t="0" r="0" b="0"/>
            <wp:wrapNone/>
            <wp:docPr id="114"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004F1718" w:rsidRPr="006A6675">
        <w:rPr>
          <w:rFonts w:ascii="宋体" w:eastAsia="宋体" w:hAnsi="宋体" w:cs="宋体"/>
          <w:noProof/>
          <w:color w:val="FF0000"/>
          <w:kern w:val="0"/>
          <w:sz w:val="24"/>
          <w:szCs w:val="24"/>
        </w:rPr>
        <w:drawing>
          <wp:inline distT="0" distB="0" distL="0" distR="0">
            <wp:extent cx="5057775" cy="2838450"/>
            <wp:effectExtent l="19050" t="0" r="9525" b="0"/>
            <wp:docPr id="59"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F1718" w:rsidRPr="00176B65" w:rsidRDefault="004F1718" w:rsidP="004F1718">
      <w:pPr>
        <w:autoSpaceDE w:val="0"/>
        <w:autoSpaceDN w:val="0"/>
        <w:adjustRightInd w:val="0"/>
        <w:spacing w:line="360" w:lineRule="auto"/>
        <w:ind w:firstLineChars="200" w:firstLine="420"/>
        <w:jc w:val="left"/>
        <w:rPr>
          <w:rFonts w:asciiTheme="minorEastAsia" w:hAnsiTheme="minorEastAsia" w:cs="楷体_GB2312"/>
          <w:kern w:val="0"/>
          <w:szCs w:val="21"/>
        </w:rPr>
      </w:pPr>
      <w:r w:rsidRPr="00E2799F">
        <w:rPr>
          <w:rFonts w:asciiTheme="minorEastAsia" w:hAnsiTheme="minorEastAsia" w:cs="楷体_GB2312" w:hint="eastAsia"/>
          <w:kern w:val="0"/>
          <w:szCs w:val="21"/>
        </w:rPr>
        <w:t>9月份全国实现商品房销售额8304.15亿元，同比增长30.93</w:t>
      </w:r>
      <w:r w:rsidRPr="00E2799F">
        <w:rPr>
          <w:rFonts w:asciiTheme="minorEastAsia" w:hAnsiTheme="minorEastAsia" w:cs="楷体_GB2312"/>
          <w:kern w:val="0"/>
          <w:szCs w:val="21"/>
        </w:rPr>
        <w:t>%</w:t>
      </w:r>
      <w:r w:rsidRPr="00E2799F">
        <w:rPr>
          <w:rFonts w:asciiTheme="minorEastAsia" w:hAnsiTheme="minorEastAsia" w:cs="楷体_GB2312" w:hint="eastAsia"/>
          <w:kern w:val="0"/>
          <w:szCs w:val="21"/>
        </w:rPr>
        <w:t>，环比增加34.48</w:t>
      </w:r>
      <w:r w:rsidRPr="00E2799F">
        <w:rPr>
          <w:rFonts w:asciiTheme="minorEastAsia" w:hAnsiTheme="minorEastAsia" w:cs="楷体_GB2312"/>
          <w:kern w:val="0"/>
          <w:szCs w:val="21"/>
        </w:rPr>
        <w:t>%</w:t>
      </w:r>
      <w:r w:rsidRPr="00E2799F">
        <w:rPr>
          <w:rFonts w:asciiTheme="minorEastAsia" w:hAnsiTheme="minorEastAsia" w:cs="楷体_GB2312" w:hint="eastAsia"/>
          <w:kern w:val="0"/>
          <w:szCs w:val="21"/>
        </w:rPr>
        <w:t>。</w:t>
      </w:r>
      <w:r w:rsidRPr="00176B65">
        <w:rPr>
          <w:rFonts w:asciiTheme="minorEastAsia" w:hAnsiTheme="minorEastAsia" w:cs="楷体_GB2312" w:hint="eastAsia"/>
          <w:kern w:val="0"/>
          <w:szCs w:val="21"/>
        </w:rPr>
        <w:t>分项指标看：住宅销售额同比增长27.89</w:t>
      </w:r>
      <w:r w:rsidRPr="00176B65">
        <w:rPr>
          <w:rFonts w:asciiTheme="minorEastAsia" w:hAnsiTheme="minorEastAsia" w:cs="楷体_GB2312"/>
          <w:kern w:val="0"/>
          <w:szCs w:val="21"/>
        </w:rPr>
        <w:t>%</w:t>
      </w:r>
      <w:r w:rsidRPr="00176B65">
        <w:rPr>
          <w:rFonts w:asciiTheme="minorEastAsia" w:hAnsiTheme="minorEastAsia" w:cs="楷体_GB2312" w:hint="eastAsia"/>
          <w:kern w:val="0"/>
          <w:szCs w:val="21"/>
        </w:rPr>
        <w:t>，环比减少34.30</w:t>
      </w:r>
      <w:r w:rsidRPr="00176B65">
        <w:rPr>
          <w:rFonts w:asciiTheme="minorEastAsia" w:hAnsiTheme="minorEastAsia" w:cs="楷体_GB2312"/>
          <w:kern w:val="0"/>
          <w:szCs w:val="21"/>
        </w:rPr>
        <w:t>%</w:t>
      </w:r>
      <w:r w:rsidRPr="00176B65">
        <w:rPr>
          <w:rFonts w:asciiTheme="minorEastAsia" w:hAnsiTheme="minorEastAsia" w:cs="楷体_GB2312" w:hint="eastAsia"/>
          <w:kern w:val="0"/>
          <w:szCs w:val="21"/>
        </w:rPr>
        <w:t>；办公楼销售额同比增长66.40</w:t>
      </w:r>
      <w:r w:rsidRPr="00176B65">
        <w:rPr>
          <w:rFonts w:asciiTheme="minorEastAsia" w:hAnsiTheme="minorEastAsia" w:cs="楷体_GB2312"/>
          <w:kern w:val="0"/>
          <w:szCs w:val="21"/>
        </w:rPr>
        <w:t>%</w:t>
      </w:r>
      <w:r w:rsidRPr="00176B65">
        <w:rPr>
          <w:rFonts w:asciiTheme="minorEastAsia" w:hAnsiTheme="minorEastAsia" w:cs="楷体_GB2312" w:hint="eastAsia"/>
          <w:kern w:val="0"/>
          <w:szCs w:val="21"/>
        </w:rPr>
        <w:t>，环比增加25.50</w:t>
      </w:r>
      <w:r w:rsidRPr="00176B65">
        <w:rPr>
          <w:rFonts w:asciiTheme="minorEastAsia" w:hAnsiTheme="minorEastAsia" w:cs="楷体_GB2312"/>
          <w:kern w:val="0"/>
          <w:szCs w:val="21"/>
        </w:rPr>
        <w:t>%</w:t>
      </w:r>
      <w:r w:rsidRPr="00176B65">
        <w:rPr>
          <w:rFonts w:asciiTheme="minorEastAsia" w:hAnsiTheme="minorEastAsia" w:cs="楷体_GB2312" w:hint="eastAsia"/>
          <w:kern w:val="0"/>
          <w:szCs w:val="21"/>
        </w:rPr>
        <w:t>；商业营业用房销售额同比增长41.17</w:t>
      </w:r>
      <w:r w:rsidRPr="00176B65">
        <w:rPr>
          <w:rFonts w:asciiTheme="minorEastAsia" w:hAnsiTheme="minorEastAsia" w:cs="楷体_GB2312"/>
          <w:kern w:val="0"/>
          <w:szCs w:val="21"/>
        </w:rPr>
        <w:t>%</w:t>
      </w:r>
      <w:r w:rsidRPr="00176B65">
        <w:rPr>
          <w:rFonts w:asciiTheme="minorEastAsia" w:hAnsiTheme="minorEastAsia" w:cs="楷体_GB2312" w:hint="eastAsia"/>
          <w:kern w:val="0"/>
          <w:szCs w:val="21"/>
        </w:rPr>
        <w:t>，环比增加38.14</w:t>
      </w:r>
      <w:r w:rsidRPr="00176B65">
        <w:rPr>
          <w:rFonts w:asciiTheme="minorEastAsia" w:hAnsiTheme="minorEastAsia" w:cs="楷体_GB2312"/>
          <w:kern w:val="0"/>
          <w:szCs w:val="21"/>
        </w:rPr>
        <w:t>%</w:t>
      </w:r>
      <w:r w:rsidRPr="00176B65">
        <w:rPr>
          <w:rFonts w:asciiTheme="minorEastAsia" w:hAnsiTheme="minorEastAsia" w:cs="楷体_GB2312" w:hint="eastAsia"/>
          <w:kern w:val="0"/>
          <w:szCs w:val="21"/>
        </w:rPr>
        <w:t>。</w:t>
      </w:r>
    </w:p>
    <w:p w:rsidR="004F1718" w:rsidRPr="00E2799F" w:rsidRDefault="004F1718" w:rsidP="004F1718">
      <w:pPr>
        <w:spacing w:line="360" w:lineRule="auto"/>
        <w:jc w:val="center"/>
        <w:rPr>
          <w:rFonts w:asciiTheme="minorEastAsia" w:hAnsiTheme="minorEastAsia" w:cs="楷体_GB2312"/>
          <w:kern w:val="0"/>
          <w:szCs w:val="21"/>
        </w:rPr>
      </w:pPr>
      <w:r w:rsidRPr="00E2799F">
        <w:rPr>
          <w:rFonts w:asciiTheme="minorEastAsia" w:hAnsiTheme="minorEastAsia" w:hint="eastAsia"/>
          <w:szCs w:val="21"/>
        </w:rPr>
        <w:t>图</w:t>
      </w:r>
      <w:r>
        <w:rPr>
          <w:rFonts w:asciiTheme="minorEastAsia" w:hAnsiTheme="minorEastAsia" w:hint="eastAsia"/>
          <w:szCs w:val="21"/>
        </w:rPr>
        <w:t>33</w:t>
      </w:r>
      <w:r w:rsidRPr="00E2799F">
        <w:rPr>
          <w:rFonts w:asciiTheme="minorEastAsia" w:hAnsiTheme="minorEastAsia" w:hint="eastAsia"/>
          <w:szCs w:val="21"/>
        </w:rPr>
        <w:t>：</w:t>
      </w:r>
      <w:r w:rsidRPr="00096F8E">
        <w:rPr>
          <w:rFonts w:asciiTheme="minorEastAsia" w:hAnsiTheme="minorEastAsia" w:cs="Times New Roman" w:hint="eastAsia"/>
          <w:bCs/>
          <w:kern w:val="0"/>
          <w:szCs w:val="21"/>
        </w:rPr>
        <w:t>9</w:t>
      </w:r>
      <w:r w:rsidRPr="00E2799F">
        <w:rPr>
          <w:rFonts w:asciiTheme="minorEastAsia" w:hAnsiTheme="minorEastAsia" w:cs="楷体_GB2312" w:hint="eastAsia"/>
          <w:kern w:val="0"/>
          <w:szCs w:val="21"/>
        </w:rPr>
        <w:t>月商品房销售额同比增长16.26</w:t>
      </w:r>
      <w:r w:rsidRPr="00E2799F">
        <w:rPr>
          <w:rFonts w:asciiTheme="minorEastAsia" w:hAnsiTheme="minorEastAsia" w:cs="楷体_GB2312"/>
          <w:kern w:val="0"/>
          <w:szCs w:val="21"/>
        </w:rPr>
        <w:t>%</w:t>
      </w:r>
      <w:r w:rsidRPr="00E2799F">
        <w:rPr>
          <w:rFonts w:asciiTheme="minorEastAsia" w:hAnsiTheme="minorEastAsia" w:cs="楷体_GB2312" w:hint="eastAsia"/>
          <w:kern w:val="0"/>
          <w:szCs w:val="21"/>
        </w:rPr>
        <w:t>，环比增加0.04</w:t>
      </w:r>
      <w:r w:rsidRPr="00E2799F">
        <w:rPr>
          <w:rFonts w:asciiTheme="minorEastAsia" w:hAnsiTheme="minorEastAsia" w:cs="楷体_GB2312"/>
          <w:kern w:val="0"/>
          <w:szCs w:val="21"/>
        </w:rPr>
        <w:t>%</w:t>
      </w:r>
    </w:p>
    <w:p w:rsidR="004F1718" w:rsidRPr="00F6635C" w:rsidRDefault="004F1718" w:rsidP="004F1718">
      <w:pPr>
        <w:spacing w:line="360" w:lineRule="auto"/>
        <w:jc w:val="center"/>
        <w:rPr>
          <w:rFonts w:asciiTheme="minorEastAsia" w:hAnsiTheme="minorEastAsia" w:cs="宋体"/>
          <w:color w:val="FF0000"/>
          <w:kern w:val="0"/>
          <w:szCs w:val="21"/>
        </w:rPr>
      </w:pPr>
      <w:r w:rsidRPr="005A2F5F">
        <w:rPr>
          <w:rFonts w:asciiTheme="minorEastAsia" w:hAnsiTheme="minorEastAsia" w:cs="宋体"/>
          <w:noProof/>
          <w:color w:val="FF0000"/>
          <w:kern w:val="0"/>
          <w:szCs w:val="21"/>
        </w:rPr>
        <w:drawing>
          <wp:inline distT="0" distB="0" distL="0" distR="0">
            <wp:extent cx="4572000" cy="2743200"/>
            <wp:effectExtent l="19050" t="0" r="19050" b="0"/>
            <wp:docPr id="60"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4F1718" w:rsidRPr="00157FF9" w:rsidRDefault="004F1718" w:rsidP="004F1718">
      <w:pPr>
        <w:autoSpaceDE w:val="0"/>
        <w:autoSpaceDN w:val="0"/>
        <w:adjustRightInd w:val="0"/>
        <w:spacing w:line="360" w:lineRule="auto"/>
        <w:ind w:firstLineChars="200" w:firstLine="420"/>
        <w:jc w:val="left"/>
        <w:rPr>
          <w:rFonts w:asciiTheme="minorEastAsia" w:hAnsiTheme="minorEastAsia" w:cs="楷体_GB2312"/>
          <w:kern w:val="0"/>
          <w:szCs w:val="21"/>
        </w:rPr>
      </w:pPr>
      <w:r w:rsidRPr="00157FF9">
        <w:rPr>
          <w:rFonts w:asciiTheme="minorEastAsia" w:hAnsiTheme="minorEastAsia" w:cs="楷体_GB2312" w:hint="eastAsia"/>
          <w:kern w:val="0"/>
          <w:szCs w:val="21"/>
        </w:rPr>
        <w:t>从全国商品房销售价格来看，全国9月份商品房销售均价为6360.47元，同比上涨10.58个百分点。分项数据显示，住宅、办公楼和商业营业用房销售均价分别为5746.50元、13234.50元和9851.77元，分别较去年同期变化5.27</w:t>
      </w:r>
      <w:r w:rsidRPr="00157FF9">
        <w:rPr>
          <w:rFonts w:asciiTheme="minorEastAsia" w:hAnsiTheme="minorEastAsia" w:cs="楷体_GB2312"/>
          <w:kern w:val="0"/>
          <w:szCs w:val="21"/>
        </w:rPr>
        <w:t>%</w:t>
      </w:r>
      <w:r w:rsidRPr="00157FF9">
        <w:rPr>
          <w:rFonts w:asciiTheme="minorEastAsia" w:hAnsiTheme="minorEastAsia" w:cs="楷体_GB2312" w:hint="eastAsia"/>
          <w:kern w:val="0"/>
          <w:szCs w:val="21"/>
        </w:rPr>
        <w:t>、0、50</w:t>
      </w:r>
      <w:r w:rsidRPr="00157FF9">
        <w:rPr>
          <w:rFonts w:asciiTheme="minorEastAsia" w:hAnsiTheme="minorEastAsia" w:cs="楷体_GB2312"/>
          <w:kern w:val="0"/>
          <w:szCs w:val="21"/>
        </w:rPr>
        <w:t>%</w:t>
      </w:r>
      <w:r w:rsidRPr="00157FF9">
        <w:rPr>
          <w:rFonts w:asciiTheme="minorEastAsia" w:hAnsiTheme="minorEastAsia" w:cs="楷体_GB2312" w:hint="eastAsia"/>
          <w:kern w:val="0"/>
          <w:szCs w:val="21"/>
        </w:rPr>
        <w:t>和9.89</w:t>
      </w:r>
      <w:r w:rsidRPr="00157FF9">
        <w:rPr>
          <w:rFonts w:asciiTheme="minorEastAsia" w:hAnsiTheme="minorEastAsia" w:cs="楷体_GB2312"/>
          <w:kern w:val="0"/>
          <w:szCs w:val="21"/>
        </w:rPr>
        <w:t>%</w:t>
      </w:r>
      <w:r w:rsidRPr="00157FF9">
        <w:rPr>
          <w:rFonts w:asciiTheme="minorEastAsia" w:hAnsiTheme="minorEastAsia" w:cs="楷体_GB2312" w:hint="eastAsia"/>
          <w:kern w:val="0"/>
          <w:szCs w:val="21"/>
        </w:rPr>
        <w:t>。</w:t>
      </w:r>
    </w:p>
    <w:p w:rsidR="004F1718" w:rsidRDefault="00AA6E68" w:rsidP="004F1718">
      <w:pPr>
        <w:spacing w:line="360" w:lineRule="auto"/>
        <w:jc w:val="center"/>
        <w:rPr>
          <w:rFonts w:asciiTheme="minorEastAsia" w:hAnsiTheme="minorEastAsia" w:cs="楷体_GB2312"/>
          <w:noProof/>
          <w:color w:val="FF0000"/>
          <w:kern w:val="0"/>
          <w:szCs w:val="21"/>
        </w:rPr>
      </w:pPr>
      <w:r w:rsidRPr="00AA6E68">
        <w:rPr>
          <w:rFonts w:asciiTheme="minorEastAsia" w:hAnsiTheme="minorEastAsia" w:cs="楷体_GB2312"/>
          <w:noProof/>
          <w:kern w:val="0"/>
          <w:szCs w:val="21"/>
        </w:rPr>
        <w:pict>
          <v:shape id="_x0000_s2135" type="#_x0000_t202" style="position:absolute;left:0;text-align:left;margin-left:207.15pt;margin-top:71.4pt;width:93.75pt;height:21.75pt;z-index:251904000" strokecolor="white [3212]">
            <v:textbox>
              <w:txbxContent>
                <w:p w:rsidR="00832D5A" w:rsidRDefault="00832D5A" w:rsidP="00D96AFD">
                  <w:pPr>
                    <w:jc w:val="center"/>
                  </w:pPr>
                  <w:r>
                    <w:rPr>
                      <w:rFonts w:hint="eastAsia"/>
                    </w:rPr>
                    <w:t>第</w:t>
                  </w:r>
                  <w:r>
                    <w:rPr>
                      <w:rFonts w:hint="eastAsia"/>
                    </w:rPr>
                    <w:t>20</w:t>
                  </w:r>
                  <w:r>
                    <w:rPr>
                      <w:rFonts w:hint="eastAsia"/>
                    </w:rPr>
                    <w:t>页</w:t>
                  </w:r>
                </w:p>
              </w:txbxContent>
            </v:textbox>
          </v:shape>
        </w:pict>
      </w:r>
      <w:r w:rsidR="004F1718" w:rsidRPr="00157FF9">
        <w:rPr>
          <w:rFonts w:asciiTheme="minorEastAsia" w:hAnsiTheme="minorEastAsia" w:cs="楷体_GB2312" w:hint="eastAsia"/>
          <w:kern w:val="0"/>
          <w:szCs w:val="21"/>
        </w:rPr>
        <w:t>图</w:t>
      </w:r>
      <w:r w:rsidR="004F1718">
        <w:rPr>
          <w:rFonts w:asciiTheme="minorEastAsia" w:hAnsiTheme="minorEastAsia" w:cs="楷体_GB2312" w:hint="eastAsia"/>
          <w:kern w:val="0"/>
          <w:szCs w:val="21"/>
        </w:rPr>
        <w:t>34</w:t>
      </w:r>
      <w:r w:rsidR="004F1718" w:rsidRPr="00157FF9">
        <w:rPr>
          <w:rFonts w:asciiTheme="minorEastAsia" w:hAnsiTheme="minorEastAsia" w:cs="楷体_GB2312" w:hint="eastAsia"/>
          <w:kern w:val="0"/>
          <w:szCs w:val="21"/>
        </w:rPr>
        <w:t>：全国商品房销售均价同比上涨</w:t>
      </w:r>
    </w:p>
    <w:p w:rsidR="004F1718" w:rsidRPr="00F6635C" w:rsidRDefault="0048295B" w:rsidP="004F1718">
      <w:pPr>
        <w:spacing w:line="360" w:lineRule="auto"/>
        <w:jc w:val="center"/>
        <w:rPr>
          <w:rFonts w:asciiTheme="minorEastAsia" w:hAnsiTheme="minorEastAsia" w:cs="楷体_GB2312"/>
          <w:color w:val="FF0000"/>
          <w:kern w:val="0"/>
          <w:szCs w:val="21"/>
        </w:rPr>
      </w:pPr>
      <w:r w:rsidRPr="0048295B">
        <w:rPr>
          <w:rFonts w:asciiTheme="minorEastAsia" w:hAnsiTheme="minorEastAsia" w:cs="楷体_GB2312" w:hint="eastAsia"/>
          <w:noProof/>
          <w:color w:val="FF0000"/>
          <w:kern w:val="0"/>
          <w:szCs w:val="21"/>
        </w:rPr>
        <w:lastRenderedPageBreak/>
        <w:drawing>
          <wp:anchor distT="0" distB="0" distL="114300" distR="114300" simplePos="0" relativeHeight="251856896" behindDoc="1" locked="0" layoutInCell="1" allowOverlap="1">
            <wp:simplePos x="0" y="0"/>
            <wp:positionH relativeFrom="column">
              <wp:posOffset>-683895</wp:posOffset>
            </wp:positionH>
            <wp:positionV relativeFrom="paragraph">
              <wp:posOffset>-1440180</wp:posOffset>
            </wp:positionV>
            <wp:extent cx="7581900" cy="10725150"/>
            <wp:effectExtent l="19050" t="0" r="0" b="0"/>
            <wp:wrapNone/>
            <wp:docPr id="115"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004F1718" w:rsidRPr="00157FF9">
        <w:rPr>
          <w:rFonts w:asciiTheme="minorEastAsia" w:hAnsiTheme="minorEastAsia" w:cs="楷体_GB2312"/>
          <w:noProof/>
          <w:color w:val="FF0000"/>
          <w:kern w:val="0"/>
          <w:szCs w:val="21"/>
        </w:rPr>
        <w:drawing>
          <wp:inline distT="0" distB="0" distL="0" distR="0">
            <wp:extent cx="4848225" cy="2647950"/>
            <wp:effectExtent l="19050" t="0" r="9525" b="0"/>
            <wp:docPr id="61"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F1718" w:rsidRPr="00F6635C" w:rsidRDefault="004F1718" w:rsidP="004F1718">
      <w:pPr>
        <w:autoSpaceDE w:val="0"/>
        <w:autoSpaceDN w:val="0"/>
        <w:adjustRightInd w:val="0"/>
        <w:spacing w:line="360" w:lineRule="auto"/>
        <w:ind w:firstLineChars="200" w:firstLine="420"/>
        <w:jc w:val="left"/>
        <w:rPr>
          <w:rFonts w:asciiTheme="minorEastAsia" w:hAnsiTheme="minorEastAsia" w:cs="楷体_GB2312"/>
          <w:kern w:val="0"/>
          <w:szCs w:val="21"/>
        </w:rPr>
      </w:pPr>
      <w:r w:rsidRPr="00F6635C">
        <w:rPr>
          <w:rFonts w:asciiTheme="minorEastAsia" w:hAnsiTheme="minorEastAsia" w:cs="楷体_GB2312"/>
          <w:kern w:val="0"/>
          <w:szCs w:val="21"/>
        </w:rPr>
        <w:t xml:space="preserve">2013 </w:t>
      </w:r>
      <w:r w:rsidRPr="00F6635C">
        <w:rPr>
          <w:rFonts w:asciiTheme="minorEastAsia" w:hAnsiTheme="minorEastAsia" w:cs="楷体_GB2312" w:hint="eastAsia"/>
          <w:kern w:val="0"/>
          <w:szCs w:val="21"/>
        </w:rPr>
        <w:t>年</w:t>
      </w:r>
      <w:r w:rsidRPr="00F6635C">
        <w:rPr>
          <w:rFonts w:asciiTheme="minorEastAsia" w:hAnsiTheme="minorEastAsia" w:cs="楷体_GB2312"/>
          <w:kern w:val="0"/>
          <w:szCs w:val="21"/>
        </w:rPr>
        <w:t>1-</w:t>
      </w:r>
      <w:r>
        <w:rPr>
          <w:rFonts w:asciiTheme="minorEastAsia" w:hAnsiTheme="minorEastAsia" w:cs="楷体_GB2312" w:hint="eastAsia"/>
          <w:kern w:val="0"/>
          <w:szCs w:val="21"/>
        </w:rPr>
        <w:t>9</w:t>
      </w:r>
      <w:r w:rsidRPr="00F6635C">
        <w:rPr>
          <w:rFonts w:asciiTheme="minorEastAsia" w:hAnsiTheme="minorEastAsia" w:cs="楷体_GB2312" w:hint="eastAsia"/>
          <w:kern w:val="0"/>
          <w:szCs w:val="21"/>
        </w:rPr>
        <w:t>月，房屋新开工面积</w:t>
      </w:r>
      <w:r w:rsidRPr="00F6635C">
        <w:rPr>
          <w:rFonts w:asciiTheme="minorEastAsia" w:hAnsiTheme="minorEastAsia" w:cs="楷体_GB2312"/>
          <w:kern w:val="0"/>
          <w:szCs w:val="21"/>
        </w:rPr>
        <w:t>144900</w:t>
      </w:r>
      <w:r w:rsidRPr="00F6635C">
        <w:rPr>
          <w:rFonts w:asciiTheme="minorEastAsia" w:hAnsiTheme="minorEastAsia" w:cs="楷体_GB2312" w:hint="eastAsia"/>
          <w:kern w:val="0"/>
          <w:szCs w:val="21"/>
        </w:rPr>
        <w:t>万平方米，增长</w:t>
      </w:r>
      <w:r w:rsidRPr="00F6635C">
        <w:rPr>
          <w:rFonts w:asciiTheme="minorEastAsia" w:hAnsiTheme="minorEastAsia" w:cs="楷体_GB2312"/>
          <w:kern w:val="0"/>
          <w:szCs w:val="21"/>
        </w:rPr>
        <w:t>7.3%</w:t>
      </w:r>
      <w:r w:rsidRPr="00F6635C">
        <w:rPr>
          <w:rFonts w:asciiTheme="minorEastAsia" w:hAnsiTheme="minorEastAsia" w:cs="楷体_GB2312" w:hint="eastAsia"/>
          <w:kern w:val="0"/>
          <w:szCs w:val="21"/>
        </w:rPr>
        <w:t>，增速提高</w:t>
      </w:r>
      <w:r w:rsidRPr="00F6635C">
        <w:rPr>
          <w:rFonts w:asciiTheme="minorEastAsia" w:hAnsiTheme="minorEastAsia" w:cs="楷体_GB2312"/>
          <w:kern w:val="0"/>
          <w:szCs w:val="21"/>
        </w:rPr>
        <w:t>3.3</w:t>
      </w:r>
      <w:r w:rsidRPr="00F6635C">
        <w:rPr>
          <w:rFonts w:asciiTheme="minorEastAsia" w:hAnsiTheme="minorEastAsia" w:cs="楷体_GB2312" w:hint="eastAsia"/>
          <w:kern w:val="0"/>
          <w:szCs w:val="21"/>
        </w:rPr>
        <w:t>个百分点；</w:t>
      </w:r>
      <w:r>
        <w:rPr>
          <w:rFonts w:asciiTheme="minorEastAsia" w:hAnsiTheme="minorEastAsia" w:cs="楷体_GB2312" w:hint="eastAsia"/>
          <w:kern w:val="0"/>
          <w:szCs w:val="21"/>
        </w:rPr>
        <w:t>其</w:t>
      </w:r>
      <w:r w:rsidRPr="00F6635C">
        <w:rPr>
          <w:rFonts w:asciiTheme="minorEastAsia" w:hAnsiTheme="minorEastAsia" w:cs="楷体_GB2312" w:hint="eastAsia"/>
          <w:kern w:val="0"/>
          <w:szCs w:val="21"/>
        </w:rPr>
        <w:t>中，住宅新开工面积</w:t>
      </w:r>
      <w:r w:rsidRPr="00F6635C">
        <w:rPr>
          <w:rFonts w:asciiTheme="minorEastAsia" w:hAnsiTheme="minorEastAsia" w:cs="楷体_GB2312"/>
          <w:kern w:val="0"/>
          <w:szCs w:val="21"/>
        </w:rPr>
        <w:t>106055</w:t>
      </w:r>
      <w:r w:rsidRPr="00F6635C">
        <w:rPr>
          <w:rFonts w:asciiTheme="minorEastAsia" w:hAnsiTheme="minorEastAsia" w:cs="楷体_GB2312" w:hint="eastAsia"/>
          <w:kern w:val="0"/>
          <w:szCs w:val="21"/>
        </w:rPr>
        <w:t>万平方米，增长</w:t>
      </w:r>
      <w:r w:rsidRPr="00F6635C">
        <w:rPr>
          <w:rFonts w:asciiTheme="minorEastAsia" w:hAnsiTheme="minorEastAsia" w:cs="楷体_GB2312"/>
          <w:kern w:val="0"/>
          <w:szCs w:val="21"/>
        </w:rPr>
        <w:t>6.4%</w:t>
      </w:r>
      <w:r w:rsidRPr="00F6635C">
        <w:rPr>
          <w:rFonts w:asciiTheme="minorEastAsia" w:hAnsiTheme="minorEastAsia" w:cs="楷体_GB2312" w:hint="eastAsia"/>
          <w:kern w:val="0"/>
          <w:szCs w:val="21"/>
        </w:rPr>
        <w:t>。房屋竣工面积</w:t>
      </w:r>
      <w:r w:rsidRPr="00F6635C">
        <w:rPr>
          <w:rFonts w:asciiTheme="minorEastAsia" w:hAnsiTheme="minorEastAsia" w:cs="楷体_GB2312"/>
          <w:kern w:val="0"/>
          <w:szCs w:val="21"/>
        </w:rPr>
        <w:t>52706</w:t>
      </w:r>
      <w:r w:rsidRPr="00F6635C">
        <w:rPr>
          <w:rFonts w:asciiTheme="minorEastAsia" w:hAnsiTheme="minorEastAsia" w:cs="楷体_GB2312" w:hint="eastAsia"/>
          <w:kern w:val="0"/>
          <w:szCs w:val="21"/>
        </w:rPr>
        <w:t>万平方米，增长</w:t>
      </w:r>
      <w:r w:rsidRPr="00F6635C">
        <w:rPr>
          <w:rFonts w:asciiTheme="minorEastAsia" w:hAnsiTheme="minorEastAsia" w:cs="楷体_GB2312"/>
          <w:kern w:val="0"/>
          <w:szCs w:val="21"/>
        </w:rPr>
        <w:t>4.2%</w:t>
      </w:r>
      <w:r w:rsidRPr="00F6635C">
        <w:rPr>
          <w:rFonts w:asciiTheme="minorEastAsia" w:hAnsiTheme="minorEastAsia" w:cs="楷体_GB2312" w:hint="eastAsia"/>
          <w:kern w:val="0"/>
          <w:szCs w:val="21"/>
        </w:rPr>
        <w:t>，增速回落</w:t>
      </w:r>
      <w:r w:rsidRPr="00F6635C">
        <w:rPr>
          <w:rFonts w:asciiTheme="minorEastAsia" w:hAnsiTheme="minorEastAsia" w:cs="楷体_GB2312"/>
          <w:kern w:val="0"/>
          <w:szCs w:val="21"/>
        </w:rPr>
        <w:t>0.4</w:t>
      </w:r>
      <w:r w:rsidRPr="00F6635C">
        <w:rPr>
          <w:rFonts w:asciiTheme="minorEastAsia" w:hAnsiTheme="minorEastAsia" w:cs="楷体_GB2312" w:hint="eastAsia"/>
          <w:kern w:val="0"/>
          <w:szCs w:val="21"/>
        </w:rPr>
        <w:t>个百分点；其中，住宅竣工面积</w:t>
      </w:r>
      <w:r w:rsidRPr="00F6635C">
        <w:rPr>
          <w:rFonts w:asciiTheme="minorEastAsia" w:hAnsiTheme="minorEastAsia" w:cs="楷体_GB2312"/>
          <w:kern w:val="0"/>
          <w:szCs w:val="21"/>
        </w:rPr>
        <w:t>41170</w:t>
      </w:r>
      <w:r w:rsidRPr="00F6635C">
        <w:rPr>
          <w:rFonts w:asciiTheme="minorEastAsia" w:hAnsiTheme="minorEastAsia" w:cs="楷体_GB2312" w:hint="eastAsia"/>
          <w:kern w:val="0"/>
          <w:szCs w:val="21"/>
        </w:rPr>
        <w:t>万平方米，增长</w:t>
      </w:r>
      <w:r w:rsidRPr="00F6635C">
        <w:rPr>
          <w:rFonts w:asciiTheme="minorEastAsia" w:hAnsiTheme="minorEastAsia" w:cs="楷体_GB2312"/>
          <w:kern w:val="0"/>
          <w:szCs w:val="21"/>
        </w:rPr>
        <w:t>1.4%</w:t>
      </w:r>
      <w:r w:rsidRPr="00F6635C">
        <w:rPr>
          <w:rFonts w:asciiTheme="minorEastAsia" w:hAnsiTheme="minorEastAsia" w:cs="楷体_GB2312" w:hint="eastAsia"/>
          <w:kern w:val="0"/>
          <w:szCs w:val="21"/>
        </w:rPr>
        <w:t>。</w:t>
      </w:r>
      <w:r w:rsidRPr="00F6635C">
        <w:rPr>
          <w:rFonts w:asciiTheme="minorEastAsia" w:hAnsiTheme="minorEastAsia" w:cs="楷体_GB2312"/>
          <w:kern w:val="0"/>
          <w:szCs w:val="21"/>
        </w:rPr>
        <w:t xml:space="preserve"> </w:t>
      </w:r>
    </w:p>
    <w:p w:rsidR="004F1718" w:rsidRPr="005A646D" w:rsidRDefault="004F1718" w:rsidP="004F1718">
      <w:pPr>
        <w:autoSpaceDE w:val="0"/>
        <w:autoSpaceDN w:val="0"/>
        <w:adjustRightInd w:val="0"/>
        <w:spacing w:line="360" w:lineRule="auto"/>
        <w:ind w:firstLineChars="200" w:firstLine="420"/>
        <w:jc w:val="left"/>
        <w:rPr>
          <w:rFonts w:asciiTheme="minorEastAsia" w:hAnsiTheme="minorEastAsia" w:cs="楷体_GB2312"/>
          <w:kern w:val="0"/>
          <w:szCs w:val="21"/>
        </w:rPr>
      </w:pPr>
      <w:r w:rsidRPr="005A646D">
        <w:rPr>
          <w:rFonts w:asciiTheme="minorEastAsia" w:hAnsiTheme="minorEastAsia" w:cs="楷体_GB2312"/>
          <w:kern w:val="0"/>
          <w:szCs w:val="21"/>
        </w:rPr>
        <w:t>2013</w:t>
      </w:r>
      <w:r w:rsidRPr="005A646D">
        <w:rPr>
          <w:rFonts w:asciiTheme="minorEastAsia" w:hAnsiTheme="minorEastAsia" w:cs="楷体_GB2312" w:hint="eastAsia"/>
          <w:kern w:val="0"/>
          <w:szCs w:val="21"/>
        </w:rPr>
        <w:t>年9月份，全国房屋新开工面积为</w:t>
      </w:r>
      <w:r w:rsidRPr="005A646D">
        <w:rPr>
          <w:rFonts w:asciiTheme="minorEastAsia" w:hAnsiTheme="minorEastAsia" w:cs="楷体_GB2312"/>
          <w:kern w:val="0"/>
          <w:szCs w:val="21"/>
        </w:rPr>
        <w:t>17059.25</w:t>
      </w:r>
      <w:r w:rsidRPr="005A646D">
        <w:rPr>
          <w:rFonts w:asciiTheme="minorEastAsia" w:hAnsiTheme="minorEastAsia" w:cs="楷体_GB2312" w:hint="eastAsia"/>
          <w:kern w:val="0"/>
          <w:szCs w:val="21"/>
        </w:rPr>
        <w:t>万平米，同比上涨41.29</w:t>
      </w:r>
      <w:r w:rsidRPr="005A646D">
        <w:rPr>
          <w:rFonts w:asciiTheme="minorEastAsia" w:hAnsiTheme="minorEastAsia" w:cs="楷体_GB2312"/>
          <w:kern w:val="0"/>
          <w:szCs w:val="21"/>
        </w:rPr>
        <w:t>%</w:t>
      </w:r>
      <w:r w:rsidRPr="005A646D">
        <w:rPr>
          <w:rFonts w:asciiTheme="minorEastAsia" w:hAnsiTheme="minorEastAsia" w:cs="楷体_GB2312" w:hint="eastAsia"/>
          <w:kern w:val="0"/>
          <w:szCs w:val="21"/>
        </w:rPr>
        <w:t>。全国房屋竣工面积为</w:t>
      </w:r>
      <w:r w:rsidRPr="005A646D">
        <w:rPr>
          <w:rFonts w:asciiTheme="minorEastAsia" w:hAnsiTheme="minorEastAsia" w:cs="楷体_GB2312"/>
          <w:kern w:val="0"/>
          <w:szCs w:val="21"/>
        </w:rPr>
        <w:t>6055.95</w:t>
      </w:r>
      <w:r w:rsidRPr="005A646D">
        <w:rPr>
          <w:rFonts w:asciiTheme="minorEastAsia" w:hAnsiTheme="minorEastAsia" w:cs="楷体_GB2312" w:hint="eastAsia"/>
          <w:kern w:val="0"/>
          <w:szCs w:val="21"/>
        </w:rPr>
        <w:t>万平方米，同比上涨1.55</w:t>
      </w:r>
      <w:r w:rsidRPr="005A646D">
        <w:rPr>
          <w:rFonts w:asciiTheme="minorEastAsia" w:hAnsiTheme="minorEastAsia" w:cs="楷体_GB2312"/>
          <w:kern w:val="0"/>
          <w:szCs w:val="21"/>
        </w:rPr>
        <w:t>%</w:t>
      </w:r>
      <w:r w:rsidRPr="005A646D">
        <w:rPr>
          <w:rFonts w:asciiTheme="minorEastAsia" w:hAnsiTheme="minorEastAsia" w:cs="楷体_GB2312" w:hint="eastAsia"/>
          <w:kern w:val="0"/>
          <w:szCs w:val="21"/>
        </w:rPr>
        <w:t>。</w:t>
      </w:r>
    </w:p>
    <w:p w:rsidR="004F1718" w:rsidRPr="003D1D90" w:rsidRDefault="004F1718" w:rsidP="004F1718">
      <w:pPr>
        <w:autoSpaceDE w:val="0"/>
        <w:autoSpaceDN w:val="0"/>
        <w:adjustRightInd w:val="0"/>
        <w:spacing w:line="360" w:lineRule="auto"/>
        <w:jc w:val="center"/>
        <w:rPr>
          <w:rFonts w:asciiTheme="minorEastAsia" w:hAnsiTheme="minorEastAsia" w:cs="楷体_GB2312"/>
          <w:kern w:val="0"/>
          <w:szCs w:val="21"/>
        </w:rPr>
      </w:pPr>
      <w:r w:rsidRPr="005A646D">
        <w:rPr>
          <w:rFonts w:asciiTheme="minorEastAsia" w:hAnsiTheme="minorEastAsia" w:cs="楷体_GB2312" w:hint="eastAsia"/>
          <w:kern w:val="0"/>
          <w:szCs w:val="21"/>
        </w:rPr>
        <w:t>图</w:t>
      </w:r>
      <w:r>
        <w:rPr>
          <w:rFonts w:asciiTheme="minorEastAsia" w:hAnsiTheme="minorEastAsia" w:cs="楷体_GB2312" w:hint="eastAsia"/>
          <w:kern w:val="0"/>
          <w:szCs w:val="21"/>
        </w:rPr>
        <w:t>35</w:t>
      </w:r>
      <w:r w:rsidRPr="005A646D">
        <w:rPr>
          <w:rFonts w:asciiTheme="minorEastAsia" w:hAnsiTheme="minorEastAsia" w:cs="楷体_GB2312" w:hint="eastAsia"/>
          <w:kern w:val="0"/>
          <w:szCs w:val="21"/>
        </w:rPr>
        <w:t>：</w:t>
      </w:r>
      <w:r>
        <w:rPr>
          <w:rFonts w:asciiTheme="minorEastAsia" w:hAnsiTheme="minorEastAsia" w:cs="楷体_GB2312" w:hint="eastAsia"/>
          <w:kern w:val="0"/>
          <w:szCs w:val="21"/>
        </w:rPr>
        <w:t>9</w:t>
      </w:r>
      <w:r w:rsidRPr="005A646D">
        <w:rPr>
          <w:rFonts w:asciiTheme="minorEastAsia" w:hAnsiTheme="minorEastAsia" w:cs="楷体_GB2312" w:hint="eastAsia"/>
          <w:kern w:val="0"/>
          <w:szCs w:val="21"/>
        </w:rPr>
        <w:t>月全国房屋新开工面积同比上涨</w:t>
      </w:r>
      <w:r>
        <w:rPr>
          <w:rFonts w:asciiTheme="minorEastAsia" w:hAnsiTheme="minorEastAsia" w:cs="楷体_GB2312" w:hint="eastAsia"/>
          <w:kern w:val="0"/>
          <w:szCs w:val="21"/>
        </w:rPr>
        <w:t xml:space="preserve">            </w:t>
      </w:r>
      <w:r w:rsidRPr="00926858">
        <w:rPr>
          <w:rFonts w:asciiTheme="minorEastAsia" w:hAnsiTheme="minorEastAsia" w:cs="楷体_GB2312" w:hint="eastAsia"/>
          <w:kern w:val="0"/>
          <w:szCs w:val="21"/>
        </w:rPr>
        <w:t>图</w:t>
      </w:r>
      <w:r>
        <w:rPr>
          <w:rFonts w:asciiTheme="minorEastAsia" w:hAnsiTheme="minorEastAsia" w:cs="楷体_GB2312" w:hint="eastAsia"/>
          <w:kern w:val="0"/>
          <w:szCs w:val="21"/>
        </w:rPr>
        <w:t>36</w:t>
      </w:r>
      <w:r w:rsidRPr="00926858">
        <w:rPr>
          <w:rFonts w:asciiTheme="minorEastAsia" w:hAnsiTheme="minorEastAsia" w:cs="楷体_GB2312" w:hint="eastAsia"/>
          <w:kern w:val="0"/>
          <w:szCs w:val="21"/>
        </w:rPr>
        <w:t>：9月全国房屋竣工面积同比上涨</w:t>
      </w:r>
    </w:p>
    <w:p w:rsidR="004F1718" w:rsidRPr="00F6635C" w:rsidRDefault="004F1718" w:rsidP="004F1718">
      <w:pPr>
        <w:autoSpaceDE w:val="0"/>
        <w:autoSpaceDN w:val="0"/>
        <w:adjustRightInd w:val="0"/>
        <w:spacing w:line="360" w:lineRule="auto"/>
        <w:rPr>
          <w:rFonts w:asciiTheme="minorEastAsia" w:hAnsiTheme="minorEastAsia" w:cs="楷体_GB2312"/>
          <w:color w:val="FF0000"/>
          <w:kern w:val="0"/>
          <w:szCs w:val="21"/>
        </w:rPr>
      </w:pPr>
      <w:r w:rsidRPr="00926858">
        <w:rPr>
          <w:rFonts w:asciiTheme="minorEastAsia" w:hAnsiTheme="minorEastAsia" w:cs="楷体_GB2312"/>
          <w:noProof/>
          <w:kern w:val="0"/>
          <w:szCs w:val="21"/>
        </w:rPr>
        <w:drawing>
          <wp:inline distT="0" distB="0" distL="0" distR="0">
            <wp:extent cx="3076575" cy="2743200"/>
            <wp:effectExtent l="19050" t="0" r="9525" b="0"/>
            <wp:docPr id="62"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3D1D90">
        <w:rPr>
          <w:rFonts w:asciiTheme="minorEastAsia" w:hAnsiTheme="minorEastAsia" w:cs="楷体_GB2312"/>
          <w:noProof/>
          <w:color w:val="FF0000"/>
          <w:kern w:val="0"/>
          <w:szCs w:val="21"/>
        </w:rPr>
        <w:drawing>
          <wp:inline distT="0" distB="0" distL="0" distR="0">
            <wp:extent cx="2943225" cy="2743200"/>
            <wp:effectExtent l="19050" t="0" r="9525" b="0"/>
            <wp:docPr id="63"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4F1718" w:rsidRPr="00097E0A" w:rsidRDefault="00AA6E68" w:rsidP="004F1718">
      <w:pPr>
        <w:autoSpaceDE w:val="0"/>
        <w:autoSpaceDN w:val="0"/>
        <w:adjustRightInd w:val="0"/>
        <w:spacing w:line="360" w:lineRule="auto"/>
        <w:ind w:firstLineChars="200" w:firstLine="420"/>
        <w:jc w:val="left"/>
        <w:rPr>
          <w:rFonts w:asciiTheme="minorEastAsia" w:hAnsiTheme="minorEastAsia" w:cs="楷体_GB2312"/>
          <w:kern w:val="0"/>
          <w:szCs w:val="21"/>
        </w:rPr>
      </w:pPr>
      <w:r>
        <w:rPr>
          <w:rFonts w:asciiTheme="minorEastAsia" w:hAnsiTheme="minorEastAsia" w:cs="楷体_GB2312"/>
          <w:noProof/>
          <w:kern w:val="0"/>
          <w:szCs w:val="21"/>
        </w:rPr>
        <w:pict>
          <v:shape id="_x0000_s2136" type="#_x0000_t202" style="position:absolute;left:0;text-align:left;margin-left:209.4pt;margin-top:111.9pt;width:108.75pt;height:20.25pt;z-index:251905024" strokecolor="white [3212]">
            <v:textbox>
              <w:txbxContent>
                <w:p w:rsidR="00832D5A" w:rsidRDefault="00832D5A" w:rsidP="00D96AFD">
                  <w:pPr>
                    <w:jc w:val="center"/>
                  </w:pPr>
                  <w:r>
                    <w:rPr>
                      <w:rFonts w:hint="eastAsia"/>
                    </w:rPr>
                    <w:t>第</w:t>
                  </w:r>
                  <w:r>
                    <w:rPr>
                      <w:rFonts w:hint="eastAsia"/>
                    </w:rPr>
                    <w:t>21</w:t>
                  </w:r>
                  <w:r>
                    <w:rPr>
                      <w:rFonts w:hint="eastAsia"/>
                    </w:rPr>
                    <w:t>页</w:t>
                  </w:r>
                </w:p>
              </w:txbxContent>
            </v:textbox>
          </v:shape>
        </w:pict>
      </w:r>
      <w:r w:rsidR="004F1718" w:rsidRPr="00DC1835">
        <w:rPr>
          <w:rFonts w:asciiTheme="minorEastAsia" w:hAnsiTheme="minorEastAsia" w:cs="楷体_GB2312"/>
          <w:kern w:val="0"/>
          <w:szCs w:val="21"/>
        </w:rPr>
        <w:t xml:space="preserve">2013 </w:t>
      </w:r>
      <w:r w:rsidR="004F1718" w:rsidRPr="00DC1835">
        <w:rPr>
          <w:rFonts w:asciiTheme="minorEastAsia" w:hAnsiTheme="minorEastAsia" w:cs="楷体_GB2312" w:hint="eastAsia"/>
          <w:kern w:val="0"/>
          <w:szCs w:val="21"/>
        </w:rPr>
        <w:t>年</w:t>
      </w:r>
      <w:r w:rsidR="004F1718" w:rsidRPr="00DC1835">
        <w:rPr>
          <w:rFonts w:asciiTheme="minorEastAsia" w:hAnsiTheme="minorEastAsia" w:cs="楷体_GB2312"/>
          <w:kern w:val="0"/>
          <w:szCs w:val="21"/>
        </w:rPr>
        <w:t>1-</w:t>
      </w:r>
      <w:r w:rsidR="004F1718" w:rsidRPr="00DC1835">
        <w:rPr>
          <w:rFonts w:asciiTheme="minorEastAsia" w:hAnsiTheme="minorEastAsia" w:cs="楷体_GB2312" w:hint="eastAsia"/>
          <w:kern w:val="0"/>
          <w:szCs w:val="21"/>
        </w:rPr>
        <w:t>9月房地产开发投资额达到61119.55亿元，同比增长19.70%。</w:t>
      </w:r>
      <w:r w:rsidR="004F1718" w:rsidRPr="00097E0A">
        <w:rPr>
          <w:rFonts w:asciiTheme="minorEastAsia" w:hAnsiTheme="minorEastAsia" w:cs="楷体_GB2312" w:hint="eastAsia"/>
          <w:kern w:val="0"/>
          <w:szCs w:val="21"/>
        </w:rPr>
        <w:t>其中，9月份，房地产开发投资完成额达到</w:t>
      </w:r>
      <w:r w:rsidR="004F1718">
        <w:rPr>
          <w:rFonts w:asciiTheme="minorEastAsia" w:hAnsiTheme="minorEastAsia" w:cs="楷体_GB2312" w:hint="eastAsia"/>
          <w:kern w:val="0"/>
          <w:szCs w:val="21"/>
        </w:rPr>
        <w:t>8999.78</w:t>
      </w:r>
      <w:r w:rsidR="004F1718" w:rsidRPr="00097E0A">
        <w:rPr>
          <w:rFonts w:asciiTheme="minorEastAsia" w:hAnsiTheme="minorEastAsia" w:cs="楷体_GB2312" w:hint="eastAsia"/>
          <w:kern w:val="0"/>
          <w:szCs w:val="21"/>
        </w:rPr>
        <w:t>亿元，同比增长</w:t>
      </w:r>
      <w:r w:rsidR="004F1718">
        <w:rPr>
          <w:rFonts w:asciiTheme="minorEastAsia" w:hAnsiTheme="minorEastAsia" w:cs="楷体_GB2312" w:hint="eastAsia"/>
          <w:kern w:val="0"/>
          <w:szCs w:val="21"/>
        </w:rPr>
        <w:t>22.31</w:t>
      </w:r>
      <w:r w:rsidR="004F1718" w:rsidRPr="00097E0A">
        <w:rPr>
          <w:rFonts w:asciiTheme="minorEastAsia" w:hAnsiTheme="minorEastAsia" w:cs="楷体_GB2312"/>
          <w:kern w:val="0"/>
          <w:szCs w:val="21"/>
        </w:rPr>
        <w:t>%</w:t>
      </w:r>
      <w:r w:rsidR="004F1718" w:rsidRPr="00097E0A">
        <w:rPr>
          <w:rFonts w:asciiTheme="minorEastAsia" w:hAnsiTheme="minorEastAsia" w:cs="楷体_GB2312" w:hint="eastAsia"/>
          <w:kern w:val="0"/>
          <w:szCs w:val="21"/>
        </w:rPr>
        <w:t>。其中，住宅投资完成额达到</w:t>
      </w:r>
      <w:r w:rsidR="004F1718">
        <w:rPr>
          <w:rFonts w:asciiTheme="minorEastAsia" w:hAnsiTheme="minorEastAsia" w:cs="楷体_GB2312" w:hint="eastAsia"/>
          <w:kern w:val="0"/>
          <w:szCs w:val="21"/>
        </w:rPr>
        <w:t>6240.73</w:t>
      </w:r>
      <w:r w:rsidR="004F1718" w:rsidRPr="00097E0A">
        <w:rPr>
          <w:rFonts w:asciiTheme="minorEastAsia" w:hAnsiTheme="minorEastAsia" w:cs="楷体_GB2312" w:hint="eastAsia"/>
          <w:kern w:val="0"/>
          <w:szCs w:val="21"/>
        </w:rPr>
        <w:t>亿元，同比增长</w:t>
      </w:r>
      <w:r w:rsidR="004F1718">
        <w:rPr>
          <w:rFonts w:asciiTheme="minorEastAsia" w:hAnsiTheme="minorEastAsia" w:cs="楷体_GB2312" w:hint="eastAsia"/>
          <w:kern w:val="0"/>
          <w:szCs w:val="21"/>
        </w:rPr>
        <w:t>21.50</w:t>
      </w:r>
      <w:r w:rsidR="004F1718" w:rsidRPr="00097E0A">
        <w:rPr>
          <w:rFonts w:asciiTheme="minorEastAsia" w:hAnsiTheme="minorEastAsia" w:cs="楷体_GB2312"/>
          <w:kern w:val="0"/>
          <w:szCs w:val="21"/>
        </w:rPr>
        <w:t>%</w:t>
      </w:r>
      <w:r w:rsidR="004F1718" w:rsidRPr="00097E0A">
        <w:rPr>
          <w:rFonts w:asciiTheme="minorEastAsia" w:hAnsiTheme="minorEastAsia" w:cs="楷体_GB2312" w:hint="eastAsia"/>
          <w:kern w:val="0"/>
          <w:szCs w:val="21"/>
        </w:rPr>
        <w:t>，占投资总额的</w:t>
      </w:r>
      <w:r w:rsidR="004F1718">
        <w:rPr>
          <w:rFonts w:asciiTheme="minorEastAsia" w:hAnsiTheme="minorEastAsia" w:cs="楷体_GB2312" w:hint="eastAsia"/>
          <w:kern w:val="0"/>
          <w:szCs w:val="21"/>
        </w:rPr>
        <w:t>69.34</w:t>
      </w:r>
      <w:r w:rsidR="004F1718" w:rsidRPr="00097E0A">
        <w:rPr>
          <w:rFonts w:asciiTheme="minorEastAsia" w:hAnsiTheme="minorEastAsia" w:cs="楷体_GB2312"/>
          <w:kern w:val="0"/>
          <w:szCs w:val="21"/>
        </w:rPr>
        <w:t>%</w:t>
      </w:r>
      <w:r w:rsidR="004F1718" w:rsidRPr="00097E0A">
        <w:rPr>
          <w:rFonts w:asciiTheme="minorEastAsia" w:hAnsiTheme="minorEastAsia" w:cs="楷体_GB2312" w:hint="eastAsia"/>
          <w:kern w:val="0"/>
          <w:szCs w:val="21"/>
        </w:rPr>
        <w:t>，增速与上个月略有下降；而同期办公楼和商业营业用房投资分别额为</w:t>
      </w:r>
      <w:r w:rsidR="004F1718">
        <w:rPr>
          <w:rFonts w:asciiTheme="minorEastAsia" w:hAnsiTheme="minorEastAsia" w:cs="楷体_GB2312" w:hint="eastAsia"/>
          <w:kern w:val="0"/>
          <w:szCs w:val="21"/>
        </w:rPr>
        <w:t>411.63</w:t>
      </w:r>
      <w:r w:rsidR="004F1718" w:rsidRPr="00097E0A">
        <w:rPr>
          <w:rFonts w:asciiTheme="minorEastAsia" w:hAnsiTheme="minorEastAsia" w:cs="楷体_GB2312" w:hint="eastAsia"/>
          <w:kern w:val="0"/>
          <w:szCs w:val="21"/>
        </w:rPr>
        <w:t>亿元和</w:t>
      </w:r>
      <w:r w:rsidR="004F1718">
        <w:rPr>
          <w:rFonts w:asciiTheme="minorEastAsia" w:hAnsiTheme="minorEastAsia" w:cs="楷体_GB2312" w:hint="eastAsia"/>
          <w:kern w:val="0"/>
          <w:szCs w:val="21"/>
        </w:rPr>
        <w:lastRenderedPageBreak/>
        <w:t>1256.22</w:t>
      </w:r>
      <w:r w:rsidR="004F1718" w:rsidRPr="00097E0A">
        <w:rPr>
          <w:rFonts w:asciiTheme="minorEastAsia" w:hAnsiTheme="minorEastAsia" w:cs="楷体_GB2312" w:hint="eastAsia"/>
          <w:kern w:val="0"/>
          <w:szCs w:val="21"/>
        </w:rPr>
        <w:t>亿元，同比分别增长</w:t>
      </w:r>
      <w:r w:rsidR="004F1718">
        <w:rPr>
          <w:rFonts w:asciiTheme="minorEastAsia" w:hAnsiTheme="minorEastAsia" w:cs="楷体_GB2312" w:hint="eastAsia"/>
          <w:kern w:val="0"/>
          <w:szCs w:val="21"/>
        </w:rPr>
        <w:t>22.64</w:t>
      </w:r>
      <w:r w:rsidR="004F1718" w:rsidRPr="00097E0A">
        <w:rPr>
          <w:rFonts w:asciiTheme="minorEastAsia" w:hAnsiTheme="minorEastAsia" w:cs="楷体_GB2312"/>
          <w:kern w:val="0"/>
          <w:szCs w:val="21"/>
        </w:rPr>
        <w:t>%</w:t>
      </w:r>
      <w:r w:rsidR="004F1718" w:rsidRPr="00097E0A">
        <w:rPr>
          <w:rFonts w:asciiTheme="minorEastAsia" w:hAnsiTheme="minorEastAsia" w:cs="楷体_GB2312" w:hint="eastAsia"/>
          <w:kern w:val="0"/>
          <w:szCs w:val="21"/>
        </w:rPr>
        <w:t>和</w:t>
      </w:r>
      <w:r w:rsidR="004F1718">
        <w:rPr>
          <w:rFonts w:asciiTheme="minorEastAsia" w:hAnsiTheme="minorEastAsia" w:cs="楷体_GB2312" w:hint="eastAsia"/>
          <w:kern w:val="0"/>
          <w:szCs w:val="21"/>
        </w:rPr>
        <w:t>36.25</w:t>
      </w:r>
      <w:r w:rsidR="004F1718" w:rsidRPr="00097E0A">
        <w:rPr>
          <w:rFonts w:asciiTheme="minorEastAsia" w:hAnsiTheme="minorEastAsia" w:cs="楷体_GB2312"/>
          <w:kern w:val="0"/>
          <w:szCs w:val="21"/>
        </w:rPr>
        <w:t>%</w:t>
      </w:r>
      <w:r w:rsidR="004F1718" w:rsidRPr="00097E0A">
        <w:rPr>
          <w:rFonts w:asciiTheme="minorEastAsia" w:hAnsiTheme="minorEastAsia" w:cs="楷体_GB2312" w:hint="eastAsia"/>
          <w:kern w:val="0"/>
          <w:szCs w:val="21"/>
        </w:rPr>
        <w:t>。</w:t>
      </w:r>
    </w:p>
    <w:p w:rsidR="004F1718" w:rsidRPr="00097E0A" w:rsidRDefault="0048295B" w:rsidP="004F1718">
      <w:pPr>
        <w:autoSpaceDE w:val="0"/>
        <w:autoSpaceDN w:val="0"/>
        <w:adjustRightInd w:val="0"/>
        <w:spacing w:line="360" w:lineRule="auto"/>
        <w:ind w:firstLineChars="100" w:firstLine="210"/>
        <w:jc w:val="center"/>
        <w:rPr>
          <w:rFonts w:asciiTheme="minorEastAsia" w:hAnsiTheme="minorEastAsia" w:cs="楷体_GB2312"/>
          <w:kern w:val="0"/>
          <w:szCs w:val="21"/>
        </w:rPr>
      </w:pPr>
      <w:r>
        <w:rPr>
          <w:rFonts w:asciiTheme="minorEastAsia" w:hAnsiTheme="minorEastAsia" w:cs="楷体_GB2312" w:hint="eastAsia"/>
          <w:noProof/>
          <w:kern w:val="0"/>
          <w:szCs w:val="21"/>
        </w:rPr>
        <w:drawing>
          <wp:anchor distT="0" distB="0" distL="114300" distR="114300" simplePos="0" relativeHeight="251858944" behindDoc="1" locked="0" layoutInCell="1" allowOverlap="1">
            <wp:simplePos x="0" y="0"/>
            <wp:positionH relativeFrom="column">
              <wp:posOffset>-683895</wp:posOffset>
            </wp:positionH>
            <wp:positionV relativeFrom="paragraph">
              <wp:posOffset>-1737360</wp:posOffset>
            </wp:positionV>
            <wp:extent cx="7581900" cy="10725150"/>
            <wp:effectExtent l="19050" t="0" r="0" b="0"/>
            <wp:wrapNone/>
            <wp:docPr id="116"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004F1718" w:rsidRPr="00097E0A">
        <w:rPr>
          <w:rFonts w:asciiTheme="minorEastAsia" w:hAnsiTheme="minorEastAsia" w:cs="楷体_GB2312" w:hint="eastAsia"/>
          <w:kern w:val="0"/>
          <w:szCs w:val="21"/>
        </w:rPr>
        <w:t>图</w:t>
      </w:r>
      <w:r w:rsidR="004F1718" w:rsidRPr="00097E0A">
        <w:rPr>
          <w:rFonts w:asciiTheme="minorEastAsia" w:hAnsiTheme="minorEastAsia" w:cs="楷体_GB2312"/>
          <w:kern w:val="0"/>
          <w:szCs w:val="21"/>
        </w:rPr>
        <w:t xml:space="preserve"> </w:t>
      </w:r>
      <w:r w:rsidR="004F1718">
        <w:rPr>
          <w:rFonts w:asciiTheme="minorEastAsia" w:hAnsiTheme="minorEastAsia" w:cs="楷体_GB2312" w:hint="eastAsia"/>
          <w:kern w:val="0"/>
          <w:szCs w:val="21"/>
        </w:rPr>
        <w:t>37</w:t>
      </w:r>
      <w:r w:rsidR="004F1718" w:rsidRPr="00097E0A">
        <w:rPr>
          <w:rFonts w:asciiTheme="minorEastAsia" w:hAnsiTheme="minorEastAsia" w:cs="楷体_GB2312" w:hint="eastAsia"/>
          <w:kern w:val="0"/>
          <w:szCs w:val="21"/>
        </w:rPr>
        <w:t>：</w:t>
      </w:r>
      <w:r w:rsidR="004F1718" w:rsidRPr="00097E0A">
        <w:rPr>
          <w:rFonts w:asciiTheme="minorEastAsia" w:hAnsiTheme="minorEastAsia" w:cs="楷体_GB2312"/>
          <w:kern w:val="0"/>
          <w:szCs w:val="21"/>
        </w:rPr>
        <w:t xml:space="preserve"> </w:t>
      </w:r>
      <w:r w:rsidR="004F1718" w:rsidRPr="00097E0A">
        <w:rPr>
          <w:rFonts w:asciiTheme="minorEastAsia" w:hAnsiTheme="minorEastAsia" w:cs="楷体_GB2312" w:hint="eastAsia"/>
          <w:kern w:val="0"/>
          <w:szCs w:val="21"/>
        </w:rPr>
        <w:t>房地产开发投资额增速基本持平图</w:t>
      </w:r>
      <w:r w:rsidR="004F1718">
        <w:rPr>
          <w:rFonts w:asciiTheme="minorEastAsia" w:hAnsiTheme="minorEastAsia" w:cs="楷体_GB2312" w:hint="eastAsia"/>
          <w:kern w:val="0"/>
          <w:szCs w:val="21"/>
        </w:rPr>
        <w:t xml:space="preserve">     </w:t>
      </w:r>
      <w:r w:rsidR="004F1718" w:rsidRPr="00097E0A">
        <w:rPr>
          <w:rFonts w:asciiTheme="minorEastAsia" w:hAnsiTheme="minorEastAsia" w:cs="楷体_GB2312" w:hint="eastAsia"/>
          <w:kern w:val="0"/>
          <w:szCs w:val="21"/>
        </w:rPr>
        <w:t xml:space="preserve">图 </w:t>
      </w:r>
      <w:r w:rsidR="004F1718">
        <w:rPr>
          <w:rFonts w:asciiTheme="minorEastAsia" w:hAnsiTheme="minorEastAsia" w:cs="楷体_GB2312" w:hint="eastAsia"/>
          <w:kern w:val="0"/>
          <w:szCs w:val="21"/>
        </w:rPr>
        <w:t>38</w:t>
      </w:r>
      <w:r w:rsidR="004F1718" w:rsidRPr="00097E0A">
        <w:rPr>
          <w:rFonts w:asciiTheme="minorEastAsia" w:hAnsiTheme="minorEastAsia" w:cs="楷体_GB2312" w:hint="eastAsia"/>
          <w:kern w:val="0"/>
          <w:szCs w:val="21"/>
        </w:rPr>
        <w:t>：</w:t>
      </w:r>
      <w:r w:rsidR="004F1718" w:rsidRPr="00097E0A">
        <w:rPr>
          <w:rFonts w:asciiTheme="minorEastAsia" w:hAnsiTheme="minorEastAsia" w:cs="楷体_GB2312"/>
          <w:kern w:val="0"/>
          <w:szCs w:val="21"/>
        </w:rPr>
        <w:t xml:space="preserve"> </w:t>
      </w:r>
      <w:r w:rsidR="004F1718" w:rsidRPr="00097E0A">
        <w:rPr>
          <w:rFonts w:asciiTheme="minorEastAsia" w:hAnsiTheme="minorEastAsia" w:cs="楷体_GB2312" w:hint="eastAsia"/>
          <w:kern w:val="0"/>
          <w:szCs w:val="21"/>
        </w:rPr>
        <w:t>住宅开发投资额增速与去年略有下降</w:t>
      </w:r>
    </w:p>
    <w:p w:rsidR="004F1718" w:rsidRDefault="004F1718" w:rsidP="004F1718">
      <w:pPr>
        <w:autoSpaceDE w:val="0"/>
        <w:autoSpaceDN w:val="0"/>
        <w:adjustRightInd w:val="0"/>
        <w:spacing w:line="360" w:lineRule="auto"/>
        <w:jc w:val="left"/>
        <w:rPr>
          <w:rFonts w:asciiTheme="minorEastAsia" w:hAnsiTheme="minorEastAsia" w:cs="楷体_GB2312"/>
          <w:kern w:val="0"/>
          <w:szCs w:val="21"/>
        </w:rPr>
      </w:pPr>
      <w:r w:rsidRPr="00096F8E">
        <w:rPr>
          <w:rFonts w:asciiTheme="minorEastAsia" w:hAnsiTheme="minorEastAsia" w:cs="楷体_GB2312"/>
          <w:noProof/>
          <w:kern w:val="0"/>
          <w:szCs w:val="21"/>
        </w:rPr>
        <w:drawing>
          <wp:inline distT="0" distB="0" distL="0" distR="0">
            <wp:extent cx="3076575" cy="2552700"/>
            <wp:effectExtent l="19050" t="0" r="9525" b="0"/>
            <wp:docPr id="64"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3D1D90">
        <w:rPr>
          <w:rFonts w:asciiTheme="minorEastAsia" w:hAnsiTheme="minorEastAsia" w:cs="楷体_GB2312"/>
          <w:noProof/>
          <w:kern w:val="0"/>
          <w:szCs w:val="21"/>
        </w:rPr>
        <w:drawing>
          <wp:inline distT="0" distB="0" distL="0" distR="0">
            <wp:extent cx="3019425" cy="2552700"/>
            <wp:effectExtent l="19050" t="0" r="9525" b="0"/>
            <wp:docPr id="65"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4F1718" w:rsidRPr="00097E0A" w:rsidRDefault="004F1718" w:rsidP="004F1718">
      <w:pPr>
        <w:autoSpaceDE w:val="0"/>
        <w:autoSpaceDN w:val="0"/>
        <w:adjustRightInd w:val="0"/>
        <w:spacing w:line="360" w:lineRule="auto"/>
        <w:jc w:val="left"/>
        <w:rPr>
          <w:rFonts w:asciiTheme="minorEastAsia" w:hAnsiTheme="minorEastAsia" w:cs="楷体_GB2312"/>
          <w:kern w:val="0"/>
          <w:szCs w:val="21"/>
        </w:rPr>
      </w:pPr>
    </w:p>
    <w:p w:rsidR="004F1718" w:rsidRDefault="00E02189" w:rsidP="004F1718">
      <w:pPr>
        <w:spacing w:line="360" w:lineRule="auto"/>
        <w:rPr>
          <w:rFonts w:asciiTheme="minorEastAsia" w:hAnsiTheme="minorEastAsia"/>
          <w:szCs w:val="21"/>
        </w:rPr>
      </w:pPr>
      <w:r>
        <w:rPr>
          <w:rFonts w:asciiTheme="minorEastAsia" w:hAnsiTheme="minorEastAsia" w:hint="eastAsia"/>
          <w:szCs w:val="21"/>
        </w:rPr>
        <w:t>（二）、商品期货持续下跌，存在上升动力</w:t>
      </w:r>
    </w:p>
    <w:p w:rsidR="004F1718" w:rsidRDefault="004F1718" w:rsidP="004F1718">
      <w:pPr>
        <w:spacing w:line="360" w:lineRule="auto"/>
        <w:rPr>
          <w:rFonts w:asciiTheme="minorEastAsia" w:hAnsiTheme="minorEastAsia"/>
          <w:szCs w:val="21"/>
        </w:rPr>
      </w:pPr>
      <w:r>
        <w:rPr>
          <w:rFonts w:asciiTheme="minorEastAsia" w:hAnsiTheme="minorEastAsia" w:hint="eastAsia"/>
          <w:szCs w:val="21"/>
        </w:rPr>
        <w:t xml:space="preserve">  </w:t>
      </w:r>
      <w:r w:rsidRPr="002A2FA1">
        <w:rPr>
          <w:rFonts w:asciiTheme="minorEastAsia" w:hAnsiTheme="minorEastAsia" w:hint="eastAsia"/>
          <w:szCs w:val="21"/>
        </w:rPr>
        <w:t>9月底南华期货商品综合指数报收于1245.89点,较8月下跌5.81点,1-9月累计跌幅为9.8%；分类来看,今年以来，各农产品期货行情不一,截止9月底，农产品指数收于 875.63点。</w:t>
      </w:r>
      <w:proofErr w:type="gramStart"/>
      <w:r w:rsidRPr="002A2FA1">
        <w:rPr>
          <w:rFonts w:asciiTheme="minorEastAsia" w:hAnsiTheme="minorEastAsia" w:hint="eastAsia"/>
          <w:szCs w:val="21"/>
        </w:rPr>
        <w:t>菜籽油</w:t>
      </w:r>
      <w:proofErr w:type="gramEnd"/>
      <w:r w:rsidRPr="002A2FA1">
        <w:rPr>
          <w:rFonts w:asciiTheme="minorEastAsia" w:hAnsiTheme="minorEastAsia" w:hint="eastAsia"/>
          <w:szCs w:val="21"/>
        </w:rPr>
        <w:t>跌幅为5.21%，豆油跌幅为2.96%，早籼稻跌幅为1.17%，黄玉米跌幅0.09%，</w:t>
      </w:r>
      <w:proofErr w:type="gramStart"/>
      <w:r w:rsidRPr="002A2FA1">
        <w:rPr>
          <w:rFonts w:asciiTheme="minorEastAsia" w:hAnsiTheme="minorEastAsia" w:hint="eastAsia"/>
          <w:szCs w:val="21"/>
        </w:rPr>
        <w:t>棉花涨幅</w:t>
      </w:r>
      <w:proofErr w:type="gramEnd"/>
      <w:r w:rsidRPr="002A2FA1">
        <w:rPr>
          <w:rFonts w:asciiTheme="minorEastAsia" w:hAnsiTheme="minorEastAsia" w:hint="eastAsia"/>
          <w:szCs w:val="21"/>
        </w:rPr>
        <w:t>为0.33%；</w:t>
      </w:r>
      <w:proofErr w:type="gramStart"/>
      <w:r w:rsidRPr="002A2FA1">
        <w:rPr>
          <w:rFonts w:asciiTheme="minorEastAsia" w:hAnsiTheme="minorEastAsia" w:hint="eastAsia"/>
          <w:szCs w:val="21"/>
        </w:rPr>
        <w:t>白糖涨幅</w:t>
      </w:r>
      <w:proofErr w:type="gramEnd"/>
      <w:r w:rsidRPr="002A2FA1">
        <w:rPr>
          <w:rFonts w:asciiTheme="minorEastAsia" w:hAnsiTheme="minorEastAsia" w:hint="eastAsia"/>
          <w:szCs w:val="21"/>
        </w:rPr>
        <w:t>为1.86%，豆</w:t>
      </w:r>
      <w:proofErr w:type="gramStart"/>
      <w:r w:rsidRPr="002A2FA1">
        <w:rPr>
          <w:rFonts w:asciiTheme="minorEastAsia" w:hAnsiTheme="minorEastAsia" w:hint="eastAsia"/>
          <w:szCs w:val="21"/>
        </w:rPr>
        <w:t>粕</w:t>
      </w:r>
      <w:proofErr w:type="gramEnd"/>
      <w:r w:rsidRPr="002A2FA1">
        <w:rPr>
          <w:rFonts w:asciiTheme="minorEastAsia" w:hAnsiTheme="minorEastAsia" w:hint="eastAsia"/>
          <w:szCs w:val="21"/>
        </w:rPr>
        <w:t>涨幅为4.36%，其他农产品波动相对较小；化工品板块，9月能</w:t>
      </w:r>
      <w:proofErr w:type="gramStart"/>
      <w:r w:rsidRPr="002A2FA1">
        <w:rPr>
          <w:rFonts w:asciiTheme="minorEastAsia" w:hAnsiTheme="minorEastAsia" w:hint="eastAsia"/>
          <w:szCs w:val="21"/>
        </w:rPr>
        <w:t>化指数</w:t>
      </w:r>
      <w:proofErr w:type="gramEnd"/>
      <w:r w:rsidRPr="002A2FA1">
        <w:rPr>
          <w:rFonts w:asciiTheme="minorEastAsia" w:hAnsiTheme="minorEastAsia" w:hint="eastAsia"/>
          <w:szCs w:val="21"/>
        </w:rPr>
        <w:t>收于1291.39点, 跌</w:t>
      </w:r>
      <w:r w:rsidRPr="00925809">
        <w:rPr>
          <w:rFonts w:asciiTheme="minorEastAsia" w:hAnsiTheme="minorEastAsia" w:hint="eastAsia"/>
          <w:szCs w:val="21"/>
        </w:rPr>
        <w:t>幅为</w:t>
      </w:r>
      <w:r>
        <w:rPr>
          <w:rFonts w:asciiTheme="minorEastAsia" w:hAnsiTheme="minorEastAsia" w:hint="eastAsia"/>
          <w:szCs w:val="21"/>
        </w:rPr>
        <w:t>0.898</w:t>
      </w:r>
      <w:r w:rsidRPr="00925809">
        <w:rPr>
          <w:rFonts w:asciiTheme="minorEastAsia" w:hAnsiTheme="minorEastAsia" w:hint="eastAsia"/>
          <w:szCs w:val="21"/>
        </w:rPr>
        <w:t>%;金属类商品，各品种下跌</w:t>
      </w:r>
      <w:r>
        <w:rPr>
          <w:rFonts w:asciiTheme="minorEastAsia" w:hAnsiTheme="minorEastAsia" w:hint="eastAsia"/>
          <w:szCs w:val="21"/>
        </w:rPr>
        <w:t>幅度都</w:t>
      </w:r>
      <w:r w:rsidRPr="00925809">
        <w:rPr>
          <w:rFonts w:asciiTheme="minorEastAsia" w:hAnsiTheme="minorEastAsia" w:hint="eastAsia"/>
          <w:szCs w:val="21"/>
        </w:rPr>
        <w:t>较大，</w:t>
      </w:r>
      <w:proofErr w:type="gramStart"/>
      <w:r w:rsidRPr="00925809">
        <w:rPr>
          <w:rFonts w:asciiTheme="minorEastAsia" w:hAnsiTheme="minorEastAsia" w:hint="eastAsia"/>
          <w:szCs w:val="21"/>
        </w:rPr>
        <w:t>沪银下跌</w:t>
      </w:r>
      <w:proofErr w:type="gramEnd"/>
      <w:r>
        <w:rPr>
          <w:rFonts w:asciiTheme="minorEastAsia" w:hAnsiTheme="minorEastAsia" w:hint="eastAsia"/>
          <w:szCs w:val="21"/>
        </w:rPr>
        <w:t>7.56</w:t>
      </w:r>
      <w:r w:rsidRPr="00925809">
        <w:rPr>
          <w:rFonts w:asciiTheme="minorEastAsia" w:hAnsiTheme="minorEastAsia" w:hint="eastAsia"/>
          <w:szCs w:val="21"/>
        </w:rPr>
        <w:t>%，沪金跌幅</w:t>
      </w:r>
      <w:r>
        <w:rPr>
          <w:rFonts w:asciiTheme="minorEastAsia" w:hAnsiTheme="minorEastAsia" w:hint="eastAsia"/>
          <w:szCs w:val="21"/>
        </w:rPr>
        <w:t>4.55</w:t>
      </w:r>
      <w:r w:rsidRPr="00925809">
        <w:rPr>
          <w:rFonts w:asciiTheme="minorEastAsia" w:hAnsiTheme="minorEastAsia" w:hint="eastAsia"/>
          <w:szCs w:val="21"/>
        </w:rPr>
        <w:t>%，</w:t>
      </w:r>
      <w:r>
        <w:rPr>
          <w:rFonts w:asciiTheme="minorEastAsia" w:hAnsiTheme="minorEastAsia" w:hint="eastAsia"/>
          <w:szCs w:val="21"/>
        </w:rPr>
        <w:t>螺纹钢</w:t>
      </w:r>
      <w:r w:rsidRPr="00925809">
        <w:rPr>
          <w:rFonts w:asciiTheme="minorEastAsia" w:hAnsiTheme="minorEastAsia" w:hint="eastAsia"/>
          <w:szCs w:val="21"/>
        </w:rPr>
        <w:t>跌幅为</w:t>
      </w:r>
      <w:r>
        <w:rPr>
          <w:rFonts w:asciiTheme="minorEastAsia" w:hAnsiTheme="minorEastAsia" w:hint="eastAsia"/>
          <w:szCs w:val="21"/>
        </w:rPr>
        <w:t>4.42</w:t>
      </w:r>
      <w:r w:rsidRPr="00925809">
        <w:rPr>
          <w:rFonts w:asciiTheme="minorEastAsia" w:hAnsiTheme="minorEastAsia" w:hint="eastAsia"/>
          <w:szCs w:val="21"/>
        </w:rPr>
        <w:t>%，</w:t>
      </w:r>
      <w:proofErr w:type="gramStart"/>
      <w:r w:rsidRPr="00925809">
        <w:rPr>
          <w:rFonts w:asciiTheme="minorEastAsia" w:hAnsiTheme="minorEastAsia" w:hint="eastAsia"/>
          <w:szCs w:val="21"/>
        </w:rPr>
        <w:t>沪</w:t>
      </w:r>
      <w:r>
        <w:rPr>
          <w:rFonts w:asciiTheme="minorEastAsia" w:hAnsiTheme="minorEastAsia" w:hint="eastAsia"/>
          <w:szCs w:val="21"/>
        </w:rPr>
        <w:t>铅</w:t>
      </w:r>
      <w:r w:rsidRPr="00925809">
        <w:rPr>
          <w:rFonts w:asciiTheme="minorEastAsia" w:hAnsiTheme="minorEastAsia" w:hint="eastAsia"/>
          <w:szCs w:val="21"/>
        </w:rPr>
        <w:t>跌幅</w:t>
      </w:r>
      <w:proofErr w:type="gramEnd"/>
      <w:r>
        <w:rPr>
          <w:rFonts w:asciiTheme="minorEastAsia" w:hAnsiTheme="minorEastAsia" w:hint="eastAsia"/>
          <w:szCs w:val="21"/>
        </w:rPr>
        <w:t>4.14</w:t>
      </w:r>
      <w:r w:rsidRPr="00925809">
        <w:rPr>
          <w:rFonts w:asciiTheme="minorEastAsia" w:hAnsiTheme="minorEastAsia" w:hint="eastAsia"/>
          <w:szCs w:val="21"/>
        </w:rPr>
        <w:t>%</w:t>
      </w:r>
      <w:r>
        <w:rPr>
          <w:rFonts w:asciiTheme="minorEastAsia" w:hAnsiTheme="minorEastAsia" w:hint="eastAsia"/>
          <w:szCs w:val="21"/>
        </w:rPr>
        <w:t>，</w:t>
      </w:r>
      <w:proofErr w:type="gramStart"/>
      <w:r>
        <w:rPr>
          <w:rFonts w:asciiTheme="minorEastAsia" w:hAnsiTheme="minorEastAsia" w:hint="eastAsia"/>
          <w:szCs w:val="21"/>
        </w:rPr>
        <w:t>沪铝涨</w:t>
      </w:r>
      <w:r w:rsidRPr="00925809">
        <w:rPr>
          <w:rFonts w:asciiTheme="minorEastAsia" w:hAnsiTheme="minorEastAsia" w:hint="eastAsia"/>
          <w:szCs w:val="21"/>
        </w:rPr>
        <w:t>幅</w:t>
      </w:r>
      <w:proofErr w:type="gramEnd"/>
      <w:r>
        <w:rPr>
          <w:rFonts w:asciiTheme="minorEastAsia" w:hAnsiTheme="minorEastAsia" w:hint="eastAsia"/>
          <w:szCs w:val="21"/>
        </w:rPr>
        <w:t>0.42</w:t>
      </w:r>
      <w:r w:rsidRPr="00925809">
        <w:rPr>
          <w:rFonts w:asciiTheme="minorEastAsia" w:hAnsiTheme="minorEastAsia" w:hint="eastAsia"/>
          <w:szCs w:val="21"/>
        </w:rPr>
        <w:t>%，最终,金属指数报收于</w:t>
      </w:r>
      <w:r>
        <w:rPr>
          <w:rFonts w:asciiTheme="minorEastAsia" w:hAnsiTheme="minorEastAsia" w:hint="eastAsia"/>
          <w:szCs w:val="21"/>
        </w:rPr>
        <w:t>2092.47</w:t>
      </w:r>
      <w:r w:rsidRPr="00925809">
        <w:rPr>
          <w:rFonts w:asciiTheme="minorEastAsia" w:hAnsiTheme="minorEastAsia" w:hint="eastAsia"/>
          <w:szCs w:val="21"/>
        </w:rPr>
        <w:t>点,下跌</w:t>
      </w:r>
      <w:r>
        <w:rPr>
          <w:rFonts w:asciiTheme="minorEastAsia" w:hAnsiTheme="minorEastAsia" w:hint="eastAsia"/>
          <w:szCs w:val="21"/>
        </w:rPr>
        <w:t>17.28</w:t>
      </w:r>
      <w:r w:rsidRPr="00925809">
        <w:rPr>
          <w:rFonts w:asciiTheme="minorEastAsia" w:hAnsiTheme="minorEastAsia" w:hint="eastAsia"/>
          <w:szCs w:val="21"/>
        </w:rPr>
        <w:t xml:space="preserve"> 点,跌幅为</w:t>
      </w:r>
      <w:r>
        <w:rPr>
          <w:rFonts w:asciiTheme="minorEastAsia" w:hAnsiTheme="minorEastAsia" w:hint="eastAsia"/>
          <w:szCs w:val="21"/>
        </w:rPr>
        <w:t>0.819</w:t>
      </w:r>
      <w:r w:rsidRPr="00925809">
        <w:rPr>
          <w:rFonts w:asciiTheme="minorEastAsia" w:hAnsiTheme="minorEastAsia" w:hint="eastAsia"/>
          <w:szCs w:val="21"/>
        </w:rPr>
        <w:t>%。</w:t>
      </w:r>
    </w:p>
    <w:p w:rsidR="00D30D0E" w:rsidRDefault="00D30D0E" w:rsidP="00D30D0E">
      <w:pPr>
        <w:spacing w:line="360" w:lineRule="auto"/>
        <w:ind w:firstLineChars="200" w:firstLine="420"/>
        <w:rPr>
          <w:rFonts w:asciiTheme="minorEastAsia" w:hAnsiTheme="minorEastAsia"/>
          <w:szCs w:val="21"/>
        </w:rPr>
      </w:pPr>
    </w:p>
    <w:p w:rsidR="00011E0A" w:rsidRDefault="00011E0A" w:rsidP="004F1718">
      <w:pPr>
        <w:spacing w:line="360" w:lineRule="auto"/>
        <w:jc w:val="center"/>
        <w:rPr>
          <w:rFonts w:asciiTheme="minorEastAsia" w:hAnsiTheme="minorEastAsia"/>
          <w:szCs w:val="21"/>
        </w:rPr>
      </w:pPr>
    </w:p>
    <w:p w:rsidR="00011E0A" w:rsidRDefault="00011E0A" w:rsidP="004F1718">
      <w:pPr>
        <w:spacing w:line="360" w:lineRule="auto"/>
        <w:jc w:val="center"/>
        <w:rPr>
          <w:rFonts w:asciiTheme="minorEastAsia" w:hAnsiTheme="minorEastAsia"/>
          <w:szCs w:val="21"/>
        </w:rPr>
      </w:pPr>
    </w:p>
    <w:p w:rsidR="00011E0A" w:rsidRDefault="00011E0A" w:rsidP="004F1718">
      <w:pPr>
        <w:spacing w:line="360" w:lineRule="auto"/>
        <w:jc w:val="center"/>
        <w:rPr>
          <w:rFonts w:asciiTheme="minorEastAsia" w:hAnsiTheme="minorEastAsia"/>
          <w:szCs w:val="21"/>
        </w:rPr>
      </w:pPr>
    </w:p>
    <w:p w:rsidR="00011E0A" w:rsidRDefault="00011E0A" w:rsidP="004F1718">
      <w:pPr>
        <w:spacing w:line="360" w:lineRule="auto"/>
        <w:jc w:val="center"/>
        <w:rPr>
          <w:rFonts w:asciiTheme="minorEastAsia" w:hAnsiTheme="minorEastAsia"/>
          <w:szCs w:val="21"/>
        </w:rPr>
      </w:pPr>
    </w:p>
    <w:p w:rsidR="00011E0A" w:rsidRDefault="00011E0A" w:rsidP="004F1718">
      <w:pPr>
        <w:spacing w:line="360" w:lineRule="auto"/>
        <w:jc w:val="center"/>
        <w:rPr>
          <w:rFonts w:asciiTheme="minorEastAsia" w:hAnsiTheme="minorEastAsia"/>
          <w:szCs w:val="21"/>
        </w:rPr>
      </w:pPr>
    </w:p>
    <w:p w:rsidR="00011E0A" w:rsidRDefault="00011E0A" w:rsidP="004F1718">
      <w:pPr>
        <w:spacing w:line="360" w:lineRule="auto"/>
        <w:jc w:val="center"/>
        <w:rPr>
          <w:rFonts w:asciiTheme="minorEastAsia" w:hAnsiTheme="minorEastAsia"/>
          <w:szCs w:val="21"/>
        </w:rPr>
      </w:pPr>
    </w:p>
    <w:p w:rsidR="00011E0A" w:rsidRDefault="00011E0A" w:rsidP="004F1718">
      <w:pPr>
        <w:spacing w:line="360" w:lineRule="auto"/>
        <w:jc w:val="center"/>
        <w:rPr>
          <w:rFonts w:asciiTheme="minorEastAsia" w:hAnsiTheme="minorEastAsia"/>
          <w:szCs w:val="21"/>
        </w:rPr>
      </w:pPr>
    </w:p>
    <w:p w:rsidR="00011E0A" w:rsidRDefault="00AA6E68" w:rsidP="004F1718">
      <w:pPr>
        <w:spacing w:line="360" w:lineRule="auto"/>
        <w:jc w:val="center"/>
        <w:rPr>
          <w:rFonts w:asciiTheme="minorEastAsia" w:hAnsiTheme="minorEastAsia"/>
          <w:szCs w:val="21"/>
        </w:rPr>
      </w:pPr>
      <w:r>
        <w:rPr>
          <w:rFonts w:asciiTheme="minorEastAsia" w:hAnsiTheme="minorEastAsia"/>
          <w:noProof/>
          <w:szCs w:val="21"/>
        </w:rPr>
        <w:pict>
          <v:shape id="_x0000_s2137" type="#_x0000_t202" style="position:absolute;left:0;text-align:left;margin-left:201.9pt;margin-top:67.35pt;width:105.75pt;height:22.5pt;z-index:251906048" strokecolor="white [3212]">
            <v:textbox>
              <w:txbxContent>
                <w:p w:rsidR="00832D5A" w:rsidRDefault="00832D5A" w:rsidP="00D96AFD">
                  <w:pPr>
                    <w:jc w:val="center"/>
                  </w:pPr>
                  <w:r>
                    <w:rPr>
                      <w:rFonts w:hint="eastAsia"/>
                    </w:rPr>
                    <w:t>第</w:t>
                  </w:r>
                  <w:r>
                    <w:rPr>
                      <w:rFonts w:hint="eastAsia"/>
                    </w:rPr>
                    <w:t>22</w:t>
                  </w:r>
                  <w:r>
                    <w:rPr>
                      <w:rFonts w:hint="eastAsia"/>
                    </w:rPr>
                    <w:t>页</w:t>
                  </w:r>
                </w:p>
              </w:txbxContent>
            </v:textbox>
          </v:shape>
        </w:pict>
      </w:r>
    </w:p>
    <w:p w:rsidR="004F1718" w:rsidRDefault="00011E0A" w:rsidP="004F1718">
      <w:pPr>
        <w:spacing w:line="360" w:lineRule="auto"/>
        <w:jc w:val="center"/>
        <w:rPr>
          <w:rFonts w:asciiTheme="minorEastAsia" w:hAnsiTheme="minorEastAsia"/>
          <w:szCs w:val="21"/>
        </w:rPr>
      </w:pPr>
      <w:r>
        <w:rPr>
          <w:rFonts w:asciiTheme="minorEastAsia" w:hAnsiTheme="minorEastAsia"/>
          <w:noProof/>
          <w:szCs w:val="21"/>
        </w:rPr>
        <w:lastRenderedPageBreak/>
        <w:drawing>
          <wp:anchor distT="0" distB="0" distL="114300" distR="114300" simplePos="0" relativeHeight="251860992" behindDoc="1" locked="0" layoutInCell="1" allowOverlap="1">
            <wp:simplePos x="0" y="0"/>
            <wp:positionH relativeFrom="column">
              <wp:posOffset>-683895</wp:posOffset>
            </wp:positionH>
            <wp:positionV relativeFrom="paragraph">
              <wp:posOffset>-1440180</wp:posOffset>
            </wp:positionV>
            <wp:extent cx="7581900" cy="10725150"/>
            <wp:effectExtent l="19050" t="0" r="0" b="0"/>
            <wp:wrapNone/>
            <wp:docPr id="117"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004F1718">
        <w:rPr>
          <w:rFonts w:asciiTheme="minorEastAsia" w:hAnsiTheme="minorEastAsia" w:hint="eastAsia"/>
          <w:szCs w:val="21"/>
        </w:rPr>
        <w:t>图39：大宗商品价格指数             图40：本季度各产品期货品种主力合约涨跌幅</w:t>
      </w:r>
    </w:p>
    <w:p w:rsidR="004F1718" w:rsidRDefault="004F1718" w:rsidP="004F1718">
      <w:pPr>
        <w:spacing w:line="360" w:lineRule="auto"/>
        <w:jc w:val="left"/>
        <w:rPr>
          <w:rFonts w:asciiTheme="minorEastAsia" w:hAnsiTheme="minorEastAsia"/>
          <w:szCs w:val="21"/>
        </w:rPr>
      </w:pPr>
      <w:r w:rsidRPr="002A2FA1">
        <w:rPr>
          <w:rFonts w:asciiTheme="minorEastAsia" w:hAnsiTheme="minorEastAsia"/>
          <w:noProof/>
          <w:szCs w:val="21"/>
        </w:rPr>
        <w:drawing>
          <wp:inline distT="0" distB="0" distL="0" distR="0">
            <wp:extent cx="3038475" cy="2609850"/>
            <wp:effectExtent l="19050" t="0" r="9525" b="0"/>
            <wp:docPr id="6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3D1D90">
        <w:rPr>
          <w:rFonts w:asciiTheme="minorEastAsia" w:hAnsiTheme="minorEastAsia"/>
          <w:noProof/>
          <w:szCs w:val="21"/>
        </w:rPr>
        <w:drawing>
          <wp:inline distT="0" distB="0" distL="0" distR="0">
            <wp:extent cx="3028950" cy="2609850"/>
            <wp:effectExtent l="19050" t="0" r="19050" b="0"/>
            <wp:docPr id="68"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4F1718" w:rsidRPr="00E35224" w:rsidRDefault="004F1718" w:rsidP="004F1718">
      <w:pPr>
        <w:spacing w:line="360" w:lineRule="auto"/>
        <w:rPr>
          <w:rFonts w:asciiTheme="minorEastAsia" w:hAnsiTheme="minorEastAsia"/>
          <w:szCs w:val="21"/>
        </w:rPr>
      </w:pPr>
      <w:r>
        <w:rPr>
          <w:rFonts w:asciiTheme="minorEastAsia" w:hAnsiTheme="minorEastAsia" w:hint="eastAsia"/>
          <w:szCs w:val="21"/>
        </w:rPr>
        <w:t xml:space="preserve">    </w:t>
      </w:r>
      <w:r w:rsidRPr="00CB0722">
        <w:rPr>
          <w:rFonts w:asciiTheme="minorEastAsia" w:hAnsiTheme="minorEastAsia" w:hint="eastAsia"/>
          <w:szCs w:val="21"/>
        </w:rPr>
        <w:t>进入</w:t>
      </w:r>
      <w:r>
        <w:rPr>
          <w:rFonts w:asciiTheme="minorEastAsia" w:hAnsiTheme="minorEastAsia" w:hint="eastAsia"/>
          <w:szCs w:val="21"/>
        </w:rPr>
        <w:t>9</w:t>
      </w:r>
      <w:r w:rsidRPr="00CB0722">
        <w:rPr>
          <w:rFonts w:asciiTheme="minorEastAsia" w:hAnsiTheme="minorEastAsia" w:hint="eastAsia"/>
          <w:szCs w:val="21"/>
        </w:rPr>
        <w:t>月份之后，欧洲经济一改之前的萎靡状态，开始加速扩张。欧洲经济正在从世界经济的拖累，转变为增长动力。这表明世界经济整体已经进入新的增长阶段。尽管美联储退出量化宽松政策给新兴经济体，乃至整个世界经济带来压力，但是我们认为世界经济的主旋律依然是向上增长。关于大宗商品，越来越多的证据表明，世界经济开始步入新的上升周期，中国经济也在各种政策刺激下开始企稳，大宗商品具有上升动力。</w:t>
      </w:r>
    </w:p>
    <w:p w:rsidR="004F1718" w:rsidRPr="00CB0722" w:rsidRDefault="004F1718" w:rsidP="004F1718">
      <w:pPr>
        <w:spacing w:line="360" w:lineRule="auto"/>
        <w:rPr>
          <w:rFonts w:asciiTheme="minorEastAsia" w:hAnsiTheme="minorEastAsia"/>
          <w:szCs w:val="21"/>
        </w:rPr>
      </w:pPr>
    </w:p>
    <w:p w:rsidR="004F1718" w:rsidRDefault="004F1718" w:rsidP="004F1718">
      <w:pPr>
        <w:pStyle w:val="a7"/>
        <w:numPr>
          <w:ilvl w:val="0"/>
          <w:numId w:val="7"/>
        </w:numPr>
        <w:spacing w:line="360" w:lineRule="auto"/>
        <w:ind w:firstLineChars="0"/>
        <w:rPr>
          <w:rFonts w:asciiTheme="minorEastAsia" w:hAnsiTheme="minorEastAsia"/>
          <w:b/>
          <w:sz w:val="24"/>
          <w:szCs w:val="24"/>
        </w:rPr>
      </w:pPr>
      <w:r>
        <w:rPr>
          <w:rFonts w:asciiTheme="minorEastAsia" w:hAnsiTheme="minorEastAsia" w:hint="eastAsia"/>
          <w:b/>
          <w:sz w:val="24"/>
          <w:szCs w:val="24"/>
        </w:rPr>
        <w:t>现金类市场</w:t>
      </w:r>
      <w:r w:rsidR="00453D44">
        <w:rPr>
          <w:rFonts w:asciiTheme="minorEastAsia" w:hAnsiTheme="minorEastAsia" w:hint="eastAsia"/>
          <w:b/>
          <w:sz w:val="24"/>
          <w:szCs w:val="24"/>
        </w:rPr>
        <w:t>——收益率持续性上扬</w:t>
      </w:r>
    </w:p>
    <w:p w:rsidR="004F1718" w:rsidRDefault="004F1718" w:rsidP="004F1718">
      <w:pPr>
        <w:spacing w:line="360" w:lineRule="auto"/>
        <w:rPr>
          <w:rFonts w:asciiTheme="minorEastAsia" w:hAnsiTheme="minorEastAsia"/>
          <w:szCs w:val="21"/>
        </w:rPr>
      </w:pPr>
      <w:r>
        <w:rPr>
          <w:rFonts w:asciiTheme="minorEastAsia" w:hAnsiTheme="minorEastAsia" w:hint="eastAsia"/>
          <w:szCs w:val="21"/>
        </w:rPr>
        <w:t>（一）、储蓄存款</w:t>
      </w:r>
      <w:r w:rsidR="004B5BBE">
        <w:rPr>
          <w:rFonts w:asciiTheme="minorEastAsia" w:hAnsiTheme="minorEastAsia" w:hint="eastAsia"/>
          <w:szCs w:val="21"/>
        </w:rPr>
        <w:t>总体呈稳定增长</w:t>
      </w:r>
    </w:p>
    <w:p w:rsidR="004F1718" w:rsidRDefault="004F1718" w:rsidP="004F1718">
      <w:pPr>
        <w:spacing w:line="360" w:lineRule="auto"/>
        <w:ind w:firstLineChars="200" w:firstLine="420"/>
        <w:rPr>
          <w:rFonts w:asciiTheme="minorEastAsia" w:hAnsiTheme="minorEastAsia"/>
          <w:szCs w:val="21"/>
        </w:rPr>
      </w:pPr>
      <w:r>
        <w:rPr>
          <w:rFonts w:asciiTheme="minorEastAsia" w:hAnsiTheme="minorEastAsia" w:hint="eastAsia"/>
          <w:szCs w:val="21"/>
        </w:rPr>
        <w:t>2013年1-9月，金融机构人民币存款余额总体呈稳定增长趋势，从2013年1月的929345亿元增长到2013年9月的1,030,900亿元，月度复合增长率为1.21%。在进入2013年第二季度以后，储蓄存款规模经历小幅下滑后再次进入快速增长通道。</w:t>
      </w:r>
    </w:p>
    <w:p w:rsidR="004F1718" w:rsidRDefault="004F1718" w:rsidP="004F1718">
      <w:pPr>
        <w:spacing w:line="360" w:lineRule="auto"/>
        <w:ind w:firstLineChars="200" w:firstLine="420"/>
        <w:rPr>
          <w:rFonts w:asciiTheme="minorEastAsia" w:hAnsiTheme="minorEastAsia"/>
          <w:szCs w:val="21"/>
        </w:rPr>
      </w:pPr>
      <w:r>
        <w:rPr>
          <w:rFonts w:asciiTheme="minorEastAsia" w:hAnsiTheme="minorEastAsia" w:hint="eastAsia"/>
          <w:szCs w:val="21"/>
        </w:rPr>
        <w:t>自2012年7月利率调整以来，央行利率水平一直保持稳定，活期存款利率维持在0.35%，一年期存款利率维持在3.00%。从近期国家宏观经济政策调控来看，货币政策将继续维持稳定，短期降息的可能性不大。</w:t>
      </w:r>
    </w:p>
    <w:p w:rsidR="004F1718" w:rsidRPr="005B5119" w:rsidRDefault="00AA6E68" w:rsidP="004F1718">
      <w:pPr>
        <w:spacing w:line="360" w:lineRule="auto"/>
        <w:ind w:firstLineChars="200" w:firstLine="420"/>
        <w:jc w:val="center"/>
        <w:rPr>
          <w:rFonts w:asciiTheme="minorEastAsia" w:hAnsiTheme="minorEastAsia"/>
          <w:szCs w:val="21"/>
        </w:rPr>
      </w:pPr>
      <w:r>
        <w:rPr>
          <w:rFonts w:asciiTheme="minorEastAsia" w:hAnsiTheme="minorEastAsia"/>
          <w:noProof/>
          <w:szCs w:val="21"/>
        </w:rPr>
        <w:pict>
          <v:shape id="_x0000_s2138" type="#_x0000_t202" style="position:absolute;left:0;text-align:left;margin-left:210.9pt;margin-top:143.25pt;width:90.75pt;height:22.5pt;z-index:251907072" strokecolor="white [3212]">
            <v:textbox>
              <w:txbxContent>
                <w:p w:rsidR="00832D5A" w:rsidRDefault="00832D5A" w:rsidP="0088624D">
                  <w:pPr>
                    <w:jc w:val="center"/>
                  </w:pPr>
                  <w:r>
                    <w:rPr>
                      <w:rFonts w:hint="eastAsia"/>
                    </w:rPr>
                    <w:t>第</w:t>
                  </w:r>
                  <w:r>
                    <w:rPr>
                      <w:rFonts w:hint="eastAsia"/>
                    </w:rPr>
                    <w:t>23</w:t>
                  </w:r>
                  <w:r>
                    <w:rPr>
                      <w:rFonts w:hint="eastAsia"/>
                    </w:rPr>
                    <w:t>页</w:t>
                  </w:r>
                </w:p>
              </w:txbxContent>
            </v:textbox>
          </v:shape>
        </w:pict>
      </w:r>
      <w:r w:rsidR="004F1718">
        <w:rPr>
          <w:rFonts w:asciiTheme="minorEastAsia" w:hAnsiTheme="minorEastAsia" w:hint="eastAsia"/>
          <w:szCs w:val="21"/>
        </w:rPr>
        <w:t>图41：储蓄存款变动情况</w:t>
      </w:r>
    </w:p>
    <w:p w:rsidR="004F1718" w:rsidRDefault="0048295B" w:rsidP="004F1718">
      <w:pPr>
        <w:spacing w:line="360" w:lineRule="auto"/>
        <w:jc w:val="center"/>
        <w:rPr>
          <w:rFonts w:asciiTheme="minorEastAsia" w:hAnsiTheme="minorEastAsia"/>
          <w:szCs w:val="21"/>
        </w:rPr>
      </w:pPr>
      <w:r w:rsidRPr="0048295B">
        <w:rPr>
          <w:rFonts w:asciiTheme="minorEastAsia" w:hAnsiTheme="minorEastAsia" w:hint="eastAsia"/>
          <w:noProof/>
          <w:szCs w:val="21"/>
        </w:rPr>
        <w:lastRenderedPageBreak/>
        <w:drawing>
          <wp:anchor distT="0" distB="0" distL="114300" distR="114300" simplePos="0" relativeHeight="251863040" behindDoc="1" locked="0" layoutInCell="1" allowOverlap="1">
            <wp:simplePos x="0" y="0"/>
            <wp:positionH relativeFrom="column">
              <wp:posOffset>-607695</wp:posOffset>
            </wp:positionH>
            <wp:positionV relativeFrom="paragraph">
              <wp:posOffset>-1363980</wp:posOffset>
            </wp:positionV>
            <wp:extent cx="7581900" cy="10725150"/>
            <wp:effectExtent l="19050" t="0" r="0" b="0"/>
            <wp:wrapNone/>
            <wp:docPr id="118"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004F1718" w:rsidRPr="008B40D3">
        <w:rPr>
          <w:rFonts w:asciiTheme="minorEastAsia" w:hAnsiTheme="minorEastAsia"/>
          <w:noProof/>
          <w:szCs w:val="21"/>
        </w:rPr>
        <w:drawing>
          <wp:inline distT="0" distB="0" distL="0" distR="0">
            <wp:extent cx="4505325" cy="2428875"/>
            <wp:effectExtent l="19050" t="0" r="9525" b="0"/>
            <wp:docPr id="7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4F1718" w:rsidRDefault="004F1718" w:rsidP="004F1718">
      <w:pPr>
        <w:spacing w:line="360" w:lineRule="auto"/>
        <w:ind w:firstLineChars="200" w:firstLine="420"/>
        <w:rPr>
          <w:rFonts w:asciiTheme="minorEastAsia" w:hAnsiTheme="minorEastAsia"/>
          <w:szCs w:val="21"/>
        </w:rPr>
      </w:pPr>
      <w:r>
        <w:rPr>
          <w:rFonts w:asciiTheme="minorEastAsia" w:hAnsiTheme="minorEastAsia" w:hint="eastAsia"/>
          <w:szCs w:val="21"/>
        </w:rPr>
        <w:t>从资产配置的角度来看，储蓄存款增加资产配置组合的流动性，其中活期存款变现能力最强，投资者可结合自身生活条件需要，选择恰当比例的活期存款资产。与其他理财产品相比定期存款安全性较强，而收益相对较低，投资者可根据自身风险偏好恰当选择配置资产。</w:t>
      </w:r>
    </w:p>
    <w:p w:rsidR="004F1718" w:rsidRDefault="004F1718" w:rsidP="004F1718">
      <w:pPr>
        <w:spacing w:line="360" w:lineRule="auto"/>
        <w:ind w:firstLineChars="200" w:firstLine="420"/>
        <w:rPr>
          <w:rFonts w:asciiTheme="minorEastAsia" w:hAnsiTheme="minorEastAsia"/>
          <w:szCs w:val="21"/>
        </w:rPr>
      </w:pPr>
    </w:p>
    <w:p w:rsidR="004F1718" w:rsidRDefault="004F1718" w:rsidP="004F1718">
      <w:pPr>
        <w:spacing w:line="360" w:lineRule="auto"/>
        <w:rPr>
          <w:rFonts w:asciiTheme="minorEastAsia" w:hAnsiTheme="minorEastAsia"/>
          <w:szCs w:val="21"/>
        </w:rPr>
      </w:pPr>
      <w:r>
        <w:rPr>
          <w:rFonts w:asciiTheme="minorEastAsia" w:hAnsiTheme="minorEastAsia" w:hint="eastAsia"/>
          <w:szCs w:val="21"/>
        </w:rPr>
        <w:t>（二）、银行理财产品</w:t>
      </w:r>
      <w:r w:rsidR="004B5BBE">
        <w:rPr>
          <w:rFonts w:asciiTheme="minorEastAsia" w:hAnsiTheme="minorEastAsia" w:hint="eastAsia"/>
          <w:szCs w:val="21"/>
        </w:rPr>
        <w:t>收益率持续上扬</w:t>
      </w:r>
    </w:p>
    <w:p w:rsidR="004F1718" w:rsidRPr="00986C64" w:rsidRDefault="004F1718" w:rsidP="004F1718">
      <w:pPr>
        <w:spacing w:line="360" w:lineRule="auto"/>
        <w:ind w:firstLineChars="200" w:firstLine="420"/>
        <w:jc w:val="left"/>
        <w:rPr>
          <w:rFonts w:asciiTheme="minorEastAsia" w:hAnsiTheme="minorEastAsia"/>
          <w:szCs w:val="21"/>
        </w:rPr>
      </w:pPr>
      <w:r w:rsidRPr="00E07DC9">
        <w:rPr>
          <w:rFonts w:asciiTheme="minorEastAsia" w:hAnsiTheme="minorEastAsia" w:hint="eastAsia"/>
          <w:szCs w:val="21"/>
        </w:rPr>
        <w:t xml:space="preserve">在季末和节日因素等多重影响下，9 </w:t>
      </w:r>
      <w:proofErr w:type="gramStart"/>
      <w:r w:rsidRPr="00E07DC9">
        <w:rPr>
          <w:rFonts w:asciiTheme="minorEastAsia" w:hAnsiTheme="minorEastAsia" w:hint="eastAsia"/>
          <w:szCs w:val="21"/>
        </w:rPr>
        <w:t>月银行</w:t>
      </w:r>
      <w:proofErr w:type="gramEnd"/>
      <w:r w:rsidRPr="00E07DC9">
        <w:rPr>
          <w:rFonts w:asciiTheme="minorEastAsia" w:hAnsiTheme="minorEastAsia" w:hint="eastAsia"/>
          <w:szCs w:val="21"/>
        </w:rPr>
        <w:t>理财收益率持续上扬。金牛</w:t>
      </w:r>
      <w:proofErr w:type="gramStart"/>
      <w:r w:rsidRPr="00E07DC9">
        <w:rPr>
          <w:rFonts w:asciiTheme="minorEastAsia" w:hAnsiTheme="minorEastAsia" w:hint="eastAsia"/>
          <w:szCs w:val="21"/>
        </w:rPr>
        <w:t>理财网</w:t>
      </w:r>
      <w:proofErr w:type="gramEnd"/>
      <w:r w:rsidRPr="00E07DC9">
        <w:rPr>
          <w:rFonts w:asciiTheme="minorEastAsia" w:hAnsiTheme="minorEastAsia" w:hint="eastAsia"/>
          <w:szCs w:val="21"/>
        </w:rPr>
        <w:t>截至9月 30 日的监测数据</w:t>
      </w:r>
      <w:r>
        <w:rPr>
          <w:rFonts w:asciiTheme="minorEastAsia" w:hAnsiTheme="minorEastAsia" w:hint="eastAsia"/>
          <w:szCs w:val="21"/>
        </w:rPr>
        <w:t>显示, 9</w:t>
      </w:r>
      <w:r w:rsidRPr="00E07DC9">
        <w:rPr>
          <w:rFonts w:asciiTheme="minorEastAsia" w:hAnsiTheme="minorEastAsia" w:hint="eastAsia"/>
          <w:szCs w:val="21"/>
        </w:rPr>
        <w:t>月份144 家商业银行共新发</w:t>
      </w:r>
      <w:r>
        <w:rPr>
          <w:rFonts w:asciiTheme="minorEastAsia" w:hAnsiTheme="minorEastAsia" w:hint="eastAsia"/>
          <w:szCs w:val="21"/>
        </w:rPr>
        <w:t xml:space="preserve"> 3727</w:t>
      </w:r>
      <w:r w:rsidRPr="00E07DC9">
        <w:rPr>
          <w:rFonts w:asciiTheme="minorEastAsia" w:hAnsiTheme="minorEastAsia" w:hint="eastAsia"/>
          <w:szCs w:val="21"/>
        </w:rPr>
        <w:t>款理财产品，其中非结构性人民币理财产品</w:t>
      </w:r>
      <w:r>
        <w:rPr>
          <w:rFonts w:asciiTheme="minorEastAsia" w:hAnsiTheme="minorEastAsia" w:hint="eastAsia"/>
          <w:szCs w:val="21"/>
        </w:rPr>
        <w:t>3512款</w:t>
      </w:r>
      <w:r w:rsidRPr="00E07DC9">
        <w:rPr>
          <w:rFonts w:asciiTheme="minorEastAsia" w:hAnsiTheme="minorEastAsia" w:hint="eastAsia"/>
          <w:szCs w:val="21"/>
        </w:rPr>
        <w:t xml:space="preserve"> 环比增加135款；平均预期收益率较上月大涨27BP至 4.95%，创下</w:t>
      </w:r>
      <w:r>
        <w:rPr>
          <w:rFonts w:asciiTheme="minorEastAsia" w:hAnsiTheme="minorEastAsia" w:hint="eastAsia"/>
          <w:szCs w:val="21"/>
        </w:rPr>
        <w:t>18</w:t>
      </w:r>
      <w:r w:rsidRPr="00E07DC9">
        <w:rPr>
          <w:rFonts w:asciiTheme="minorEastAsia" w:hAnsiTheme="minorEastAsia" w:hint="eastAsia"/>
          <w:szCs w:val="21"/>
        </w:rPr>
        <w:t>个月以来的新高。从收益率分布来看，9月高收益产品数量暴增，收益率在5%以上的产品多达1500余款，市场占比升至44.8%；而收益率超过4.5%的产品市场占比高达到 82%。</w:t>
      </w:r>
    </w:p>
    <w:p w:rsidR="00952936" w:rsidRDefault="00952936" w:rsidP="004F1718">
      <w:pPr>
        <w:spacing w:line="360" w:lineRule="auto"/>
        <w:jc w:val="center"/>
        <w:rPr>
          <w:rFonts w:asciiTheme="minorEastAsia" w:hAnsiTheme="minorEastAsia"/>
          <w:szCs w:val="21"/>
        </w:rPr>
      </w:pPr>
    </w:p>
    <w:p w:rsidR="00952936" w:rsidRDefault="00952936" w:rsidP="004F1718">
      <w:pPr>
        <w:spacing w:line="360" w:lineRule="auto"/>
        <w:jc w:val="center"/>
        <w:rPr>
          <w:rFonts w:asciiTheme="minorEastAsia" w:hAnsiTheme="minorEastAsia"/>
          <w:szCs w:val="21"/>
        </w:rPr>
      </w:pPr>
    </w:p>
    <w:p w:rsidR="00952936" w:rsidRDefault="00952936" w:rsidP="004F1718">
      <w:pPr>
        <w:spacing w:line="360" w:lineRule="auto"/>
        <w:jc w:val="center"/>
        <w:rPr>
          <w:rFonts w:asciiTheme="minorEastAsia" w:hAnsiTheme="minorEastAsia"/>
          <w:szCs w:val="21"/>
        </w:rPr>
      </w:pPr>
    </w:p>
    <w:p w:rsidR="00952936" w:rsidRDefault="00952936" w:rsidP="004F1718">
      <w:pPr>
        <w:spacing w:line="360" w:lineRule="auto"/>
        <w:jc w:val="center"/>
        <w:rPr>
          <w:rFonts w:asciiTheme="minorEastAsia" w:hAnsiTheme="minorEastAsia"/>
          <w:szCs w:val="21"/>
        </w:rPr>
      </w:pPr>
    </w:p>
    <w:p w:rsidR="00952936" w:rsidRDefault="00952936" w:rsidP="004F1718">
      <w:pPr>
        <w:spacing w:line="360" w:lineRule="auto"/>
        <w:jc w:val="center"/>
        <w:rPr>
          <w:rFonts w:asciiTheme="minorEastAsia" w:hAnsiTheme="minorEastAsia"/>
          <w:szCs w:val="21"/>
        </w:rPr>
      </w:pPr>
    </w:p>
    <w:p w:rsidR="00952936" w:rsidRDefault="00952936" w:rsidP="004F1718">
      <w:pPr>
        <w:spacing w:line="360" w:lineRule="auto"/>
        <w:jc w:val="center"/>
        <w:rPr>
          <w:rFonts w:asciiTheme="minorEastAsia" w:hAnsiTheme="minorEastAsia"/>
          <w:szCs w:val="21"/>
        </w:rPr>
      </w:pPr>
    </w:p>
    <w:p w:rsidR="00952936" w:rsidRDefault="00952936" w:rsidP="004F1718">
      <w:pPr>
        <w:spacing w:line="360" w:lineRule="auto"/>
        <w:jc w:val="center"/>
        <w:rPr>
          <w:rFonts w:asciiTheme="minorEastAsia" w:hAnsiTheme="minorEastAsia"/>
          <w:szCs w:val="21"/>
        </w:rPr>
      </w:pPr>
    </w:p>
    <w:p w:rsidR="00952936" w:rsidRDefault="00952936" w:rsidP="004F1718">
      <w:pPr>
        <w:spacing w:line="360" w:lineRule="auto"/>
        <w:jc w:val="center"/>
        <w:rPr>
          <w:rFonts w:asciiTheme="minorEastAsia" w:hAnsiTheme="minorEastAsia"/>
          <w:szCs w:val="21"/>
        </w:rPr>
      </w:pPr>
    </w:p>
    <w:p w:rsidR="00952936" w:rsidRDefault="00AA6E68" w:rsidP="004F1718">
      <w:pPr>
        <w:spacing w:line="360" w:lineRule="auto"/>
        <w:jc w:val="center"/>
        <w:rPr>
          <w:rFonts w:asciiTheme="minorEastAsia" w:hAnsiTheme="minorEastAsia"/>
          <w:szCs w:val="21"/>
        </w:rPr>
      </w:pPr>
      <w:r>
        <w:rPr>
          <w:rFonts w:asciiTheme="minorEastAsia" w:hAnsiTheme="minorEastAsia"/>
          <w:noProof/>
          <w:szCs w:val="21"/>
        </w:rPr>
        <w:pict>
          <v:shape id="_x0000_s2139" type="#_x0000_t202" style="position:absolute;left:0;text-align:left;margin-left:217.05pt;margin-top:67.35pt;width:102pt;height:23.25pt;z-index:251908096" strokecolor="white [3212]">
            <v:textbox>
              <w:txbxContent>
                <w:p w:rsidR="00832D5A" w:rsidRDefault="00832D5A" w:rsidP="0088624D">
                  <w:pPr>
                    <w:jc w:val="center"/>
                  </w:pPr>
                  <w:r>
                    <w:rPr>
                      <w:rFonts w:hint="eastAsia"/>
                    </w:rPr>
                    <w:t>第</w:t>
                  </w:r>
                  <w:r>
                    <w:rPr>
                      <w:rFonts w:hint="eastAsia"/>
                    </w:rPr>
                    <w:t>24</w:t>
                  </w:r>
                  <w:r>
                    <w:rPr>
                      <w:rFonts w:hint="eastAsia"/>
                    </w:rPr>
                    <w:t>页</w:t>
                  </w:r>
                </w:p>
              </w:txbxContent>
            </v:textbox>
          </v:shape>
        </w:pict>
      </w:r>
    </w:p>
    <w:p w:rsidR="004F1718" w:rsidRDefault="00952936" w:rsidP="004F1718">
      <w:pPr>
        <w:spacing w:line="360" w:lineRule="auto"/>
        <w:jc w:val="center"/>
        <w:rPr>
          <w:rFonts w:asciiTheme="minorEastAsia" w:hAnsiTheme="minorEastAsia"/>
          <w:szCs w:val="21"/>
        </w:rPr>
      </w:pPr>
      <w:r>
        <w:rPr>
          <w:rFonts w:asciiTheme="minorEastAsia" w:hAnsiTheme="minorEastAsia"/>
          <w:noProof/>
          <w:szCs w:val="21"/>
        </w:rPr>
        <w:lastRenderedPageBreak/>
        <w:drawing>
          <wp:anchor distT="0" distB="0" distL="114300" distR="114300" simplePos="0" relativeHeight="251865088" behindDoc="1" locked="0" layoutInCell="1" allowOverlap="1">
            <wp:simplePos x="0" y="0"/>
            <wp:positionH relativeFrom="column">
              <wp:posOffset>-664845</wp:posOffset>
            </wp:positionH>
            <wp:positionV relativeFrom="paragraph">
              <wp:posOffset>-1430655</wp:posOffset>
            </wp:positionV>
            <wp:extent cx="7581900" cy="10725150"/>
            <wp:effectExtent l="19050" t="0" r="0" b="0"/>
            <wp:wrapNone/>
            <wp:docPr id="119"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004F1718" w:rsidRPr="00986C64">
        <w:rPr>
          <w:rFonts w:asciiTheme="minorEastAsia" w:hAnsiTheme="minorEastAsia" w:hint="eastAsia"/>
          <w:szCs w:val="21"/>
        </w:rPr>
        <w:t>图</w:t>
      </w:r>
      <w:r w:rsidR="004F1718">
        <w:rPr>
          <w:rFonts w:asciiTheme="minorEastAsia" w:hAnsiTheme="minorEastAsia" w:hint="eastAsia"/>
          <w:szCs w:val="21"/>
        </w:rPr>
        <w:t>42</w:t>
      </w:r>
      <w:r w:rsidR="004F1718" w:rsidRPr="00986C64">
        <w:rPr>
          <w:rFonts w:asciiTheme="minorEastAsia" w:hAnsiTheme="minorEastAsia" w:hint="eastAsia"/>
          <w:szCs w:val="21"/>
        </w:rPr>
        <w:t>：银行理财产品</w:t>
      </w:r>
      <w:r w:rsidR="004F1718">
        <w:rPr>
          <w:rFonts w:asciiTheme="minorEastAsia" w:hAnsiTheme="minorEastAsia" w:hint="eastAsia"/>
          <w:szCs w:val="21"/>
        </w:rPr>
        <w:t>发行量和</w:t>
      </w:r>
      <w:r w:rsidR="004F1718" w:rsidRPr="00986C64">
        <w:rPr>
          <w:rFonts w:asciiTheme="minorEastAsia" w:hAnsiTheme="minorEastAsia" w:hint="eastAsia"/>
          <w:szCs w:val="21"/>
        </w:rPr>
        <w:t>收益率</w:t>
      </w:r>
      <w:r w:rsidR="004F1718">
        <w:rPr>
          <w:rFonts w:asciiTheme="minorEastAsia" w:hAnsiTheme="minorEastAsia" w:hint="eastAsia"/>
          <w:szCs w:val="21"/>
        </w:rPr>
        <w:t>变动图</w:t>
      </w:r>
    </w:p>
    <w:p w:rsidR="004F1718" w:rsidRPr="00986C64" w:rsidRDefault="004F1718" w:rsidP="004F1718">
      <w:pPr>
        <w:spacing w:line="360" w:lineRule="auto"/>
        <w:jc w:val="center"/>
        <w:rPr>
          <w:rFonts w:asciiTheme="minorEastAsia" w:hAnsiTheme="minorEastAsia"/>
          <w:szCs w:val="21"/>
        </w:rPr>
      </w:pPr>
      <w:r w:rsidRPr="00582E4B">
        <w:rPr>
          <w:rFonts w:asciiTheme="minorEastAsia" w:hAnsiTheme="minorEastAsia"/>
          <w:noProof/>
          <w:szCs w:val="21"/>
        </w:rPr>
        <w:drawing>
          <wp:inline distT="0" distB="0" distL="0" distR="0">
            <wp:extent cx="4572000" cy="2743200"/>
            <wp:effectExtent l="19050" t="0" r="19050" b="0"/>
            <wp:docPr id="74"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4F1718" w:rsidRPr="00986C64" w:rsidRDefault="004F1718" w:rsidP="004F1718">
      <w:pPr>
        <w:spacing w:line="360" w:lineRule="auto"/>
        <w:ind w:firstLineChars="200" w:firstLine="420"/>
        <w:jc w:val="left"/>
        <w:rPr>
          <w:rFonts w:asciiTheme="minorEastAsia" w:hAnsiTheme="minorEastAsia"/>
          <w:szCs w:val="21"/>
        </w:rPr>
      </w:pPr>
      <w:r w:rsidRPr="003A6021">
        <w:rPr>
          <w:rFonts w:asciiTheme="minorEastAsia" w:hAnsiTheme="minorEastAsia" w:hint="eastAsia"/>
          <w:szCs w:val="21"/>
        </w:rPr>
        <w:t>9 月份各类型银行</w:t>
      </w:r>
      <w:proofErr w:type="gramStart"/>
      <w:r w:rsidRPr="003A6021">
        <w:rPr>
          <w:rFonts w:asciiTheme="minorEastAsia" w:hAnsiTheme="minorEastAsia" w:hint="eastAsia"/>
          <w:szCs w:val="21"/>
        </w:rPr>
        <w:t>收益率均现大涨</w:t>
      </w:r>
      <w:proofErr w:type="gramEnd"/>
      <w:r w:rsidRPr="003A6021">
        <w:rPr>
          <w:rFonts w:asciiTheme="minorEastAsia" w:hAnsiTheme="minorEastAsia" w:hint="eastAsia"/>
          <w:szCs w:val="21"/>
        </w:rPr>
        <w:t>。 国有商业银行理财产品预期收益率上涨 30BP 至 4.89%，股份制银行上涨 32BP 至 4.98%，城商行上涨 18BP 至 5.03%，农村商业银行上涨 20BP 至 4.82%。从收益率排名来看，城商行收益率仍然位居榜首，但仅高于国有大行 13BP，各类型银行的收益率差大幅缩小。</w:t>
      </w:r>
    </w:p>
    <w:p w:rsidR="004F1718" w:rsidRDefault="004F1718" w:rsidP="004F1718">
      <w:pPr>
        <w:spacing w:line="360" w:lineRule="auto"/>
        <w:ind w:firstLineChars="200" w:firstLine="420"/>
        <w:jc w:val="center"/>
        <w:rPr>
          <w:rFonts w:asciiTheme="minorEastAsia" w:hAnsiTheme="minorEastAsia"/>
          <w:szCs w:val="21"/>
        </w:rPr>
      </w:pPr>
      <w:r w:rsidRPr="00986C64">
        <w:rPr>
          <w:rFonts w:asciiTheme="minorEastAsia" w:hAnsiTheme="minorEastAsia" w:hint="eastAsia"/>
          <w:szCs w:val="21"/>
        </w:rPr>
        <w:t>图</w:t>
      </w:r>
      <w:r>
        <w:rPr>
          <w:rFonts w:asciiTheme="minorEastAsia" w:hAnsiTheme="minorEastAsia" w:hint="eastAsia"/>
          <w:szCs w:val="21"/>
        </w:rPr>
        <w:t>43</w:t>
      </w:r>
      <w:r w:rsidRPr="00986C64">
        <w:rPr>
          <w:rFonts w:asciiTheme="minorEastAsia" w:hAnsiTheme="minorEastAsia" w:hint="eastAsia"/>
          <w:szCs w:val="21"/>
        </w:rPr>
        <w:t>：银行类型-银行理财产品数量及收益率走势</w:t>
      </w:r>
    </w:p>
    <w:p w:rsidR="004F1718" w:rsidRDefault="004F1718" w:rsidP="004F1718">
      <w:pPr>
        <w:spacing w:line="360" w:lineRule="auto"/>
        <w:jc w:val="left"/>
        <w:rPr>
          <w:rFonts w:asciiTheme="minorEastAsia" w:hAnsiTheme="minorEastAsia"/>
          <w:szCs w:val="21"/>
        </w:rPr>
      </w:pPr>
      <w:r w:rsidRPr="00524C95">
        <w:rPr>
          <w:rFonts w:asciiTheme="minorEastAsia" w:hAnsiTheme="minorEastAsia"/>
          <w:noProof/>
          <w:szCs w:val="21"/>
        </w:rPr>
        <w:drawing>
          <wp:inline distT="0" distB="0" distL="0" distR="0">
            <wp:extent cx="2952750" cy="3124200"/>
            <wp:effectExtent l="19050" t="0" r="19050" b="0"/>
            <wp:docPr id="81"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Pr="008538A7">
        <w:rPr>
          <w:rFonts w:asciiTheme="minorEastAsia" w:hAnsiTheme="minorEastAsia"/>
          <w:noProof/>
          <w:szCs w:val="21"/>
        </w:rPr>
        <w:drawing>
          <wp:inline distT="0" distB="0" distL="0" distR="0">
            <wp:extent cx="3152775" cy="3124200"/>
            <wp:effectExtent l="19050" t="0" r="9525" b="0"/>
            <wp:docPr id="8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4F1718" w:rsidRDefault="00AA6E68" w:rsidP="004F1718">
      <w:pPr>
        <w:spacing w:line="360" w:lineRule="auto"/>
        <w:ind w:firstLineChars="200" w:firstLine="420"/>
        <w:jc w:val="left"/>
        <w:rPr>
          <w:rFonts w:asciiTheme="minorEastAsia" w:hAnsiTheme="minorEastAsia"/>
          <w:szCs w:val="21"/>
        </w:rPr>
      </w:pPr>
      <w:r>
        <w:rPr>
          <w:rFonts w:asciiTheme="minorEastAsia" w:hAnsiTheme="minorEastAsia"/>
          <w:noProof/>
          <w:szCs w:val="21"/>
        </w:rPr>
        <w:pict>
          <v:shape id="_x0000_s2140" type="#_x0000_t202" style="position:absolute;left:0;text-align:left;margin-left:221.4pt;margin-top:102.6pt;width:82.5pt;height:21.75pt;z-index:251909120" strokecolor="white [3212]">
            <v:textbox>
              <w:txbxContent>
                <w:p w:rsidR="00832D5A" w:rsidRDefault="00832D5A" w:rsidP="0088624D">
                  <w:pPr>
                    <w:jc w:val="center"/>
                  </w:pPr>
                  <w:r>
                    <w:rPr>
                      <w:rFonts w:hint="eastAsia"/>
                    </w:rPr>
                    <w:t>第</w:t>
                  </w:r>
                  <w:r>
                    <w:rPr>
                      <w:rFonts w:hint="eastAsia"/>
                    </w:rPr>
                    <w:t>25</w:t>
                  </w:r>
                  <w:r>
                    <w:rPr>
                      <w:rFonts w:hint="eastAsia"/>
                    </w:rPr>
                    <w:t>页</w:t>
                  </w:r>
                </w:p>
              </w:txbxContent>
            </v:textbox>
          </v:shape>
        </w:pict>
      </w:r>
      <w:r w:rsidR="004F1718" w:rsidRPr="00053166">
        <w:rPr>
          <w:rFonts w:asciiTheme="minorEastAsia" w:hAnsiTheme="minorEastAsia" w:hint="eastAsia"/>
          <w:szCs w:val="21"/>
        </w:rPr>
        <w:t>收益率方面，9 月各期限产品的收益率全线上涨，主力</w:t>
      </w:r>
      <w:proofErr w:type="gramStart"/>
      <w:r w:rsidR="004F1718" w:rsidRPr="00053166">
        <w:rPr>
          <w:rFonts w:asciiTheme="minorEastAsia" w:hAnsiTheme="minorEastAsia" w:hint="eastAsia"/>
          <w:szCs w:val="21"/>
        </w:rPr>
        <w:t>期限涨幅</w:t>
      </w:r>
      <w:proofErr w:type="gramEnd"/>
      <w:r w:rsidR="004F1718" w:rsidRPr="00053166">
        <w:rPr>
          <w:rFonts w:asciiTheme="minorEastAsia" w:hAnsiTheme="minorEastAsia" w:hint="eastAsia"/>
          <w:szCs w:val="21"/>
        </w:rPr>
        <w:t xml:space="preserve">最大。具体来看，1 </w:t>
      </w:r>
      <w:proofErr w:type="gramStart"/>
      <w:r w:rsidR="004F1718" w:rsidRPr="00053166">
        <w:rPr>
          <w:rFonts w:asciiTheme="minorEastAsia" w:hAnsiTheme="minorEastAsia" w:hint="eastAsia"/>
          <w:szCs w:val="21"/>
        </w:rPr>
        <w:t>个月以下</w:t>
      </w:r>
      <w:proofErr w:type="gramEnd"/>
      <w:r w:rsidR="004F1718" w:rsidRPr="00053166">
        <w:rPr>
          <w:rFonts w:asciiTheme="minorEastAsia" w:hAnsiTheme="minorEastAsia" w:hint="eastAsia"/>
          <w:szCs w:val="21"/>
        </w:rPr>
        <w:t>期限平均预期收益率上涨 14BP 至 4.10%；1-3 月期限产品收益率上涨 28B</w:t>
      </w:r>
      <w:r w:rsidR="004F1718">
        <w:rPr>
          <w:rFonts w:asciiTheme="minorEastAsia" w:hAnsiTheme="minorEastAsia" w:hint="eastAsia"/>
          <w:szCs w:val="21"/>
        </w:rPr>
        <w:t>P</w:t>
      </w:r>
      <w:r w:rsidR="004F1718" w:rsidRPr="00053166">
        <w:rPr>
          <w:rFonts w:asciiTheme="minorEastAsia" w:hAnsiTheme="minorEastAsia" w:hint="eastAsia"/>
          <w:szCs w:val="21"/>
        </w:rPr>
        <w:t>至4.87%； 3-6月期限产品上涨 25BP 至5.11%；6-12 月期限产品上涨 21BP 至 5.22%；一年以上期限产品则上涨21BP至5.57%。</w:t>
      </w:r>
    </w:p>
    <w:p w:rsidR="004F1718" w:rsidRDefault="00952936" w:rsidP="004F1718">
      <w:pPr>
        <w:spacing w:line="360" w:lineRule="auto"/>
        <w:ind w:firstLineChars="200" w:firstLine="420"/>
        <w:jc w:val="center"/>
        <w:rPr>
          <w:rFonts w:asciiTheme="minorEastAsia" w:hAnsiTheme="minorEastAsia"/>
          <w:noProof/>
          <w:szCs w:val="21"/>
        </w:rPr>
      </w:pPr>
      <w:r>
        <w:rPr>
          <w:rFonts w:asciiTheme="minorEastAsia" w:hAnsiTheme="minorEastAsia" w:hint="eastAsia"/>
          <w:noProof/>
          <w:szCs w:val="21"/>
        </w:rPr>
        <w:lastRenderedPageBreak/>
        <w:drawing>
          <wp:anchor distT="0" distB="0" distL="114300" distR="114300" simplePos="0" relativeHeight="251867136" behindDoc="1" locked="0" layoutInCell="1" allowOverlap="1">
            <wp:simplePos x="0" y="0"/>
            <wp:positionH relativeFrom="column">
              <wp:posOffset>-683895</wp:posOffset>
            </wp:positionH>
            <wp:positionV relativeFrom="paragraph">
              <wp:posOffset>-1430655</wp:posOffset>
            </wp:positionV>
            <wp:extent cx="7581900" cy="10725150"/>
            <wp:effectExtent l="19050" t="0" r="0" b="0"/>
            <wp:wrapNone/>
            <wp:docPr id="120"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004F1718" w:rsidRPr="001167A0">
        <w:rPr>
          <w:rFonts w:asciiTheme="minorEastAsia" w:hAnsiTheme="minorEastAsia" w:hint="eastAsia"/>
          <w:noProof/>
          <w:szCs w:val="21"/>
        </w:rPr>
        <w:t xml:space="preserve">图 </w:t>
      </w:r>
      <w:r w:rsidR="004F1718">
        <w:rPr>
          <w:rFonts w:asciiTheme="minorEastAsia" w:hAnsiTheme="minorEastAsia" w:hint="eastAsia"/>
          <w:noProof/>
          <w:szCs w:val="21"/>
        </w:rPr>
        <w:t>44：</w:t>
      </w:r>
      <w:r w:rsidR="004F1718" w:rsidRPr="001167A0">
        <w:rPr>
          <w:rFonts w:asciiTheme="minorEastAsia" w:hAnsiTheme="minorEastAsia" w:hint="eastAsia"/>
          <w:noProof/>
          <w:szCs w:val="21"/>
        </w:rPr>
        <w:t xml:space="preserve"> 期限类型-</w:t>
      </w:r>
      <w:r w:rsidR="004F1718">
        <w:rPr>
          <w:rFonts w:asciiTheme="minorEastAsia" w:hAnsiTheme="minorEastAsia" w:hint="eastAsia"/>
          <w:noProof/>
          <w:szCs w:val="21"/>
        </w:rPr>
        <w:t>银行理财产品数量及收益率走势:</w:t>
      </w:r>
    </w:p>
    <w:p w:rsidR="004F1718" w:rsidRDefault="004F1718" w:rsidP="004F1718">
      <w:pPr>
        <w:spacing w:line="360" w:lineRule="auto"/>
        <w:jc w:val="left"/>
        <w:rPr>
          <w:rFonts w:asciiTheme="minorEastAsia" w:hAnsiTheme="minorEastAsia"/>
          <w:noProof/>
          <w:szCs w:val="21"/>
        </w:rPr>
      </w:pPr>
      <w:r w:rsidRPr="00053166">
        <w:rPr>
          <w:rFonts w:asciiTheme="minorEastAsia" w:hAnsiTheme="minorEastAsia"/>
          <w:noProof/>
          <w:szCs w:val="21"/>
        </w:rPr>
        <w:drawing>
          <wp:inline distT="0" distB="0" distL="0" distR="0">
            <wp:extent cx="2952750" cy="2581275"/>
            <wp:effectExtent l="19050" t="0" r="19050" b="0"/>
            <wp:docPr id="8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345233">
        <w:rPr>
          <w:rFonts w:asciiTheme="minorEastAsia" w:hAnsiTheme="minorEastAsia"/>
          <w:noProof/>
          <w:szCs w:val="21"/>
        </w:rPr>
        <w:drawing>
          <wp:inline distT="0" distB="0" distL="0" distR="0">
            <wp:extent cx="3152775" cy="2581275"/>
            <wp:effectExtent l="19050" t="0" r="9525" b="0"/>
            <wp:docPr id="8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4F1718" w:rsidRPr="001167A0" w:rsidRDefault="004F1718" w:rsidP="004F1718">
      <w:pPr>
        <w:spacing w:line="360" w:lineRule="auto"/>
        <w:jc w:val="left"/>
        <w:rPr>
          <w:rFonts w:asciiTheme="minorEastAsia" w:hAnsiTheme="minorEastAsia"/>
          <w:noProof/>
          <w:szCs w:val="21"/>
        </w:rPr>
      </w:pPr>
    </w:p>
    <w:p w:rsidR="004F1718" w:rsidRPr="00FD0270" w:rsidRDefault="004F1718" w:rsidP="004F1718">
      <w:pPr>
        <w:spacing w:line="360" w:lineRule="auto"/>
        <w:rPr>
          <w:rFonts w:asciiTheme="minorEastAsia" w:hAnsiTheme="minorEastAsia"/>
          <w:szCs w:val="21"/>
        </w:rPr>
      </w:pPr>
      <w:r>
        <w:rPr>
          <w:rFonts w:asciiTheme="minorEastAsia" w:hAnsiTheme="minorEastAsia" w:hint="eastAsia"/>
          <w:szCs w:val="21"/>
        </w:rPr>
        <w:t>（三）、</w:t>
      </w:r>
      <w:r w:rsidR="004B5BBE">
        <w:rPr>
          <w:rFonts w:asciiTheme="minorEastAsia" w:hAnsiTheme="minorEastAsia" w:hint="eastAsia"/>
          <w:szCs w:val="21"/>
        </w:rPr>
        <w:t>不同的</w:t>
      </w:r>
      <w:r>
        <w:rPr>
          <w:rFonts w:asciiTheme="minorEastAsia" w:hAnsiTheme="minorEastAsia" w:hint="eastAsia"/>
          <w:szCs w:val="21"/>
        </w:rPr>
        <w:t>货币基金</w:t>
      </w:r>
      <w:r w:rsidR="004B5BBE">
        <w:rPr>
          <w:rFonts w:asciiTheme="minorEastAsia" w:hAnsiTheme="minorEastAsia" w:hint="eastAsia"/>
          <w:szCs w:val="21"/>
        </w:rPr>
        <w:t>表现略有不同，整体稳健</w:t>
      </w:r>
    </w:p>
    <w:p w:rsidR="004F1718" w:rsidRPr="00487BAE" w:rsidRDefault="004F1718" w:rsidP="004F1718">
      <w:pPr>
        <w:spacing w:line="360" w:lineRule="auto"/>
        <w:ind w:firstLineChars="200" w:firstLine="420"/>
        <w:rPr>
          <w:szCs w:val="21"/>
        </w:rPr>
      </w:pPr>
      <w:r w:rsidRPr="00487BAE">
        <w:rPr>
          <w:rFonts w:hint="eastAsia"/>
          <w:szCs w:val="21"/>
        </w:rPr>
        <w:t>货币型基金是专注于投资货币市场的基金，其投资标的包括短期国债、回购、短期融资</w:t>
      </w:r>
      <w:proofErr w:type="gramStart"/>
      <w:r w:rsidRPr="00487BAE">
        <w:rPr>
          <w:rFonts w:hint="eastAsia"/>
          <w:szCs w:val="21"/>
        </w:rPr>
        <w:t>券</w:t>
      </w:r>
      <w:proofErr w:type="gramEnd"/>
      <w:r w:rsidRPr="00487BAE">
        <w:rPr>
          <w:rFonts w:hint="eastAsia"/>
          <w:szCs w:val="21"/>
        </w:rPr>
        <w:t>、央行票据、银行存款等。货币型基金属于低风险投资品种，流动性仅次于银行储蓄。不同的货币基金收益表现略有不同，但均略高于一年定期存款利率。</w:t>
      </w:r>
    </w:p>
    <w:p w:rsidR="004F1718" w:rsidRPr="00487BAE" w:rsidRDefault="004F1718" w:rsidP="004F1718">
      <w:pPr>
        <w:spacing w:line="360" w:lineRule="auto"/>
        <w:ind w:firstLineChars="200" w:firstLine="420"/>
        <w:jc w:val="center"/>
        <w:rPr>
          <w:szCs w:val="21"/>
        </w:rPr>
      </w:pPr>
      <w:r>
        <w:rPr>
          <w:rFonts w:hint="eastAsia"/>
          <w:szCs w:val="21"/>
        </w:rPr>
        <w:t>表</w:t>
      </w:r>
      <w:r>
        <w:rPr>
          <w:rFonts w:hint="eastAsia"/>
          <w:szCs w:val="21"/>
        </w:rPr>
        <w:t>3</w:t>
      </w:r>
      <w:r>
        <w:rPr>
          <w:rFonts w:hint="eastAsia"/>
          <w:szCs w:val="21"/>
        </w:rPr>
        <w:t>：</w:t>
      </w:r>
      <w:r w:rsidRPr="00487BAE">
        <w:rPr>
          <w:rFonts w:hint="eastAsia"/>
          <w:szCs w:val="21"/>
        </w:rPr>
        <w:t>货币型基金投资标的</w:t>
      </w:r>
    </w:p>
    <w:tbl>
      <w:tblPr>
        <w:tblW w:w="11220" w:type="dxa"/>
        <w:jc w:val="center"/>
        <w:tblInd w:w="93" w:type="dxa"/>
        <w:tblLook w:val="04A0"/>
      </w:tblPr>
      <w:tblGrid>
        <w:gridCol w:w="640"/>
        <w:gridCol w:w="3380"/>
        <w:gridCol w:w="1080"/>
        <w:gridCol w:w="2260"/>
        <w:gridCol w:w="2660"/>
        <w:gridCol w:w="1200"/>
      </w:tblGrid>
      <w:tr w:rsidR="004F1718" w:rsidRPr="00C254CE" w:rsidTr="004F1718">
        <w:trPr>
          <w:trHeight w:val="570"/>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　</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4F1718" w:rsidP="004F1718">
            <w:pPr>
              <w:widowControl/>
              <w:jc w:val="center"/>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标的名称 </w:t>
            </w:r>
          </w:p>
        </w:tc>
        <w:tc>
          <w:tcPr>
            <w:tcW w:w="3340" w:type="dxa"/>
            <w:gridSpan w:val="2"/>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4F1718" w:rsidP="004F1718">
            <w:pPr>
              <w:widowControl/>
              <w:jc w:val="center"/>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收益率 </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4F1718" w:rsidP="004F1718">
            <w:pPr>
              <w:widowControl/>
              <w:jc w:val="center"/>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风险水平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4F1718" w:rsidP="004F1718">
            <w:pPr>
              <w:widowControl/>
              <w:jc w:val="center"/>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流动性</w:t>
            </w:r>
            <w:r w:rsidRPr="00C254CE">
              <w:rPr>
                <w:rFonts w:ascii="宋体" w:eastAsia="宋体" w:hAnsi="宋体" w:cs="宋体" w:hint="eastAsia"/>
                <w:b/>
                <w:bCs/>
                <w:color w:val="000000"/>
                <w:kern w:val="0"/>
                <w:sz w:val="19"/>
                <w:szCs w:val="19"/>
              </w:rPr>
              <w:t xml:space="preserve">* </w:t>
            </w:r>
          </w:p>
        </w:tc>
      </w:tr>
      <w:tr w:rsidR="004F1718" w:rsidRPr="00C254CE" w:rsidTr="004F1718">
        <w:trPr>
          <w:trHeight w:val="540"/>
          <w:jc w:val="center"/>
        </w:trPr>
        <w:tc>
          <w:tcPr>
            <w:tcW w:w="640" w:type="dxa"/>
            <w:vMerge w:val="restart"/>
            <w:tcBorders>
              <w:top w:val="nil"/>
              <w:left w:val="single" w:sz="4" w:space="0" w:color="auto"/>
              <w:bottom w:val="single" w:sz="4" w:space="0" w:color="000000"/>
              <w:right w:val="single" w:sz="4" w:space="0" w:color="auto"/>
            </w:tcBorders>
            <w:shd w:val="clear" w:color="auto" w:fill="auto"/>
            <w:noWrap/>
            <w:textDirection w:val="tbRl"/>
            <w:vAlign w:val="center"/>
            <w:hideMark/>
          </w:tcPr>
          <w:p w:rsidR="004F1718" w:rsidRPr="00C254CE" w:rsidRDefault="004F1718" w:rsidP="004F1718">
            <w:pPr>
              <w:widowControl/>
              <w:jc w:val="center"/>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可投资标的 </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现金 </w:t>
            </w:r>
          </w:p>
        </w:tc>
        <w:tc>
          <w:tcPr>
            <w:tcW w:w="3340" w:type="dxa"/>
            <w:gridSpan w:val="2"/>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活期存款利率0.35% </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无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LLL </w:t>
            </w:r>
          </w:p>
        </w:tc>
      </w:tr>
      <w:tr w:rsidR="004F1718" w:rsidRPr="00C254CE" w:rsidTr="004F1718">
        <w:trPr>
          <w:trHeight w:val="600"/>
          <w:jc w:val="center"/>
        </w:trPr>
        <w:tc>
          <w:tcPr>
            <w:tcW w:w="640" w:type="dxa"/>
            <w:vMerge/>
            <w:tcBorders>
              <w:top w:val="nil"/>
              <w:left w:val="single" w:sz="4" w:space="0" w:color="auto"/>
              <w:bottom w:val="single" w:sz="4" w:space="0" w:color="000000"/>
              <w:right w:val="single" w:sz="4" w:space="0" w:color="auto"/>
            </w:tcBorders>
            <w:vAlign w:val="center"/>
            <w:hideMark/>
          </w:tcPr>
          <w:p w:rsidR="004F1718" w:rsidRPr="00C254CE" w:rsidRDefault="004F1718" w:rsidP="004F1718">
            <w:pPr>
              <w:widowControl/>
              <w:jc w:val="left"/>
              <w:rPr>
                <w:rFonts w:ascii="宋体" w:eastAsia="宋体" w:hAnsi="宋体" w:cs="宋体"/>
                <w:color w:val="000000"/>
                <w:kern w:val="0"/>
                <w:sz w:val="19"/>
                <w:szCs w:val="19"/>
              </w:rPr>
            </w:pPr>
          </w:p>
        </w:tc>
        <w:tc>
          <w:tcPr>
            <w:tcW w:w="3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通知存款 </w:t>
            </w:r>
          </w:p>
        </w:tc>
        <w:tc>
          <w:tcPr>
            <w:tcW w:w="3340" w:type="dxa"/>
            <w:gridSpan w:val="2"/>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一天通知存款0.8%； </w:t>
            </w:r>
          </w:p>
        </w:tc>
        <w:tc>
          <w:tcPr>
            <w:tcW w:w="2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无 </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LL </w:t>
            </w:r>
          </w:p>
        </w:tc>
      </w:tr>
      <w:tr w:rsidR="004F1718" w:rsidRPr="00C254CE" w:rsidTr="004F1718">
        <w:trPr>
          <w:trHeight w:val="600"/>
          <w:jc w:val="center"/>
        </w:trPr>
        <w:tc>
          <w:tcPr>
            <w:tcW w:w="640" w:type="dxa"/>
            <w:vMerge/>
            <w:tcBorders>
              <w:top w:val="nil"/>
              <w:left w:val="single" w:sz="4" w:space="0" w:color="auto"/>
              <w:bottom w:val="single" w:sz="4" w:space="0" w:color="000000"/>
              <w:right w:val="single" w:sz="4" w:space="0" w:color="auto"/>
            </w:tcBorders>
            <w:vAlign w:val="center"/>
            <w:hideMark/>
          </w:tcPr>
          <w:p w:rsidR="004F1718" w:rsidRPr="00C254CE" w:rsidRDefault="004F1718" w:rsidP="004F1718">
            <w:pPr>
              <w:widowControl/>
              <w:jc w:val="left"/>
              <w:rPr>
                <w:rFonts w:ascii="宋体" w:eastAsia="宋体" w:hAnsi="宋体" w:cs="宋体"/>
                <w:color w:val="000000"/>
                <w:kern w:val="0"/>
                <w:sz w:val="19"/>
                <w:szCs w:val="19"/>
              </w:rPr>
            </w:pP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4F1718" w:rsidRPr="00C254CE" w:rsidRDefault="004F1718" w:rsidP="004F1718">
            <w:pPr>
              <w:widowControl/>
              <w:jc w:val="left"/>
              <w:rPr>
                <w:rFonts w:ascii="宋体" w:eastAsia="宋体" w:hAnsi="宋体" w:cs="宋体"/>
                <w:color w:val="000000"/>
                <w:kern w:val="0"/>
                <w:sz w:val="19"/>
                <w:szCs w:val="19"/>
              </w:rPr>
            </w:pPr>
          </w:p>
        </w:tc>
        <w:tc>
          <w:tcPr>
            <w:tcW w:w="3340" w:type="dxa"/>
            <w:gridSpan w:val="2"/>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七天通知存款1.35% </w:t>
            </w:r>
          </w:p>
        </w:tc>
        <w:tc>
          <w:tcPr>
            <w:tcW w:w="2660" w:type="dxa"/>
            <w:vMerge/>
            <w:tcBorders>
              <w:top w:val="single" w:sz="4" w:space="0" w:color="auto"/>
              <w:left w:val="single" w:sz="4" w:space="0" w:color="auto"/>
              <w:bottom w:val="single" w:sz="4" w:space="0" w:color="auto"/>
              <w:right w:val="single" w:sz="4" w:space="0" w:color="auto"/>
            </w:tcBorders>
            <w:vAlign w:val="center"/>
            <w:hideMark/>
          </w:tcPr>
          <w:p w:rsidR="004F1718" w:rsidRPr="00C254CE" w:rsidRDefault="004F1718" w:rsidP="004F1718">
            <w:pPr>
              <w:widowControl/>
              <w:jc w:val="left"/>
              <w:rPr>
                <w:rFonts w:ascii="宋体" w:eastAsia="宋体" w:hAnsi="宋体" w:cs="宋体"/>
                <w:color w:val="000000"/>
                <w:kern w:val="0"/>
                <w:sz w:val="19"/>
                <w:szCs w:val="19"/>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4F1718" w:rsidRPr="00C254CE" w:rsidRDefault="004F1718" w:rsidP="004F1718">
            <w:pPr>
              <w:widowControl/>
              <w:jc w:val="left"/>
              <w:rPr>
                <w:rFonts w:ascii="宋体" w:eastAsia="宋体" w:hAnsi="宋体" w:cs="宋体"/>
                <w:color w:val="000000"/>
                <w:kern w:val="0"/>
                <w:sz w:val="19"/>
                <w:szCs w:val="19"/>
              </w:rPr>
            </w:pPr>
          </w:p>
        </w:tc>
      </w:tr>
      <w:tr w:rsidR="004F1718" w:rsidRPr="00C254CE" w:rsidTr="004F1718">
        <w:trPr>
          <w:trHeight w:val="600"/>
          <w:jc w:val="center"/>
        </w:trPr>
        <w:tc>
          <w:tcPr>
            <w:tcW w:w="640" w:type="dxa"/>
            <w:vMerge/>
            <w:tcBorders>
              <w:top w:val="nil"/>
              <w:left w:val="single" w:sz="4" w:space="0" w:color="auto"/>
              <w:bottom w:val="single" w:sz="4" w:space="0" w:color="000000"/>
              <w:right w:val="single" w:sz="4" w:space="0" w:color="auto"/>
            </w:tcBorders>
            <w:vAlign w:val="center"/>
            <w:hideMark/>
          </w:tcPr>
          <w:p w:rsidR="004F1718" w:rsidRPr="00C254CE" w:rsidRDefault="004F1718" w:rsidP="004F1718">
            <w:pPr>
              <w:widowControl/>
              <w:jc w:val="left"/>
              <w:rPr>
                <w:rFonts w:ascii="宋体" w:eastAsia="宋体" w:hAnsi="宋体" w:cs="宋体"/>
                <w:color w:val="000000"/>
                <w:kern w:val="0"/>
                <w:sz w:val="19"/>
                <w:szCs w:val="19"/>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4F1718" w:rsidRPr="00487BAE" w:rsidRDefault="004F1718" w:rsidP="004F1718">
            <w:pPr>
              <w:widowControl/>
              <w:jc w:val="left"/>
              <w:rPr>
                <w:rFonts w:ascii="宋体" w:eastAsia="宋体" w:hAnsi="宋体" w:cs="宋体"/>
                <w:color w:val="000000"/>
                <w:kern w:val="0"/>
                <w:sz w:val="19"/>
                <w:szCs w:val="19"/>
              </w:rPr>
            </w:pPr>
            <w:r w:rsidRPr="00487BAE">
              <w:rPr>
                <w:rFonts w:ascii="宋体" w:eastAsia="宋体" w:hAnsi="宋体" w:cs="宋体" w:hint="eastAsia"/>
                <w:color w:val="000000"/>
                <w:kern w:val="0"/>
                <w:sz w:val="19"/>
                <w:szCs w:val="19"/>
              </w:rPr>
              <w:t>短期融资</w:t>
            </w:r>
            <w:proofErr w:type="gramStart"/>
            <w:r w:rsidRPr="00487BAE">
              <w:rPr>
                <w:rFonts w:ascii="宋体" w:eastAsia="宋体" w:hAnsi="宋体" w:cs="宋体" w:hint="eastAsia"/>
                <w:color w:val="000000"/>
                <w:kern w:val="0"/>
                <w:sz w:val="19"/>
                <w:szCs w:val="19"/>
              </w:rPr>
              <w:t>券</w:t>
            </w:r>
            <w:proofErr w:type="gramEnd"/>
            <w:r w:rsidRPr="00487BAE">
              <w:rPr>
                <w:rFonts w:ascii="宋体" w:eastAsia="宋体" w:hAnsi="宋体" w:cs="宋体" w:hint="eastAsia"/>
                <w:color w:val="000000"/>
                <w:kern w:val="0"/>
                <w:sz w:val="19"/>
                <w:szCs w:val="19"/>
              </w:rPr>
              <w:t xml:space="preserve">（期限小于或等于一年） </w:t>
            </w:r>
          </w:p>
        </w:tc>
        <w:tc>
          <w:tcPr>
            <w:tcW w:w="3340" w:type="dxa"/>
            <w:gridSpan w:val="2"/>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企业债到期收益率：约4% </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存在市场风险和违约风险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LL </w:t>
            </w:r>
          </w:p>
        </w:tc>
      </w:tr>
      <w:tr w:rsidR="004F1718" w:rsidRPr="00C254CE" w:rsidTr="004F1718">
        <w:trPr>
          <w:trHeight w:val="600"/>
          <w:jc w:val="center"/>
        </w:trPr>
        <w:tc>
          <w:tcPr>
            <w:tcW w:w="640" w:type="dxa"/>
            <w:vMerge/>
            <w:tcBorders>
              <w:top w:val="nil"/>
              <w:left w:val="single" w:sz="4" w:space="0" w:color="auto"/>
              <w:bottom w:val="single" w:sz="4" w:space="0" w:color="000000"/>
              <w:right w:val="single" w:sz="4" w:space="0" w:color="auto"/>
            </w:tcBorders>
            <w:vAlign w:val="center"/>
            <w:hideMark/>
          </w:tcPr>
          <w:p w:rsidR="004F1718" w:rsidRPr="00C254CE" w:rsidRDefault="004F1718" w:rsidP="004F1718">
            <w:pPr>
              <w:widowControl/>
              <w:jc w:val="left"/>
              <w:rPr>
                <w:rFonts w:ascii="宋体" w:eastAsia="宋体" w:hAnsi="宋体" w:cs="宋体"/>
                <w:color w:val="000000"/>
                <w:kern w:val="0"/>
                <w:sz w:val="19"/>
                <w:szCs w:val="19"/>
              </w:rPr>
            </w:pPr>
          </w:p>
        </w:tc>
        <w:tc>
          <w:tcPr>
            <w:tcW w:w="3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1718" w:rsidRPr="00487BAE" w:rsidRDefault="004F1718" w:rsidP="004F1718">
            <w:pPr>
              <w:widowControl/>
              <w:jc w:val="left"/>
              <w:rPr>
                <w:rFonts w:ascii="宋体" w:eastAsia="宋体" w:hAnsi="宋体" w:cs="宋体"/>
                <w:color w:val="000000"/>
                <w:kern w:val="0"/>
                <w:sz w:val="19"/>
                <w:szCs w:val="19"/>
              </w:rPr>
            </w:pPr>
            <w:r w:rsidRPr="00487BAE">
              <w:rPr>
                <w:rFonts w:ascii="宋体" w:eastAsia="宋体" w:hAnsi="宋体" w:cs="宋体" w:hint="eastAsia"/>
                <w:color w:val="000000"/>
                <w:kern w:val="0"/>
                <w:sz w:val="19"/>
                <w:szCs w:val="19"/>
              </w:rPr>
              <w:t>剩余期限在</w:t>
            </w:r>
            <w:r w:rsidRPr="00487BAE">
              <w:rPr>
                <w:rFonts w:ascii="宋体" w:eastAsia="宋体" w:hAnsi="宋体" w:cs="宋体" w:hint="eastAsia"/>
                <w:bCs/>
                <w:color w:val="000000"/>
                <w:kern w:val="0"/>
                <w:sz w:val="19"/>
                <w:szCs w:val="19"/>
              </w:rPr>
              <w:t>397</w:t>
            </w:r>
            <w:r w:rsidRPr="00487BAE">
              <w:rPr>
                <w:rFonts w:ascii="宋体" w:eastAsia="宋体" w:hAnsi="宋体" w:cs="宋体" w:hint="eastAsia"/>
                <w:color w:val="000000"/>
                <w:kern w:val="0"/>
                <w:sz w:val="19"/>
                <w:szCs w:val="19"/>
              </w:rPr>
              <w:t>天以内（含</w:t>
            </w:r>
            <w:r w:rsidRPr="00487BAE">
              <w:rPr>
                <w:rFonts w:ascii="宋体" w:eastAsia="宋体" w:hAnsi="宋体" w:cs="宋体" w:hint="eastAsia"/>
                <w:bCs/>
                <w:color w:val="000000"/>
                <w:kern w:val="0"/>
                <w:sz w:val="19"/>
                <w:szCs w:val="19"/>
              </w:rPr>
              <w:t>397</w:t>
            </w:r>
            <w:r w:rsidRPr="00487BAE">
              <w:rPr>
                <w:rFonts w:ascii="宋体" w:eastAsia="宋体" w:hAnsi="宋体" w:cs="宋体" w:hint="eastAsia"/>
                <w:color w:val="000000"/>
                <w:kern w:val="0"/>
                <w:sz w:val="19"/>
                <w:szCs w:val="19"/>
              </w:rPr>
              <w:t xml:space="preserve">天）的债券 </w:t>
            </w:r>
          </w:p>
        </w:tc>
        <w:tc>
          <w:tcPr>
            <w:tcW w:w="3340" w:type="dxa"/>
            <w:gridSpan w:val="2"/>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国债到期收益率：3%-5%； </w:t>
            </w:r>
          </w:p>
        </w:tc>
        <w:tc>
          <w:tcPr>
            <w:tcW w:w="2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多投资国债、金融债（政策性金融债）与公司短期融资债 </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LL </w:t>
            </w:r>
          </w:p>
        </w:tc>
      </w:tr>
      <w:tr w:rsidR="004F1718" w:rsidRPr="00C254CE" w:rsidTr="004F1718">
        <w:trPr>
          <w:trHeight w:val="600"/>
          <w:jc w:val="center"/>
        </w:trPr>
        <w:tc>
          <w:tcPr>
            <w:tcW w:w="640" w:type="dxa"/>
            <w:vMerge/>
            <w:tcBorders>
              <w:top w:val="nil"/>
              <w:left w:val="single" w:sz="4" w:space="0" w:color="auto"/>
              <w:bottom w:val="single" w:sz="4" w:space="0" w:color="000000"/>
              <w:right w:val="single" w:sz="4" w:space="0" w:color="auto"/>
            </w:tcBorders>
            <w:vAlign w:val="center"/>
            <w:hideMark/>
          </w:tcPr>
          <w:p w:rsidR="004F1718" w:rsidRPr="00C254CE" w:rsidRDefault="004F1718" w:rsidP="004F1718">
            <w:pPr>
              <w:widowControl/>
              <w:jc w:val="left"/>
              <w:rPr>
                <w:rFonts w:ascii="宋体" w:eastAsia="宋体" w:hAnsi="宋体" w:cs="宋体"/>
                <w:color w:val="000000"/>
                <w:kern w:val="0"/>
                <w:sz w:val="19"/>
                <w:szCs w:val="19"/>
              </w:rPr>
            </w:pP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4F1718" w:rsidRPr="00487BAE" w:rsidRDefault="004F1718" w:rsidP="004F1718">
            <w:pPr>
              <w:widowControl/>
              <w:jc w:val="left"/>
              <w:rPr>
                <w:rFonts w:ascii="宋体" w:eastAsia="宋体" w:hAnsi="宋体" w:cs="宋体"/>
                <w:color w:val="000000"/>
                <w:kern w:val="0"/>
                <w:sz w:val="19"/>
                <w:szCs w:val="19"/>
              </w:rPr>
            </w:pPr>
          </w:p>
        </w:tc>
        <w:tc>
          <w:tcPr>
            <w:tcW w:w="3340" w:type="dxa"/>
            <w:gridSpan w:val="2"/>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政策性金融债到期收益率：3%-7%； </w:t>
            </w:r>
          </w:p>
        </w:tc>
        <w:tc>
          <w:tcPr>
            <w:tcW w:w="2660" w:type="dxa"/>
            <w:vMerge/>
            <w:tcBorders>
              <w:top w:val="single" w:sz="4" w:space="0" w:color="auto"/>
              <w:left w:val="single" w:sz="4" w:space="0" w:color="auto"/>
              <w:bottom w:val="single" w:sz="4" w:space="0" w:color="auto"/>
              <w:right w:val="single" w:sz="4" w:space="0" w:color="auto"/>
            </w:tcBorders>
            <w:vAlign w:val="center"/>
            <w:hideMark/>
          </w:tcPr>
          <w:p w:rsidR="004F1718" w:rsidRPr="00C254CE" w:rsidRDefault="004F1718" w:rsidP="004F1718">
            <w:pPr>
              <w:widowControl/>
              <w:jc w:val="left"/>
              <w:rPr>
                <w:rFonts w:ascii="宋体" w:eastAsia="宋体" w:hAnsi="宋体" w:cs="宋体"/>
                <w:color w:val="000000"/>
                <w:kern w:val="0"/>
                <w:sz w:val="19"/>
                <w:szCs w:val="19"/>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4F1718" w:rsidRPr="00C254CE" w:rsidRDefault="004F1718" w:rsidP="004F1718">
            <w:pPr>
              <w:widowControl/>
              <w:jc w:val="left"/>
              <w:rPr>
                <w:rFonts w:ascii="宋体" w:eastAsia="宋体" w:hAnsi="宋体" w:cs="宋体"/>
                <w:color w:val="000000"/>
                <w:kern w:val="0"/>
                <w:sz w:val="19"/>
                <w:szCs w:val="19"/>
              </w:rPr>
            </w:pPr>
          </w:p>
        </w:tc>
      </w:tr>
      <w:tr w:rsidR="004F1718" w:rsidRPr="00C254CE" w:rsidTr="004F1718">
        <w:trPr>
          <w:trHeight w:val="600"/>
          <w:jc w:val="center"/>
        </w:trPr>
        <w:tc>
          <w:tcPr>
            <w:tcW w:w="640" w:type="dxa"/>
            <w:vMerge/>
            <w:tcBorders>
              <w:top w:val="nil"/>
              <w:left w:val="single" w:sz="4" w:space="0" w:color="auto"/>
              <w:bottom w:val="single" w:sz="4" w:space="0" w:color="000000"/>
              <w:right w:val="single" w:sz="4" w:space="0" w:color="auto"/>
            </w:tcBorders>
            <w:vAlign w:val="center"/>
            <w:hideMark/>
          </w:tcPr>
          <w:p w:rsidR="004F1718" w:rsidRPr="00C254CE" w:rsidRDefault="004F1718" w:rsidP="004F1718">
            <w:pPr>
              <w:widowControl/>
              <w:jc w:val="left"/>
              <w:rPr>
                <w:rFonts w:ascii="宋体" w:eastAsia="宋体" w:hAnsi="宋体" w:cs="宋体"/>
                <w:color w:val="000000"/>
                <w:kern w:val="0"/>
                <w:sz w:val="19"/>
                <w:szCs w:val="19"/>
              </w:rPr>
            </w:pPr>
          </w:p>
        </w:tc>
        <w:tc>
          <w:tcPr>
            <w:tcW w:w="3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1718" w:rsidRPr="00487BAE" w:rsidRDefault="004F1718" w:rsidP="004F1718">
            <w:pPr>
              <w:widowControl/>
              <w:jc w:val="left"/>
              <w:rPr>
                <w:rFonts w:ascii="宋体" w:eastAsia="宋体" w:hAnsi="宋体" w:cs="宋体"/>
                <w:bCs/>
                <w:color w:val="000000"/>
                <w:kern w:val="0"/>
                <w:sz w:val="19"/>
                <w:szCs w:val="19"/>
              </w:rPr>
            </w:pPr>
            <w:r w:rsidRPr="00487BAE">
              <w:rPr>
                <w:rFonts w:ascii="宋体" w:eastAsia="宋体" w:hAnsi="宋体" w:cs="宋体" w:hint="eastAsia"/>
                <w:bCs/>
                <w:color w:val="000000"/>
                <w:kern w:val="0"/>
                <w:sz w:val="19"/>
                <w:szCs w:val="19"/>
              </w:rPr>
              <w:t>1</w:t>
            </w:r>
            <w:r w:rsidRPr="00487BAE">
              <w:rPr>
                <w:rFonts w:ascii="宋体" w:eastAsia="宋体" w:hAnsi="宋体" w:cs="宋体" w:hint="eastAsia"/>
                <w:color w:val="000000"/>
                <w:kern w:val="0"/>
                <w:sz w:val="19"/>
                <w:szCs w:val="19"/>
              </w:rPr>
              <w:t>年以内（含</w:t>
            </w:r>
            <w:r w:rsidRPr="00487BAE">
              <w:rPr>
                <w:rFonts w:ascii="宋体" w:eastAsia="宋体" w:hAnsi="宋体" w:cs="宋体" w:hint="eastAsia"/>
                <w:bCs/>
                <w:color w:val="000000"/>
                <w:kern w:val="0"/>
                <w:sz w:val="19"/>
                <w:szCs w:val="19"/>
              </w:rPr>
              <w:t>1</w:t>
            </w:r>
            <w:r w:rsidRPr="00487BAE">
              <w:rPr>
                <w:rFonts w:ascii="宋体" w:eastAsia="宋体" w:hAnsi="宋体" w:cs="宋体" w:hint="eastAsia"/>
                <w:color w:val="000000"/>
                <w:kern w:val="0"/>
                <w:sz w:val="19"/>
                <w:szCs w:val="19"/>
              </w:rPr>
              <w:t xml:space="preserve">年）的银行定期存款、大额存单 </w:t>
            </w:r>
          </w:p>
        </w:tc>
        <w:tc>
          <w:tcPr>
            <w:tcW w:w="3340" w:type="dxa"/>
            <w:gridSpan w:val="2"/>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三个月定期存款：2.6%； </w:t>
            </w:r>
          </w:p>
        </w:tc>
        <w:tc>
          <w:tcPr>
            <w:tcW w:w="2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基本无 </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LL </w:t>
            </w:r>
          </w:p>
        </w:tc>
      </w:tr>
      <w:tr w:rsidR="004F1718" w:rsidRPr="00C254CE" w:rsidTr="004F1718">
        <w:trPr>
          <w:trHeight w:val="600"/>
          <w:jc w:val="center"/>
        </w:trPr>
        <w:tc>
          <w:tcPr>
            <w:tcW w:w="640" w:type="dxa"/>
            <w:vMerge/>
            <w:tcBorders>
              <w:top w:val="nil"/>
              <w:left w:val="single" w:sz="4" w:space="0" w:color="auto"/>
              <w:bottom w:val="single" w:sz="4" w:space="0" w:color="000000"/>
              <w:right w:val="single" w:sz="4" w:space="0" w:color="auto"/>
            </w:tcBorders>
            <w:vAlign w:val="center"/>
            <w:hideMark/>
          </w:tcPr>
          <w:p w:rsidR="004F1718" w:rsidRPr="00C254CE" w:rsidRDefault="004F1718" w:rsidP="004F1718">
            <w:pPr>
              <w:widowControl/>
              <w:jc w:val="left"/>
              <w:rPr>
                <w:rFonts w:ascii="宋体" w:eastAsia="宋体" w:hAnsi="宋体" w:cs="宋体"/>
                <w:color w:val="000000"/>
                <w:kern w:val="0"/>
                <w:sz w:val="19"/>
                <w:szCs w:val="19"/>
              </w:rPr>
            </w:pP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4F1718" w:rsidRPr="00C254CE" w:rsidRDefault="004F1718" w:rsidP="004F1718">
            <w:pPr>
              <w:widowControl/>
              <w:jc w:val="left"/>
              <w:rPr>
                <w:rFonts w:ascii="宋体" w:eastAsia="宋体" w:hAnsi="宋体" w:cs="宋体"/>
                <w:b/>
                <w:bCs/>
                <w:color w:val="000000"/>
                <w:kern w:val="0"/>
                <w:sz w:val="19"/>
                <w:szCs w:val="19"/>
              </w:rPr>
            </w:pPr>
          </w:p>
        </w:tc>
        <w:tc>
          <w:tcPr>
            <w:tcW w:w="3340" w:type="dxa"/>
            <w:gridSpan w:val="2"/>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AA6E68" w:rsidP="004F1718">
            <w:pPr>
              <w:widowControl/>
              <w:jc w:val="left"/>
              <w:rPr>
                <w:rFonts w:ascii="宋体" w:eastAsia="宋体" w:hAnsi="宋体" w:cs="宋体"/>
                <w:color w:val="000000"/>
                <w:kern w:val="0"/>
                <w:sz w:val="19"/>
                <w:szCs w:val="19"/>
              </w:rPr>
            </w:pPr>
            <w:r>
              <w:rPr>
                <w:rFonts w:ascii="宋体" w:eastAsia="宋体" w:hAnsi="宋体" w:cs="宋体"/>
                <w:noProof/>
                <w:color w:val="000000"/>
                <w:kern w:val="0"/>
                <w:sz w:val="19"/>
                <w:szCs w:val="19"/>
              </w:rPr>
              <w:pict>
                <v:shape id="_x0000_s2141" type="#_x0000_t202" style="position:absolute;margin-left:42.9pt;margin-top:61.9pt;width:85.5pt;height:25pt;z-index:251910144;mso-position-horizontal-relative:text;mso-position-vertical-relative:text" strokecolor="white [3212]">
                  <v:textbox>
                    <w:txbxContent>
                      <w:p w:rsidR="00832D5A" w:rsidRDefault="00832D5A" w:rsidP="0088624D">
                        <w:pPr>
                          <w:jc w:val="center"/>
                        </w:pPr>
                        <w:r>
                          <w:rPr>
                            <w:rFonts w:hint="eastAsia"/>
                          </w:rPr>
                          <w:t>第</w:t>
                        </w:r>
                        <w:r>
                          <w:rPr>
                            <w:rFonts w:hint="eastAsia"/>
                          </w:rPr>
                          <w:t>26</w:t>
                        </w:r>
                        <w:r>
                          <w:rPr>
                            <w:rFonts w:hint="eastAsia"/>
                          </w:rPr>
                          <w:t>页</w:t>
                        </w:r>
                      </w:p>
                    </w:txbxContent>
                  </v:textbox>
                </v:shape>
              </w:pict>
            </w:r>
            <w:r w:rsidR="004F1718" w:rsidRPr="00C254CE">
              <w:rPr>
                <w:rFonts w:ascii="宋体" w:eastAsia="宋体" w:hAnsi="宋体" w:cs="宋体" w:hint="eastAsia"/>
                <w:color w:val="000000"/>
                <w:kern w:val="0"/>
                <w:sz w:val="19"/>
                <w:szCs w:val="19"/>
              </w:rPr>
              <w:t xml:space="preserve">半年定期存款：2.8%； </w:t>
            </w:r>
          </w:p>
        </w:tc>
        <w:tc>
          <w:tcPr>
            <w:tcW w:w="2660" w:type="dxa"/>
            <w:vMerge/>
            <w:tcBorders>
              <w:top w:val="single" w:sz="4" w:space="0" w:color="auto"/>
              <w:left w:val="single" w:sz="4" w:space="0" w:color="auto"/>
              <w:bottom w:val="single" w:sz="4" w:space="0" w:color="auto"/>
              <w:right w:val="single" w:sz="4" w:space="0" w:color="auto"/>
            </w:tcBorders>
            <w:vAlign w:val="center"/>
            <w:hideMark/>
          </w:tcPr>
          <w:p w:rsidR="004F1718" w:rsidRPr="00C254CE" w:rsidRDefault="004F1718" w:rsidP="004F1718">
            <w:pPr>
              <w:widowControl/>
              <w:jc w:val="left"/>
              <w:rPr>
                <w:rFonts w:ascii="宋体" w:eastAsia="宋体" w:hAnsi="宋体" w:cs="宋体"/>
                <w:color w:val="000000"/>
                <w:kern w:val="0"/>
                <w:sz w:val="19"/>
                <w:szCs w:val="19"/>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4F1718" w:rsidRPr="00C254CE" w:rsidRDefault="004F1718" w:rsidP="004F1718">
            <w:pPr>
              <w:widowControl/>
              <w:jc w:val="left"/>
              <w:rPr>
                <w:rFonts w:ascii="宋体" w:eastAsia="宋体" w:hAnsi="宋体" w:cs="宋体"/>
                <w:color w:val="000000"/>
                <w:kern w:val="0"/>
                <w:sz w:val="19"/>
                <w:szCs w:val="19"/>
              </w:rPr>
            </w:pPr>
          </w:p>
        </w:tc>
      </w:tr>
      <w:tr w:rsidR="004F1718" w:rsidRPr="00C254CE" w:rsidTr="004F1718">
        <w:trPr>
          <w:trHeight w:val="600"/>
          <w:jc w:val="center"/>
        </w:trPr>
        <w:tc>
          <w:tcPr>
            <w:tcW w:w="640" w:type="dxa"/>
            <w:vMerge/>
            <w:tcBorders>
              <w:top w:val="nil"/>
              <w:left w:val="single" w:sz="4" w:space="0" w:color="auto"/>
              <w:bottom w:val="single" w:sz="4" w:space="0" w:color="000000"/>
              <w:right w:val="single" w:sz="4" w:space="0" w:color="auto"/>
            </w:tcBorders>
            <w:vAlign w:val="center"/>
            <w:hideMark/>
          </w:tcPr>
          <w:p w:rsidR="004F1718" w:rsidRPr="00C254CE" w:rsidRDefault="004F1718" w:rsidP="004F1718">
            <w:pPr>
              <w:widowControl/>
              <w:jc w:val="left"/>
              <w:rPr>
                <w:rFonts w:ascii="宋体" w:eastAsia="宋体" w:hAnsi="宋体" w:cs="宋体"/>
                <w:color w:val="000000"/>
                <w:kern w:val="0"/>
                <w:sz w:val="19"/>
                <w:szCs w:val="19"/>
              </w:rPr>
            </w:pP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4F1718" w:rsidRPr="00C254CE" w:rsidRDefault="004F1718" w:rsidP="004F1718">
            <w:pPr>
              <w:widowControl/>
              <w:jc w:val="left"/>
              <w:rPr>
                <w:rFonts w:ascii="宋体" w:eastAsia="宋体" w:hAnsi="宋体" w:cs="宋体"/>
                <w:b/>
                <w:bCs/>
                <w:color w:val="000000"/>
                <w:kern w:val="0"/>
                <w:sz w:val="19"/>
                <w:szCs w:val="19"/>
              </w:rPr>
            </w:pPr>
          </w:p>
        </w:tc>
        <w:tc>
          <w:tcPr>
            <w:tcW w:w="3340" w:type="dxa"/>
            <w:gridSpan w:val="2"/>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48295B" w:rsidP="004F1718">
            <w:pPr>
              <w:widowControl/>
              <w:jc w:val="left"/>
              <w:rPr>
                <w:rFonts w:ascii="宋体" w:eastAsia="宋体" w:hAnsi="宋体" w:cs="宋体"/>
                <w:color w:val="000000"/>
                <w:kern w:val="0"/>
                <w:sz w:val="19"/>
                <w:szCs w:val="19"/>
              </w:rPr>
            </w:pPr>
            <w:r>
              <w:rPr>
                <w:rFonts w:ascii="宋体" w:eastAsia="宋体" w:hAnsi="宋体" w:cs="宋体" w:hint="eastAsia"/>
                <w:noProof/>
                <w:color w:val="000000"/>
                <w:kern w:val="0"/>
                <w:sz w:val="19"/>
                <w:szCs w:val="19"/>
              </w:rPr>
              <w:drawing>
                <wp:anchor distT="0" distB="0" distL="114300" distR="114300" simplePos="0" relativeHeight="251869184" behindDoc="1" locked="0" layoutInCell="1" allowOverlap="1">
                  <wp:simplePos x="0" y="0"/>
                  <wp:positionH relativeFrom="column">
                    <wp:posOffset>-2838450</wp:posOffset>
                  </wp:positionH>
                  <wp:positionV relativeFrom="paragraph">
                    <wp:posOffset>-1435100</wp:posOffset>
                  </wp:positionV>
                  <wp:extent cx="7581900" cy="10725150"/>
                  <wp:effectExtent l="19050" t="0" r="0" b="0"/>
                  <wp:wrapNone/>
                  <wp:docPr id="121"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004F1718" w:rsidRPr="00C254CE">
              <w:rPr>
                <w:rFonts w:ascii="宋体" w:eastAsia="宋体" w:hAnsi="宋体" w:cs="宋体" w:hint="eastAsia"/>
                <w:color w:val="000000"/>
                <w:kern w:val="0"/>
                <w:sz w:val="19"/>
                <w:szCs w:val="19"/>
              </w:rPr>
              <w:t xml:space="preserve">一年定期存款：3% </w:t>
            </w:r>
          </w:p>
        </w:tc>
        <w:tc>
          <w:tcPr>
            <w:tcW w:w="2660" w:type="dxa"/>
            <w:vMerge/>
            <w:tcBorders>
              <w:top w:val="single" w:sz="4" w:space="0" w:color="auto"/>
              <w:left w:val="single" w:sz="4" w:space="0" w:color="auto"/>
              <w:bottom w:val="single" w:sz="4" w:space="0" w:color="auto"/>
              <w:right w:val="single" w:sz="4" w:space="0" w:color="auto"/>
            </w:tcBorders>
            <w:vAlign w:val="center"/>
            <w:hideMark/>
          </w:tcPr>
          <w:p w:rsidR="004F1718" w:rsidRPr="00C254CE" w:rsidRDefault="004F1718" w:rsidP="004F1718">
            <w:pPr>
              <w:widowControl/>
              <w:jc w:val="left"/>
              <w:rPr>
                <w:rFonts w:ascii="宋体" w:eastAsia="宋体" w:hAnsi="宋体" w:cs="宋体"/>
                <w:color w:val="000000"/>
                <w:kern w:val="0"/>
                <w:sz w:val="19"/>
                <w:szCs w:val="19"/>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4F1718" w:rsidRPr="00C254CE" w:rsidRDefault="004F1718" w:rsidP="004F1718">
            <w:pPr>
              <w:widowControl/>
              <w:jc w:val="left"/>
              <w:rPr>
                <w:rFonts w:ascii="宋体" w:eastAsia="宋体" w:hAnsi="宋体" w:cs="宋体"/>
                <w:color w:val="000000"/>
                <w:kern w:val="0"/>
                <w:sz w:val="19"/>
                <w:szCs w:val="19"/>
              </w:rPr>
            </w:pPr>
          </w:p>
        </w:tc>
      </w:tr>
      <w:tr w:rsidR="004F1718" w:rsidRPr="00C254CE" w:rsidTr="004F1718">
        <w:trPr>
          <w:trHeight w:val="600"/>
          <w:jc w:val="center"/>
        </w:trPr>
        <w:tc>
          <w:tcPr>
            <w:tcW w:w="640" w:type="dxa"/>
            <w:vMerge/>
            <w:tcBorders>
              <w:top w:val="nil"/>
              <w:left w:val="single" w:sz="4" w:space="0" w:color="auto"/>
              <w:bottom w:val="single" w:sz="4" w:space="0" w:color="000000"/>
              <w:right w:val="single" w:sz="4" w:space="0" w:color="auto"/>
            </w:tcBorders>
            <w:vAlign w:val="center"/>
            <w:hideMark/>
          </w:tcPr>
          <w:p w:rsidR="004F1718" w:rsidRPr="00C254CE" w:rsidRDefault="004F1718" w:rsidP="004F1718">
            <w:pPr>
              <w:widowControl/>
              <w:jc w:val="left"/>
              <w:rPr>
                <w:rFonts w:ascii="宋体" w:eastAsia="宋体" w:hAnsi="宋体" w:cs="宋体"/>
                <w:color w:val="000000"/>
                <w:kern w:val="0"/>
                <w:sz w:val="19"/>
                <w:szCs w:val="19"/>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4F1718" w:rsidRPr="00487BAE" w:rsidRDefault="004F1718" w:rsidP="004F1718">
            <w:pPr>
              <w:widowControl/>
              <w:jc w:val="left"/>
              <w:rPr>
                <w:rFonts w:ascii="宋体" w:eastAsia="宋体" w:hAnsi="宋体" w:cs="宋体"/>
                <w:color w:val="000000"/>
                <w:kern w:val="0"/>
                <w:sz w:val="19"/>
                <w:szCs w:val="19"/>
              </w:rPr>
            </w:pPr>
            <w:r w:rsidRPr="00487BAE">
              <w:rPr>
                <w:rFonts w:ascii="宋体" w:eastAsia="宋体" w:hAnsi="宋体" w:cs="宋体" w:hint="eastAsia"/>
                <w:color w:val="000000"/>
                <w:kern w:val="0"/>
                <w:sz w:val="19"/>
                <w:szCs w:val="19"/>
              </w:rPr>
              <w:t>期限在</w:t>
            </w:r>
            <w:r w:rsidRPr="00487BAE">
              <w:rPr>
                <w:rFonts w:ascii="宋体" w:eastAsia="宋体" w:hAnsi="宋体" w:cs="宋体" w:hint="eastAsia"/>
                <w:bCs/>
                <w:color w:val="000000"/>
                <w:kern w:val="0"/>
                <w:sz w:val="19"/>
                <w:szCs w:val="19"/>
              </w:rPr>
              <w:t>1</w:t>
            </w:r>
            <w:r w:rsidRPr="00487BAE">
              <w:rPr>
                <w:rFonts w:ascii="宋体" w:eastAsia="宋体" w:hAnsi="宋体" w:cs="宋体" w:hint="eastAsia"/>
                <w:color w:val="000000"/>
                <w:kern w:val="0"/>
                <w:sz w:val="19"/>
                <w:szCs w:val="19"/>
              </w:rPr>
              <w:t>年以内（含</w:t>
            </w:r>
            <w:r w:rsidRPr="00487BAE">
              <w:rPr>
                <w:rFonts w:ascii="宋体" w:eastAsia="宋体" w:hAnsi="宋体" w:cs="宋体" w:hint="eastAsia"/>
                <w:bCs/>
                <w:color w:val="000000"/>
                <w:kern w:val="0"/>
                <w:sz w:val="19"/>
                <w:szCs w:val="19"/>
              </w:rPr>
              <w:t>1</w:t>
            </w:r>
            <w:r w:rsidRPr="00487BAE">
              <w:rPr>
                <w:rFonts w:ascii="宋体" w:eastAsia="宋体" w:hAnsi="宋体" w:cs="宋体" w:hint="eastAsia"/>
                <w:color w:val="000000"/>
                <w:kern w:val="0"/>
                <w:sz w:val="19"/>
                <w:szCs w:val="19"/>
              </w:rPr>
              <w:t xml:space="preserve">年）的债券回购 </w:t>
            </w:r>
          </w:p>
        </w:tc>
        <w:tc>
          <w:tcPr>
            <w:tcW w:w="3340" w:type="dxa"/>
            <w:gridSpan w:val="2"/>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2.9%-4.7%</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存在市场风险和违约风险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LLL </w:t>
            </w:r>
          </w:p>
        </w:tc>
      </w:tr>
      <w:tr w:rsidR="004F1718" w:rsidRPr="00C254CE" w:rsidTr="004F1718">
        <w:trPr>
          <w:trHeight w:val="600"/>
          <w:jc w:val="center"/>
        </w:trPr>
        <w:tc>
          <w:tcPr>
            <w:tcW w:w="640" w:type="dxa"/>
            <w:vMerge/>
            <w:tcBorders>
              <w:top w:val="nil"/>
              <w:left w:val="single" w:sz="4" w:space="0" w:color="auto"/>
              <w:bottom w:val="single" w:sz="4" w:space="0" w:color="000000"/>
              <w:right w:val="single" w:sz="4" w:space="0" w:color="auto"/>
            </w:tcBorders>
            <w:vAlign w:val="center"/>
            <w:hideMark/>
          </w:tcPr>
          <w:p w:rsidR="004F1718" w:rsidRPr="00C254CE" w:rsidRDefault="004F1718" w:rsidP="004F1718">
            <w:pPr>
              <w:widowControl/>
              <w:jc w:val="left"/>
              <w:rPr>
                <w:rFonts w:ascii="宋体" w:eastAsia="宋体" w:hAnsi="宋体" w:cs="宋体"/>
                <w:color w:val="000000"/>
                <w:kern w:val="0"/>
                <w:sz w:val="19"/>
                <w:szCs w:val="19"/>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4F1718" w:rsidRPr="00487BAE" w:rsidRDefault="004F1718" w:rsidP="004F1718">
            <w:pPr>
              <w:widowControl/>
              <w:jc w:val="left"/>
              <w:rPr>
                <w:rFonts w:ascii="宋体" w:eastAsia="宋体" w:hAnsi="宋体" w:cs="宋体"/>
                <w:color w:val="000000"/>
                <w:kern w:val="0"/>
                <w:sz w:val="19"/>
                <w:szCs w:val="19"/>
              </w:rPr>
            </w:pPr>
            <w:r w:rsidRPr="00487BAE">
              <w:rPr>
                <w:rFonts w:ascii="宋体" w:eastAsia="宋体" w:hAnsi="宋体" w:cs="宋体" w:hint="eastAsia"/>
                <w:color w:val="000000"/>
                <w:kern w:val="0"/>
                <w:sz w:val="19"/>
                <w:szCs w:val="19"/>
              </w:rPr>
              <w:t>剩余期限在</w:t>
            </w:r>
            <w:r w:rsidRPr="00487BAE">
              <w:rPr>
                <w:rFonts w:ascii="宋体" w:eastAsia="宋体" w:hAnsi="宋体" w:cs="宋体" w:hint="eastAsia"/>
                <w:bCs/>
                <w:color w:val="000000"/>
                <w:kern w:val="0"/>
                <w:sz w:val="19"/>
                <w:szCs w:val="19"/>
              </w:rPr>
              <w:t>397</w:t>
            </w:r>
            <w:r w:rsidRPr="00487BAE">
              <w:rPr>
                <w:rFonts w:ascii="宋体" w:eastAsia="宋体" w:hAnsi="宋体" w:cs="宋体" w:hint="eastAsia"/>
                <w:color w:val="000000"/>
                <w:kern w:val="0"/>
                <w:sz w:val="19"/>
                <w:szCs w:val="19"/>
              </w:rPr>
              <w:t>天以内（含</w:t>
            </w:r>
            <w:r w:rsidRPr="00487BAE">
              <w:rPr>
                <w:rFonts w:ascii="宋体" w:eastAsia="宋体" w:hAnsi="宋体" w:cs="宋体" w:hint="eastAsia"/>
                <w:bCs/>
                <w:color w:val="000000"/>
                <w:kern w:val="0"/>
                <w:sz w:val="19"/>
                <w:szCs w:val="19"/>
              </w:rPr>
              <w:t>397</w:t>
            </w:r>
            <w:r w:rsidRPr="00487BAE">
              <w:rPr>
                <w:rFonts w:ascii="宋体" w:eastAsia="宋体" w:hAnsi="宋体" w:cs="宋体" w:hint="eastAsia"/>
                <w:color w:val="000000"/>
                <w:kern w:val="0"/>
                <w:sz w:val="19"/>
                <w:szCs w:val="19"/>
              </w:rPr>
              <w:t xml:space="preserve">天）的资产支持证券 </w:t>
            </w:r>
          </w:p>
        </w:tc>
        <w:tc>
          <w:tcPr>
            <w:tcW w:w="3340" w:type="dxa"/>
            <w:gridSpan w:val="2"/>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到期收益率：5%-8% </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存在市场风险、流动性风险和违约风险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LL </w:t>
            </w:r>
          </w:p>
        </w:tc>
      </w:tr>
      <w:tr w:rsidR="004F1718" w:rsidRPr="00C254CE" w:rsidTr="004F1718">
        <w:trPr>
          <w:trHeight w:val="600"/>
          <w:jc w:val="center"/>
        </w:trPr>
        <w:tc>
          <w:tcPr>
            <w:tcW w:w="640" w:type="dxa"/>
            <w:vMerge/>
            <w:tcBorders>
              <w:top w:val="nil"/>
              <w:left w:val="single" w:sz="4" w:space="0" w:color="auto"/>
              <w:bottom w:val="single" w:sz="4" w:space="0" w:color="000000"/>
              <w:right w:val="single" w:sz="4" w:space="0" w:color="auto"/>
            </w:tcBorders>
            <w:vAlign w:val="center"/>
            <w:hideMark/>
          </w:tcPr>
          <w:p w:rsidR="004F1718" w:rsidRPr="00C254CE" w:rsidRDefault="004F1718" w:rsidP="004F1718">
            <w:pPr>
              <w:widowControl/>
              <w:jc w:val="left"/>
              <w:rPr>
                <w:rFonts w:ascii="宋体" w:eastAsia="宋体" w:hAnsi="宋体" w:cs="宋体"/>
                <w:color w:val="000000"/>
                <w:kern w:val="0"/>
                <w:sz w:val="19"/>
                <w:szCs w:val="19"/>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4F1718" w:rsidRPr="00487BAE" w:rsidRDefault="004F1718" w:rsidP="004F1718">
            <w:pPr>
              <w:widowControl/>
              <w:jc w:val="left"/>
              <w:rPr>
                <w:rFonts w:ascii="宋体" w:eastAsia="宋体" w:hAnsi="宋体" w:cs="宋体"/>
                <w:color w:val="000000"/>
                <w:kern w:val="0"/>
                <w:sz w:val="19"/>
                <w:szCs w:val="19"/>
              </w:rPr>
            </w:pPr>
            <w:r w:rsidRPr="00487BAE">
              <w:rPr>
                <w:rFonts w:ascii="宋体" w:eastAsia="宋体" w:hAnsi="宋体" w:cs="宋体" w:hint="eastAsia"/>
                <w:color w:val="000000"/>
                <w:kern w:val="0"/>
                <w:sz w:val="19"/>
                <w:szCs w:val="19"/>
              </w:rPr>
              <w:t>期限在一年以内（含</w:t>
            </w:r>
            <w:r w:rsidRPr="00487BAE">
              <w:rPr>
                <w:rFonts w:ascii="宋体" w:eastAsia="宋体" w:hAnsi="宋体" w:cs="宋体" w:hint="eastAsia"/>
                <w:bCs/>
                <w:color w:val="000000"/>
                <w:kern w:val="0"/>
                <w:sz w:val="19"/>
                <w:szCs w:val="19"/>
              </w:rPr>
              <w:t>1</w:t>
            </w:r>
            <w:r w:rsidRPr="00487BAE">
              <w:rPr>
                <w:rFonts w:ascii="宋体" w:eastAsia="宋体" w:hAnsi="宋体" w:cs="宋体" w:hint="eastAsia"/>
                <w:color w:val="000000"/>
                <w:kern w:val="0"/>
                <w:sz w:val="19"/>
                <w:szCs w:val="19"/>
              </w:rPr>
              <w:t xml:space="preserve">年）的中央银行票据 </w:t>
            </w:r>
          </w:p>
        </w:tc>
        <w:tc>
          <w:tcPr>
            <w:tcW w:w="3340" w:type="dxa"/>
            <w:gridSpan w:val="2"/>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票息2.5%-3.5% </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存在市场风险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LL </w:t>
            </w:r>
          </w:p>
        </w:tc>
      </w:tr>
      <w:tr w:rsidR="004F1718" w:rsidRPr="00C254CE" w:rsidTr="004F1718">
        <w:trPr>
          <w:trHeight w:val="600"/>
          <w:jc w:val="center"/>
        </w:trPr>
        <w:tc>
          <w:tcPr>
            <w:tcW w:w="640" w:type="dxa"/>
            <w:vMerge/>
            <w:tcBorders>
              <w:top w:val="nil"/>
              <w:left w:val="single" w:sz="4" w:space="0" w:color="auto"/>
              <w:bottom w:val="single" w:sz="4" w:space="0" w:color="000000"/>
              <w:right w:val="single" w:sz="4" w:space="0" w:color="auto"/>
            </w:tcBorders>
            <w:vAlign w:val="center"/>
            <w:hideMark/>
          </w:tcPr>
          <w:p w:rsidR="004F1718" w:rsidRPr="00C254CE" w:rsidRDefault="004F1718" w:rsidP="004F1718">
            <w:pPr>
              <w:widowControl/>
              <w:jc w:val="left"/>
              <w:rPr>
                <w:rFonts w:ascii="宋体" w:eastAsia="宋体" w:hAnsi="宋体" w:cs="宋体"/>
                <w:color w:val="000000"/>
                <w:kern w:val="0"/>
                <w:sz w:val="19"/>
                <w:szCs w:val="19"/>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4F1718" w:rsidRPr="00487BAE" w:rsidRDefault="004F1718" w:rsidP="004F1718">
            <w:pPr>
              <w:widowControl/>
              <w:jc w:val="left"/>
              <w:rPr>
                <w:rFonts w:ascii="宋体" w:eastAsia="宋体" w:hAnsi="宋体" w:cs="宋体"/>
                <w:color w:val="000000"/>
                <w:kern w:val="0"/>
                <w:sz w:val="19"/>
                <w:szCs w:val="19"/>
              </w:rPr>
            </w:pPr>
            <w:r w:rsidRPr="00487BAE">
              <w:rPr>
                <w:rFonts w:ascii="宋体" w:eastAsia="宋体" w:hAnsi="宋体" w:cs="宋体" w:hint="eastAsia"/>
                <w:color w:val="000000"/>
                <w:kern w:val="0"/>
                <w:sz w:val="19"/>
                <w:szCs w:val="19"/>
              </w:rPr>
              <w:t>剩余期限在</w:t>
            </w:r>
            <w:r w:rsidRPr="00487BAE">
              <w:rPr>
                <w:rFonts w:ascii="宋体" w:eastAsia="宋体" w:hAnsi="宋体" w:cs="宋体" w:hint="eastAsia"/>
                <w:bCs/>
                <w:color w:val="000000"/>
                <w:kern w:val="0"/>
                <w:sz w:val="19"/>
                <w:szCs w:val="19"/>
              </w:rPr>
              <w:t>397</w:t>
            </w:r>
            <w:r w:rsidRPr="00487BAE">
              <w:rPr>
                <w:rFonts w:ascii="宋体" w:eastAsia="宋体" w:hAnsi="宋体" w:cs="宋体" w:hint="eastAsia"/>
                <w:color w:val="000000"/>
                <w:kern w:val="0"/>
                <w:sz w:val="19"/>
                <w:szCs w:val="19"/>
              </w:rPr>
              <w:t>天以内（含</w:t>
            </w:r>
            <w:r w:rsidRPr="00487BAE">
              <w:rPr>
                <w:rFonts w:ascii="宋体" w:eastAsia="宋体" w:hAnsi="宋体" w:cs="宋体" w:hint="eastAsia"/>
                <w:bCs/>
                <w:color w:val="000000"/>
                <w:kern w:val="0"/>
                <w:sz w:val="19"/>
                <w:szCs w:val="19"/>
              </w:rPr>
              <w:t>397</w:t>
            </w:r>
            <w:r w:rsidRPr="00487BAE">
              <w:rPr>
                <w:rFonts w:ascii="宋体" w:eastAsia="宋体" w:hAnsi="宋体" w:cs="宋体" w:hint="eastAsia"/>
                <w:color w:val="000000"/>
                <w:kern w:val="0"/>
                <w:sz w:val="19"/>
                <w:szCs w:val="19"/>
              </w:rPr>
              <w:t xml:space="preserve">天）中期票据 </w:t>
            </w:r>
          </w:p>
        </w:tc>
        <w:tc>
          <w:tcPr>
            <w:tcW w:w="3340" w:type="dxa"/>
            <w:gridSpan w:val="2"/>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到期收益率：4%-7% </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存在市场风险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LL </w:t>
            </w:r>
          </w:p>
        </w:tc>
      </w:tr>
      <w:tr w:rsidR="004F1718" w:rsidRPr="00C254CE" w:rsidTr="004F1718">
        <w:trPr>
          <w:trHeight w:val="600"/>
          <w:jc w:val="center"/>
        </w:trPr>
        <w:tc>
          <w:tcPr>
            <w:tcW w:w="640" w:type="dxa"/>
            <w:vMerge/>
            <w:tcBorders>
              <w:top w:val="nil"/>
              <w:left w:val="single" w:sz="4" w:space="0" w:color="auto"/>
              <w:bottom w:val="single" w:sz="4" w:space="0" w:color="000000"/>
              <w:right w:val="single" w:sz="4" w:space="0" w:color="auto"/>
            </w:tcBorders>
            <w:vAlign w:val="center"/>
            <w:hideMark/>
          </w:tcPr>
          <w:p w:rsidR="004F1718" w:rsidRPr="00C254CE" w:rsidRDefault="004F1718" w:rsidP="004F1718">
            <w:pPr>
              <w:widowControl/>
              <w:jc w:val="left"/>
              <w:rPr>
                <w:rFonts w:ascii="宋体" w:eastAsia="宋体" w:hAnsi="宋体" w:cs="宋体"/>
                <w:color w:val="000000"/>
                <w:kern w:val="0"/>
                <w:sz w:val="19"/>
                <w:szCs w:val="19"/>
              </w:rPr>
            </w:pPr>
          </w:p>
        </w:tc>
        <w:tc>
          <w:tcPr>
            <w:tcW w:w="3380" w:type="dxa"/>
            <w:tcBorders>
              <w:top w:val="single" w:sz="4" w:space="0" w:color="auto"/>
              <w:left w:val="nil"/>
              <w:bottom w:val="single" w:sz="4" w:space="0" w:color="auto"/>
              <w:right w:val="nil"/>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中国证监会、中国人民银行认可的其他具有良好流动性的货币市场工具 </w:t>
            </w:r>
          </w:p>
        </w:tc>
        <w:tc>
          <w:tcPr>
            <w:tcW w:w="3340" w:type="dxa"/>
            <w:gridSpan w:val="2"/>
            <w:tcBorders>
              <w:top w:val="single" w:sz="4" w:space="0" w:color="auto"/>
              <w:left w:val="nil"/>
              <w:bottom w:val="single" w:sz="4" w:space="0" w:color="auto"/>
              <w:right w:val="nil"/>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 </w:t>
            </w:r>
          </w:p>
        </w:tc>
        <w:tc>
          <w:tcPr>
            <w:tcW w:w="2660" w:type="dxa"/>
            <w:tcBorders>
              <w:top w:val="single" w:sz="4" w:space="0" w:color="auto"/>
              <w:left w:val="nil"/>
              <w:bottom w:val="single" w:sz="4" w:space="0" w:color="auto"/>
              <w:right w:val="nil"/>
            </w:tcBorders>
            <w:shd w:val="clear" w:color="auto" w:fill="auto"/>
            <w:vAlign w:val="center"/>
            <w:hideMark/>
          </w:tcPr>
          <w:p w:rsidR="004F1718" w:rsidRPr="00C254CE" w:rsidRDefault="004F1718" w:rsidP="004F1718">
            <w:pPr>
              <w:widowControl/>
              <w:jc w:val="left"/>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 </w:t>
            </w:r>
          </w:p>
        </w:tc>
        <w:tc>
          <w:tcPr>
            <w:tcW w:w="1200" w:type="dxa"/>
            <w:tcBorders>
              <w:top w:val="single" w:sz="4" w:space="0" w:color="auto"/>
              <w:left w:val="nil"/>
              <w:bottom w:val="single" w:sz="4" w:space="0" w:color="auto"/>
              <w:right w:val="single" w:sz="4" w:space="0" w:color="000000"/>
            </w:tcBorders>
            <w:shd w:val="clear" w:color="auto" w:fill="auto"/>
            <w:vAlign w:val="center"/>
            <w:hideMark/>
          </w:tcPr>
          <w:p w:rsidR="004F1718" w:rsidRPr="00C254CE" w:rsidRDefault="004F1718" w:rsidP="004F1718">
            <w:pPr>
              <w:widowControl/>
              <w:jc w:val="center"/>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　</w:t>
            </w:r>
          </w:p>
        </w:tc>
      </w:tr>
      <w:tr w:rsidR="004F1718" w:rsidRPr="00C254CE" w:rsidTr="004F1718">
        <w:trPr>
          <w:trHeight w:val="1350"/>
          <w:jc w:val="center"/>
        </w:trPr>
        <w:tc>
          <w:tcPr>
            <w:tcW w:w="51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F1718" w:rsidRPr="00C254CE" w:rsidRDefault="004F1718" w:rsidP="004F1718">
            <w:pPr>
              <w:widowControl/>
              <w:jc w:val="center"/>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不可投资标的 </w:t>
            </w:r>
          </w:p>
        </w:tc>
        <w:tc>
          <w:tcPr>
            <w:tcW w:w="6120" w:type="dxa"/>
            <w:gridSpan w:val="3"/>
            <w:tcBorders>
              <w:top w:val="single" w:sz="4" w:space="0" w:color="auto"/>
              <w:left w:val="nil"/>
              <w:bottom w:val="single" w:sz="4" w:space="0" w:color="auto"/>
              <w:right w:val="single" w:sz="4" w:space="0" w:color="auto"/>
            </w:tcBorders>
            <w:shd w:val="clear" w:color="auto" w:fill="auto"/>
            <w:vAlign w:val="center"/>
            <w:hideMark/>
          </w:tcPr>
          <w:p w:rsidR="004F1718" w:rsidRPr="00C254CE" w:rsidRDefault="004F1718" w:rsidP="004F1718">
            <w:pPr>
              <w:widowControl/>
              <w:jc w:val="center"/>
              <w:rPr>
                <w:rFonts w:ascii="宋体" w:eastAsia="宋体" w:hAnsi="宋体" w:cs="宋体"/>
                <w:color w:val="000000"/>
                <w:kern w:val="0"/>
                <w:sz w:val="19"/>
                <w:szCs w:val="19"/>
              </w:rPr>
            </w:pPr>
            <w:r w:rsidRPr="00C254CE">
              <w:rPr>
                <w:rFonts w:ascii="宋体" w:eastAsia="宋体" w:hAnsi="宋体" w:cs="宋体" w:hint="eastAsia"/>
                <w:color w:val="000000"/>
                <w:kern w:val="0"/>
                <w:sz w:val="19"/>
                <w:szCs w:val="19"/>
              </w:rPr>
              <w:t xml:space="preserve">股票、可转债、剩余期限超过397天的债券、信用级别在AAA以下的企业债券、以定期存款利率为基准利率的浮动利率债券，但市场条件发生变化后另有规定的，从其规定、非在全国银行间债券交易市场或证券交易所交易的资产支持证券、流通受限证券、权证、中国证监会禁止投资的其他金融工具 </w:t>
            </w:r>
          </w:p>
        </w:tc>
      </w:tr>
    </w:tbl>
    <w:p w:rsidR="004F1718" w:rsidRPr="008B40D3" w:rsidRDefault="004F1718" w:rsidP="004F1718">
      <w:pPr>
        <w:spacing w:line="360" w:lineRule="auto"/>
        <w:rPr>
          <w:rFonts w:asciiTheme="minorEastAsia" w:hAnsiTheme="minorEastAsia"/>
          <w:sz w:val="19"/>
          <w:szCs w:val="19"/>
          <w:shd w:val="clear" w:color="auto" w:fill="FFFFFF"/>
        </w:rPr>
      </w:pPr>
      <w:r w:rsidRPr="00487BAE">
        <w:rPr>
          <w:rFonts w:asciiTheme="minorEastAsia" w:hAnsiTheme="minorEastAsia" w:hint="eastAsia"/>
          <w:sz w:val="19"/>
          <w:szCs w:val="19"/>
          <w:shd w:val="clear" w:color="auto" w:fill="FFFFFF"/>
        </w:rPr>
        <w:t>注：*流动性一栏LLL, LL, L表示流动性逐级降低</w:t>
      </w:r>
    </w:p>
    <w:p w:rsidR="004F1718" w:rsidRPr="00F8441D" w:rsidRDefault="004F1718" w:rsidP="004F1718">
      <w:pPr>
        <w:spacing w:line="360" w:lineRule="auto"/>
        <w:ind w:firstLineChars="200" w:firstLine="420"/>
        <w:rPr>
          <w:rFonts w:asciiTheme="minorEastAsia" w:hAnsiTheme="minorEastAsia"/>
          <w:szCs w:val="21"/>
        </w:rPr>
      </w:pPr>
      <w:r w:rsidRPr="008B40D3">
        <w:rPr>
          <w:rFonts w:hint="eastAsia"/>
          <w:color w:val="333333"/>
          <w:szCs w:val="21"/>
          <w:shd w:val="clear" w:color="auto" w:fill="FFFFFF"/>
        </w:rPr>
        <w:t>三季度常规货币基金和理财基金规模略有回升</w:t>
      </w:r>
      <w:r w:rsidRPr="008B40D3">
        <w:rPr>
          <w:rFonts w:hint="eastAsia"/>
          <w:color w:val="333333"/>
          <w:szCs w:val="21"/>
          <w:shd w:val="clear" w:color="auto" w:fill="FFFFFF"/>
        </w:rPr>
        <w:t>,</w:t>
      </w:r>
      <w:r w:rsidRPr="008B40D3">
        <w:rPr>
          <w:rFonts w:hint="eastAsia"/>
          <w:color w:val="333333"/>
          <w:szCs w:val="21"/>
          <w:shd w:val="clear" w:color="auto" w:fill="FFFFFF"/>
        </w:rPr>
        <w:t>总规模从二季度末</w:t>
      </w:r>
      <w:r w:rsidRPr="008B40D3">
        <w:rPr>
          <w:rFonts w:hint="eastAsia"/>
          <w:color w:val="333333"/>
          <w:szCs w:val="21"/>
          <w:shd w:val="clear" w:color="auto" w:fill="FFFFFF"/>
        </w:rPr>
        <w:t>3605.57</w:t>
      </w:r>
      <w:r w:rsidRPr="008B40D3">
        <w:rPr>
          <w:rFonts w:hint="eastAsia"/>
          <w:color w:val="333333"/>
          <w:szCs w:val="21"/>
          <w:shd w:val="clear" w:color="auto" w:fill="FFFFFF"/>
        </w:rPr>
        <w:t>亿增加到三季度末</w:t>
      </w:r>
      <w:r w:rsidRPr="008B40D3">
        <w:rPr>
          <w:rFonts w:hint="eastAsia"/>
          <w:color w:val="333333"/>
          <w:szCs w:val="21"/>
          <w:shd w:val="clear" w:color="auto" w:fill="FFFFFF"/>
        </w:rPr>
        <w:t>3621.80</w:t>
      </w:r>
      <w:r w:rsidRPr="008B40D3">
        <w:rPr>
          <w:rFonts w:hint="eastAsia"/>
          <w:color w:val="333333"/>
          <w:szCs w:val="21"/>
          <w:shd w:val="clear" w:color="auto" w:fill="FFFFFF"/>
        </w:rPr>
        <w:t>亿</w:t>
      </w:r>
      <w:r w:rsidRPr="008B40D3">
        <w:rPr>
          <w:rFonts w:hint="eastAsia"/>
          <w:color w:val="333333"/>
          <w:szCs w:val="21"/>
          <w:shd w:val="clear" w:color="auto" w:fill="FFFFFF"/>
        </w:rPr>
        <w:t>,</w:t>
      </w:r>
      <w:r w:rsidRPr="008B40D3">
        <w:rPr>
          <w:rFonts w:hint="eastAsia"/>
          <w:color w:val="333333"/>
          <w:szCs w:val="21"/>
          <w:shd w:val="clear" w:color="auto" w:fill="FFFFFF"/>
        </w:rPr>
        <w:t>涨幅为</w:t>
      </w:r>
      <w:r w:rsidRPr="008B40D3">
        <w:rPr>
          <w:rFonts w:hint="eastAsia"/>
          <w:color w:val="333333"/>
          <w:szCs w:val="21"/>
          <w:shd w:val="clear" w:color="auto" w:fill="FFFFFF"/>
        </w:rPr>
        <w:t>0.45%</w:t>
      </w:r>
      <w:r w:rsidRPr="00F8441D">
        <w:rPr>
          <w:rFonts w:hint="eastAsia"/>
          <w:color w:val="333333"/>
          <w:szCs w:val="21"/>
          <w:shd w:val="clear" w:color="auto" w:fill="FFFFFF"/>
        </w:rPr>
        <w:t>。基金规模</w:t>
      </w:r>
      <w:r>
        <w:rPr>
          <w:rFonts w:hint="eastAsia"/>
          <w:color w:val="333333"/>
          <w:szCs w:val="21"/>
          <w:shd w:val="clear" w:color="auto" w:fill="FFFFFF"/>
        </w:rPr>
        <w:t>上升</w:t>
      </w:r>
      <w:r w:rsidRPr="00F8441D">
        <w:rPr>
          <w:rFonts w:hint="eastAsia"/>
          <w:color w:val="333333"/>
          <w:szCs w:val="21"/>
          <w:shd w:val="clear" w:color="auto" w:fill="FFFFFF"/>
        </w:rPr>
        <w:t>原因包括</w:t>
      </w:r>
      <w:r w:rsidRPr="00F8441D">
        <w:rPr>
          <w:rFonts w:hint="eastAsia"/>
          <w:color w:val="333333"/>
          <w:szCs w:val="21"/>
          <w:shd w:val="clear" w:color="auto" w:fill="FFFFFF"/>
        </w:rPr>
        <w:t>:</w:t>
      </w:r>
      <w:r>
        <w:rPr>
          <w:rFonts w:hint="eastAsia"/>
          <w:color w:val="333333"/>
          <w:szCs w:val="21"/>
          <w:shd w:val="clear" w:color="auto" w:fill="FFFFFF"/>
        </w:rPr>
        <w:t>互联网企业与基金公司在货币基金领域深度合作；监管部门对银行间利率市场监控，使得资金利率在</w:t>
      </w:r>
      <w:r w:rsidRPr="00F8441D">
        <w:rPr>
          <w:rFonts w:hint="eastAsia"/>
          <w:color w:val="333333"/>
          <w:szCs w:val="21"/>
          <w:shd w:val="clear" w:color="auto" w:fill="FFFFFF"/>
        </w:rPr>
        <w:t>六月</w:t>
      </w:r>
      <w:r>
        <w:rPr>
          <w:rFonts w:hint="eastAsia"/>
          <w:color w:val="333333"/>
          <w:szCs w:val="21"/>
          <w:shd w:val="clear" w:color="auto" w:fill="FFFFFF"/>
        </w:rPr>
        <w:t>后回归理性。</w:t>
      </w:r>
      <w:r w:rsidRPr="00F8441D">
        <w:rPr>
          <w:rFonts w:hint="eastAsia"/>
          <w:color w:val="333333"/>
          <w:szCs w:val="21"/>
          <w:shd w:val="clear" w:color="auto" w:fill="FFFFFF"/>
        </w:rPr>
        <w:t>部分机构</w:t>
      </w:r>
      <w:r>
        <w:rPr>
          <w:rFonts w:hint="eastAsia"/>
          <w:color w:val="333333"/>
          <w:szCs w:val="21"/>
          <w:shd w:val="clear" w:color="auto" w:fill="FFFFFF"/>
        </w:rPr>
        <w:t>出于主动管理现金的考虑，增加货币基金配置比例。</w:t>
      </w:r>
    </w:p>
    <w:p w:rsidR="004F1718" w:rsidRPr="00F8441D" w:rsidRDefault="004F1718" w:rsidP="004F1718">
      <w:pPr>
        <w:spacing w:line="360" w:lineRule="auto"/>
        <w:ind w:firstLineChars="200" w:firstLine="420"/>
        <w:rPr>
          <w:color w:val="333333"/>
          <w:szCs w:val="21"/>
          <w:shd w:val="clear" w:color="auto" w:fill="FFFFFF"/>
        </w:rPr>
      </w:pPr>
      <w:r>
        <w:rPr>
          <w:rFonts w:hint="eastAsia"/>
          <w:color w:val="333333"/>
          <w:szCs w:val="21"/>
          <w:shd w:val="clear" w:color="auto" w:fill="FFFFFF"/>
        </w:rPr>
        <w:t>三</w:t>
      </w:r>
      <w:r w:rsidRPr="00F8441D">
        <w:rPr>
          <w:rFonts w:hint="eastAsia"/>
          <w:color w:val="333333"/>
          <w:szCs w:val="21"/>
          <w:shd w:val="clear" w:color="auto" w:fill="FFFFFF"/>
        </w:rPr>
        <w:t>季度货币基金业绩</w:t>
      </w:r>
      <w:r>
        <w:rPr>
          <w:rFonts w:hint="eastAsia"/>
          <w:color w:val="333333"/>
          <w:szCs w:val="21"/>
          <w:shd w:val="clear" w:color="auto" w:fill="FFFFFF"/>
        </w:rPr>
        <w:t>上涨</w:t>
      </w:r>
      <w:r w:rsidRPr="00F8441D">
        <w:rPr>
          <w:rFonts w:hint="eastAsia"/>
          <w:color w:val="333333"/>
          <w:szCs w:val="21"/>
          <w:shd w:val="clear" w:color="auto" w:fill="FFFFFF"/>
        </w:rPr>
        <w:t>。剔除理财</w:t>
      </w:r>
      <w:proofErr w:type="gramStart"/>
      <w:r w:rsidRPr="00F8441D">
        <w:rPr>
          <w:rFonts w:hint="eastAsia"/>
          <w:color w:val="333333"/>
          <w:szCs w:val="21"/>
          <w:shd w:val="clear" w:color="auto" w:fill="FFFFFF"/>
        </w:rPr>
        <w:t>型货币</w:t>
      </w:r>
      <w:proofErr w:type="gramEnd"/>
      <w:r w:rsidRPr="00F8441D">
        <w:rPr>
          <w:rFonts w:hint="eastAsia"/>
          <w:color w:val="333333"/>
          <w:szCs w:val="21"/>
          <w:shd w:val="clear" w:color="auto" w:fill="FFFFFF"/>
        </w:rPr>
        <w:t>基金后</w:t>
      </w:r>
      <w:r w:rsidRPr="00F8441D">
        <w:rPr>
          <w:rFonts w:hint="eastAsia"/>
          <w:color w:val="333333"/>
          <w:szCs w:val="21"/>
          <w:shd w:val="clear" w:color="auto" w:fill="FFFFFF"/>
        </w:rPr>
        <w:t>,</w:t>
      </w:r>
      <w:r w:rsidRPr="00F8441D">
        <w:rPr>
          <w:rFonts w:hint="eastAsia"/>
          <w:color w:val="333333"/>
          <w:szCs w:val="21"/>
          <w:shd w:val="clear" w:color="auto" w:fill="FFFFFF"/>
        </w:rPr>
        <w:t>常规</w:t>
      </w:r>
      <w:proofErr w:type="gramStart"/>
      <w:r w:rsidRPr="00F8441D">
        <w:rPr>
          <w:rFonts w:hint="eastAsia"/>
          <w:color w:val="333333"/>
          <w:szCs w:val="21"/>
          <w:shd w:val="clear" w:color="auto" w:fill="FFFFFF"/>
        </w:rPr>
        <w:t>型货币</w:t>
      </w:r>
      <w:proofErr w:type="gramEnd"/>
      <w:r w:rsidRPr="00F8441D">
        <w:rPr>
          <w:rFonts w:hint="eastAsia"/>
          <w:color w:val="333333"/>
          <w:szCs w:val="21"/>
          <w:shd w:val="clear" w:color="auto" w:fill="FFFFFF"/>
        </w:rPr>
        <w:t>基金二季度加权</w:t>
      </w:r>
      <w:proofErr w:type="gramStart"/>
      <w:r w:rsidRPr="00F8441D">
        <w:rPr>
          <w:rFonts w:hint="eastAsia"/>
          <w:color w:val="333333"/>
          <w:szCs w:val="21"/>
          <w:shd w:val="clear" w:color="auto" w:fill="FFFFFF"/>
        </w:rPr>
        <w:t>净值年化收益率</w:t>
      </w:r>
      <w:proofErr w:type="gramEnd"/>
      <w:r w:rsidRPr="00F8441D">
        <w:rPr>
          <w:rFonts w:hint="eastAsia"/>
          <w:color w:val="333333"/>
          <w:szCs w:val="21"/>
          <w:shd w:val="clear" w:color="auto" w:fill="FFFFFF"/>
        </w:rPr>
        <w:t>为</w:t>
      </w:r>
      <w:r w:rsidRPr="00F8441D">
        <w:rPr>
          <w:rFonts w:hint="eastAsia"/>
          <w:color w:val="333333"/>
          <w:szCs w:val="21"/>
          <w:shd w:val="clear" w:color="auto" w:fill="FFFFFF"/>
        </w:rPr>
        <w:t>3.</w:t>
      </w:r>
      <w:r>
        <w:rPr>
          <w:rFonts w:hint="eastAsia"/>
          <w:color w:val="333333"/>
          <w:szCs w:val="21"/>
          <w:shd w:val="clear" w:color="auto" w:fill="FFFFFF"/>
        </w:rPr>
        <w:t>766</w:t>
      </w:r>
      <w:r w:rsidRPr="00F8441D">
        <w:rPr>
          <w:rFonts w:hint="eastAsia"/>
          <w:color w:val="333333"/>
          <w:szCs w:val="21"/>
          <w:shd w:val="clear" w:color="auto" w:fill="FFFFFF"/>
        </w:rPr>
        <w:t>%,</w:t>
      </w:r>
      <w:r w:rsidRPr="00F8441D">
        <w:rPr>
          <w:rFonts w:hint="eastAsia"/>
          <w:color w:val="333333"/>
          <w:szCs w:val="21"/>
          <w:shd w:val="clear" w:color="auto" w:fill="FFFFFF"/>
        </w:rPr>
        <w:t>相比上一季度</w:t>
      </w:r>
      <w:r>
        <w:rPr>
          <w:rFonts w:hint="eastAsia"/>
          <w:color w:val="333333"/>
          <w:szCs w:val="21"/>
          <w:shd w:val="clear" w:color="auto" w:fill="FFFFFF"/>
        </w:rPr>
        <w:t>上涨</w:t>
      </w:r>
      <w:r w:rsidRPr="00F8441D">
        <w:rPr>
          <w:rFonts w:hint="eastAsia"/>
          <w:color w:val="333333"/>
          <w:szCs w:val="21"/>
          <w:shd w:val="clear" w:color="auto" w:fill="FFFFFF"/>
        </w:rPr>
        <w:t>0.1</w:t>
      </w:r>
      <w:r>
        <w:rPr>
          <w:rFonts w:hint="eastAsia"/>
          <w:color w:val="333333"/>
          <w:szCs w:val="21"/>
          <w:shd w:val="clear" w:color="auto" w:fill="FFFFFF"/>
        </w:rPr>
        <w:t>91</w:t>
      </w:r>
      <w:r w:rsidRPr="00F8441D">
        <w:rPr>
          <w:rFonts w:hint="eastAsia"/>
          <w:color w:val="333333"/>
          <w:szCs w:val="21"/>
          <w:shd w:val="clear" w:color="auto" w:fill="FFFFFF"/>
        </w:rPr>
        <w:t>%</w:t>
      </w:r>
      <w:r w:rsidRPr="00F8441D">
        <w:rPr>
          <w:rFonts w:hint="eastAsia"/>
          <w:color w:val="333333"/>
          <w:szCs w:val="21"/>
          <w:shd w:val="clear" w:color="auto" w:fill="FFFFFF"/>
        </w:rPr>
        <w:t>。业绩</w:t>
      </w:r>
      <w:r>
        <w:rPr>
          <w:rFonts w:hint="eastAsia"/>
          <w:color w:val="333333"/>
          <w:szCs w:val="21"/>
          <w:shd w:val="clear" w:color="auto" w:fill="FFFFFF"/>
        </w:rPr>
        <w:t>上升</w:t>
      </w:r>
      <w:r w:rsidRPr="00F8441D">
        <w:rPr>
          <w:rFonts w:hint="eastAsia"/>
          <w:color w:val="333333"/>
          <w:szCs w:val="21"/>
          <w:shd w:val="clear" w:color="auto" w:fill="FFFFFF"/>
        </w:rPr>
        <w:t>的原因包括</w:t>
      </w:r>
      <w:r>
        <w:rPr>
          <w:rFonts w:hint="eastAsia"/>
          <w:color w:val="333333"/>
          <w:szCs w:val="21"/>
          <w:shd w:val="clear" w:color="auto" w:fill="FFFFFF"/>
        </w:rPr>
        <w:t>：与上季度相比</w:t>
      </w:r>
      <w:r w:rsidRPr="00F8441D">
        <w:rPr>
          <w:rFonts w:hint="eastAsia"/>
          <w:color w:val="333333"/>
          <w:szCs w:val="21"/>
          <w:shd w:val="clear" w:color="auto" w:fill="FFFFFF"/>
        </w:rPr>
        <w:t>货币基金</w:t>
      </w:r>
      <w:r>
        <w:rPr>
          <w:rFonts w:hint="eastAsia"/>
          <w:color w:val="333333"/>
          <w:szCs w:val="21"/>
          <w:shd w:val="clear" w:color="auto" w:fill="FFFFFF"/>
        </w:rPr>
        <w:t>面临较低的季末流动性风险；</w:t>
      </w:r>
      <w:r w:rsidRPr="00F8441D">
        <w:rPr>
          <w:rFonts w:hint="eastAsia"/>
          <w:color w:val="333333"/>
          <w:szCs w:val="21"/>
          <w:shd w:val="clear" w:color="auto" w:fill="FFFFFF"/>
        </w:rPr>
        <w:t>货币基金降低了</w:t>
      </w:r>
      <w:r>
        <w:rPr>
          <w:rFonts w:hint="eastAsia"/>
          <w:color w:val="333333"/>
          <w:szCs w:val="21"/>
          <w:shd w:val="clear" w:color="auto" w:fill="FFFFFF"/>
        </w:rPr>
        <w:t>买入</w:t>
      </w:r>
      <w:r w:rsidRPr="00F8441D">
        <w:rPr>
          <w:rFonts w:hint="eastAsia"/>
          <w:color w:val="333333"/>
          <w:szCs w:val="21"/>
          <w:shd w:val="clear" w:color="auto" w:fill="FFFFFF"/>
        </w:rPr>
        <w:t>回购金融资产规模</w:t>
      </w:r>
      <w:r>
        <w:rPr>
          <w:rFonts w:hint="eastAsia"/>
          <w:color w:val="333333"/>
          <w:szCs w:val="21"/>
          <w:shd w:val="clear" w:color="auto" w:fill="FFFFFF"/>
        </w:rPr>
        <w:t>，</w:t>
      </w:r>
      <w:r w:rsidRPr="00F8441D">
        <w:rPr>
          <w:rFonts w:hint="eastAsia"/>
          <w:color w:val="333333"/>
          <w:szCs w:val="21"/>
          <w:shd w:val="clear" w:color="auto" w:fill="FFFFFF"/>
        </w:rPr>
        <w:t>财务杠杆</w:t>
      </w:r>
      <w:r>
        <w:rPr>
          <w:rFonts w:hint="eastAsia"/>
          <w:color w:val="333333"/>
          <w:szCs w:val="21"/>
          <w:shd w:val="clear" w:color="auto" w:fill="FFFFFF"/>
        </w:rPr>
        <w:t>增加；在</w:t>
      </w:r>
      <w:r w:rsidRPr="00F8441D">
        <w:rPr>
          <w:rFonts w:hint="eastAsia"/>
          <w:color w:val="333333"/>
          <w:szCs w:val="21"/>
          <w:shd w:val="clear" w:color="auto" w:fill="FFFFFF"/>
        </w:rPr>
        <w:t>流动性风险</w:t>
      </w:r>
      <w:r>
        <w:rPr>
          <w:rFonts w:hint="eastAsia"/>
          <w:color w:val="333333"/>
          <w:szCs w:val="21"/>
          <w:shd w:val="clear" w:color="auto" w:fill="FFFFFF"/>
        </w:rPr>
        <w:t>较低环境下，</w:t>
      </w:r>
      <w:r w:rsidRPr="00F8441D">
        <w:rPr>
          <w:rFonts w:hint="eastAsia"/>
          <w:color w:val="333333"/>
          <w:szCs w:val="21"/>
          <w:shd w:val="clear" w:color="auto" w:fill="FFFFFF"/>
        </w:rPr>
        <w:t>货币基金</w:t>
      </w:r>
      <w:r>
        <w:rPr>
          <w:rFonts w:hint="eastAsia"/>
          <w:color w:val="333333"/>
          <w:szCs w:val="21"/>
          <w:shd w:val="clear" w:color="auto" w:fill="FFFFFF"/>
        </w:rPr>
        <w:t>增加了</w:t>
      </w:r>
      <w:r w:rsidRPr="00F8441D">
        <w:rPr>
          <w:rFonts w:hint="eastAsia"/>
          <w:color w:val="333333"/>
          <w:szCs w:val="21"/>
          <w:shd w:val="clear" w:color="auto" w:fill="FFFFFF"/>
        </w:rPr>
        <w:t>逆回购操作</w:t>
      </w:r>
      <w:r>
        <w:rPr>
          <w:rFonts w:hint="eastAsia"/>
          <w:color w:val="333333"/>
          <w:szCs w:val="21"/>
          <w:shd w:val="clear" w:color="auto" w:fill="FFFFFF"/>
        </w:rPr>
        <w:t>，</w:t>
      </w:r>
      <w:r w:rsidRPr="00F8441D">
        <w:rPr>
          <w:rFonts w:hint="eastAsia"/>
          <w:color w:val="333333"/>
          <w:szCs w:val="21"/>
          <w:shd w:val="clear" w:color="auto" w:fill="FFFFFF"/>
        </w:rPr>
        <w:t>资金盈利性</w:t>
      </w:r>
      <w:r>
        <w:rPr>
          <w:rFonts w:hint="eastAsia"/>
          <w:color w:val="333333"/>
          <w:szCs w:val="21"/>
          <w:shd w:val="clear" w:color="auto" w:fill="FFFFFF"/>
        </w:rPr>
        <w:t>上升</w:t>
      </w:r>
      <w:r w:rsidRPr="00F8441D">
        <w:rPr>
          <w:rFonts w:hint="eastAsia"/>
          <w:color w:val="333333"/>
          <w:szCs w:val="21"/>
          <w:shd w:val="clear" w:color="auto" w:fill="FFFFFF"/>
        </w:rPr>
        <w:t>。</w:t>
      </w:r>
    </w:p>
    <w:p w:rsidR="004F1718" w:rsidRDefault="004F1718" w:rsidP="004F1718">
      <w:pPr>
        <w:spacing w:line="360" w:lineRule="auto"/>
        <w:ind w:firstLineChars="200" w:firstLine="420"/>
        <w:rPr>
          <w:color w:val="333333"/>
          <w:szCs w:val="21"/>
          <w:shd w:val="clear" w:color="auto" w:fill="FFFFFF"/>
        </w:rPr>
      </w:pPr>
      <w:r>
        <w:rPr>
          <w:rFonts w:hint="eastAsia"/>
          <w:color w:val="333333"/>
          <w:szCs w:val="21"/>
          <w:shd w:val="clear" w:color="auto" w:fill="FFFFFF"/>
        </w:rPr>
        <w:t>四</w:t>
      </w:r>
      <w:r w:rsidRPr="00F8441D">
        <w:rPr>
          <w:rFonts w:hint="eastAsia"/>
          <w:color w:val="333333"/>
          <w:szCs w:val="21"/>
          <w:shd w:val="clear" w:color="auto" w:fill="FFFFFF"/>
        </w:rPr>
        <w:t>季度经济下行和通胀上行并存</w:t>
      </w:r>
      <w:r w:rsidRPr="00F8441D">
        <w:rPr>
          <w:rFonts w:hint="eastAsia"/>
          <w:color w:val="333333"/>
          <w:szCs w:val="21"/>
          <w:shd w:val="clear" w:color="auto" w:fill="FFFFFF"/>
        </w:rPr>
        <w:t>,</w:t>
      </w:r>
      <w:r w:rsidRPr="00F8441D">
        <w:rPr>
          <w:rFonts w:hint="eastAsia"/>
          <w:color w:val="333333"/>
          <w:szCs w:val="21"/>
          <w:shd w:val="clear" w:color="auto" w:fill="FFFFFF"/>
        </w:rPr>
        <w:t>经济数据回落主要体现政府主动调结构目标</w:t>
      </w:r>
      <w:r w:rsidRPr="00F8441D">
        <w:rPr>
          <w:rFonts w:hint="eastAsia"/>
          <w:color w:val="333333"/>
          <w:szCs w:val="21"/>
          <w:shd w:val="clear" w:color="auto" w:fill="FFFFFF"/>
        </w:rPr>
        <w:t>,</w:t>
      </w:r>
      <w:r w:rsidRPr="00F8441D">
        <w:rPr>
          <w:rFonts w:hint="eastAsia"/>
          <w:color w:val="333333"/>
          <w:szCs w:val="21"/>
          <w:shd w:val="clear" w:color="auto" w:fill="FFFFFF"/>
        </w:rPr>
        <w:t>而通胀压力的超预期可能性大。此外</w:t>
      </w:r>
      <w:r w:rsidRPr="00F8441D">
        <w:rPr>
          <w:rFonts w:hint="eastAsia"/>
          <w:color w:val="333333"/>
          <w:szCs w:val="21"/>
          <w:shd w:val="clear" w:color="auto" w:fill="FFFFFF"/>
        </w:rPr>
        <w:t>,</w:t>
      </w:r>
      <w:r w:rsidRPr="00F8441D">
        <w:rPr>
          <w:rFonts w:hint="eastAsia"/>
          <w:color w:val="333333"/>
          <w:szCs w:val="21"/>
          <w:shd w:val="clear" w:color="auto" w:fill="FFFFFF"/>
        </w:rPr>
        <w:t>外汇占款流入下降</w:t>
      </w:r>
      <w:r w:rsidRPr="00F8441D">
        <w:rPr>
          <w:rFonts w:hint="eastAsia"/>
          <w:color w:val="333333"/>
          <w:szCs w:val="21"/>
          <w:shd w:val="clear" w:color="auto" w:fill="FFFFFF"/>
        </w:rPr>
        <w:t>,</w:t>
      </w:r>
      <w:r w:rsidRPr="00F8441D">
        <w:rPr>
          <w:rFonts w:hint="eastAsia"/>
          <w:color w:val="333333"/>
          <w:szCs w:val="21"/>
          <w:shd w:val="clear" w:color="auto" w:fill="FFFFFF"/>
        </w:rPr>
        <w:t>货币市场利率居高难下</w:t>
      </w:r>
      <w:r w:rsidRPr="00F8441D">
        <w:rPr>
          <w:rFonts w:hint="eastAsia"/>
          <w:color w:val="333333"/>
          <w:szCs w:val="21"/>
          <w:shd w:val="clear" w:color="auto" w:fill="FFFFFF"/>
        </w:rPr>
        <w:t>,</w:t>
      </w:r>
      <w:r w:rsidRPr="00F8441D">
        <w:rPr>
          <w:rFonts w:hint="eastAsia"/>
          <w:color w:val="333333"/>
          <w:szCs w:val="21"/>
          <w:shd w:val="clear" w:color="auto" w:fill="FFFFFF"/>
        </w:rPr>
        <w:t>资金利率底部难以被突破</w:t>
      </w:r>
      <w:r w:rsidRPr="00F8441D">
        <w:rPr>
          <w:rFonts w:hint="eastAsia"/>
          <w:color w:val="333333"/>
          <w:szCs w:val="21"/>
          <w:shd w:val="clear" w:color="auto" w:fill="FFFFFF"/>
        </w:rPr>
        <w:t>,</w:t>
      </w:r>
      <w:r w:rsidRPr="00F8441D">
        <w:rPr>
          <w:rFonts w:hint="eastAsia"/>
          <w:color w:val="333333"/>
          <w:szCs w:val="21"/>
          <w:shd w:val="clear" w:color="auto" w:fill="FFFFFF"/>
        </w:rPr>
        <w:t>债券收益率有持续上行压力。</w:t>
      </w:r>
    </w:p>
    <w:p w:rsidR="004F1718" w:rsidRDefault="004F1718" w:rsidP="004F1718">
      <w:pPr>
        <w:spacing w:line="360" w:lineRule="auto"/>
        <w:ind w:firstLineChars="200" w:firstLine="420"/>
        <w:rPr>
          <w:color w:val="333333"/>
          <w:szCs w:val="21"/>
          <w:shd w:val="clear" w:color="auto" w:fill="FFFFFF"/>
        </w:rPr>
      </w:pPr>
    </w:p>
    <w:p w:rsidR="00CD07F8" w:rsidRDefault="00CD07F8" w:rsidP="004F1718">
      <w:pPr>
        <w:spacing w:line="360" w:lineRule="auto"/>
        <w:ind w:firstLineChars="200" w:firstLine="420"/>
        <w:rPr>
          <w:color w:val="333333"/>
          <w:szCs w:val="21"/>
          <w:shd w:val="clear" w:color="auto" w:fill="FFFFFF"/>
        </w:rPr>
      </w:pPr>
    </w:p>
    <w:p w:rsidR="00CD07F8" w:rsidRDefault="00CD07F8" w:rsidP="004F1718">
      <w:pPr>
        <w:spacing w:line="360" w:lineRule="auto"/>
        <w:ind w:firstLineChars="200" w:firstLine="420"/>
        <w:rPr>
          <w:color w:val="333333"/>
          <w:szCs w:val="21"/>
          <w:shd w:val="clear" w:color="auto" w:fill="FFFFFF"/>
        </w:rPr>
      </w:pPr>
    </w:p>
    <w:p w:rsidR="00CD07F8" w:rsidRPr="00FF6D8F" w:rsidRDefault="00AA6E68" w:rsidP="004F1718">
      <w:pPr>
        <w:spacing w:line="360" w:lineRule="auto"/>
        <w:ind w:firstLineChars="200" w:firstLine="420"/>
        <w:rPr>
          <w:color w:val="333333"/>
          <w:szCs w:val="21"/>
          <w:shd w:val="clear" w:color="auto" w:fill="FFFFFF"/>
        </w:rPr>
      </w:pPr>
      <w:r w:rsidRPr="00AA6E68">
        <w:rPr>
          <w:rFonts w:asciiTheme="minorEastAsia" w:hAnsiTheme="minorEastAsia"/>
          <w:noProof/>
          <w:szCs w:val="21"/>
        </w:rPr>
        <w:pict>
          <v:shape id="_x0000_s2142" type="#_x0000_t202" style="position:absolute;left:0;text-align:left;margin-left:211.65pt;margin-top:74.3pt;width:93.75pt;height:22.5pt;z-index:251911168" strokecolor="white [3212]">
            <v:textbox>
              <w:txbxContent>
                <w:p w:rsidR="00832D5A" w:rsidRDefault="00832D5A" w:rsidP="0088624D">
                  <w:pPr>
                    <w:jc w:val="center"/>
                  </w:pPr>
                  <w:r>
                    <w:rPr>
                      <w:rFonts w:hint="eastAsia"/>
                    </w:rPr>
                    <w:t>第</w:t>
                  </w:r>
                  <w:r>
                    <w:rPr>
                      <w:rFonts w:hint="eastAsia"/>
                    </w:rPr>
                    <w:t>27</w:t>
                  </w:r>
                  <w:r>
                    <w:rPr>
                      <w:rFonts w:hint="eastAsia"/>
                    </w:rPr>
                    <w:t>页</w:t>
                  </w:r>
                </w:p>
              </w:txbxContent>
            </v:textbox>
          </v:shape>
        </w:pict>
      </w:r>
    </w:p>
    <w:p w:rsidR="004F1718" w:rsidRDefault="00CD07F8" w:rsidP="004F1718">
      <w:pPr>
        <w:pStyle w:val="a7"/>
        <w:numPr>
          <w:ilvl w:val="0"/>
          <w:numId w:val="7"/>
        </w:numPr>
        <w:spacing w:line="360" w:lineRule="auto"/>
        <w:ind w:firstLineChars="0"/>
        <w:rPr>
          <w:rFonts w:asciiTheme="minorEastAsia" w:hAnsiTheme="minorEastAsia"/>
          <w:b/>
          <w:sz w:val="24"/>
          <w:szCs w:val="24"/>
        </w:rPr>
      </w:pPr>
      <w:r>
        <w:rPr>
          <w:rFonts w:asciiTheme="minorEastAsia" w:hAnsiTheme="minorEastAsia" w:hint="eastAsia"/>
          <w:b/>
          <w:noProof/>
          <w:sz w:val="24"/>
          <w:szCs w:val="24"/>
        </w:rPr>
        <w:lastRenderedPageBreak/>
        <w:drawing>
          <wp:anchor distT="0" distB="0" distL="114300" distR="114300" simplePos="0" relativeHeight="251871232" behindDoc="1" locked="0" layoutInCell="1" allowOverlap="1">
            <wp:simplePos x="0" y="0"/>
            <wp:positionH relativeFrom="column">
              <wp:posOffset>-683895</wp:posOffset>
            </wp:positionH>
            <wp:positionV relativeFrom="paragraph">
              <wp:posOffset>-1430655</wp:posOffset>
            </wp:positionV>
            <wp:extent cx="7581900" cy="10725150"/>
            <wp:effectExtent l="19050" t="0" r="0" b="0"/>
            <wp:wrapNone/>
            <wp:docPr id="122"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004F1718">
        <w:rPr>
          <w:rFonts w:asciiTheme="minorEastAsia" w:hAnsiTheme="minorEastAsia" w:hint="eastAsia"/>
          <w:b/>
          <w:sz w:val="24"/>
          <w:szCs w:val="24"/>
        </w:rPr>
        <w:t>资产配置策略</w:t>
      </w:r>
    </w:p>
    <w:p w:rsidR="004F1718" w:rsidRDefault="004F1718" w:rsidP="004F1718">
      <w:pPr>
        <w:spacing w:line="360" w:lineRule="auto"/>
        <w:ind w:firstLineChars="200" w:firstLine="420"/>
        <w:rPr>
          <w:rFonts w:asciiTheme="minorEastAsia" w:hAnsiTheme="minorEastAsia"/>
          <w:szCs w:val="21"/>
        </w:rPr>
      </w:pPr>
      <w:r>
        <w:rPr>
          <w:rFonts w:asciiTheme="minorEastAsia" w:hAnsiTheme="minorEastAsia" w:hint="eastAsia"/>
          <w:szCs w:val="21"/>
        </w:rPr>
        <w:t>从资产配置理论部分我们知道宏观经济运行状况与大类资产配置密切相关，由于目前中国经济</w:t>
      </w:r>
      <w:proofErr w:type="gramStart"/>
      <w:r>
        <w:rPr>
          <w:rFonts w:asciiTheme="minorEastAsia" w:hAnsiTheme="minorEastAsia" w:hint="eastAsia"/>
          <w:szCs w:val="21"/>
        </w:rPr>
        <w:t>增长增长</w:t>
      </w:r>
      <w:proofErr w:type="gramEnd"/>
      <w:r>
        <w:rPr>
          <w:rFonts w:asciiTheme="minorEastAsia" w:hAnsiTheme="minorEastAsia" w:hint="eastAsia"/>
          <w:szCs w:val="21"/>
        </w:rPr>
        <w:t>模式的改革具有很大的不确定性，这就使得资产配置变得日益重要，投资者需要基于宏观经济预期的变化，及时调整各类大类资产的配置比例。</w:t>
      </w:r>
    </w:p>
    <w:p w:rsidR="004F1718" w:rsidRPr="008562F1" w:rsidRDefault="004F1718" w:rsidP="004F1718">
      <w:pPr>
        <w:spacing w:line="360" w:lineRule="auto"/>
        <w:ind w:firstLineChars="200" w:firstLine="420"/>
        <w:rPr>
          <w:rFonts w:asciiTheme="minorEastAsia" w:hAnsiTheme="minorEastAsia"/>
          <w:szCs w:val="21"/>
        </w:rPr>
      </w:pPr>
      <w:r>
        <w:rPr>
          <w:rFonts w:asciiTheme="minorEastAsia" w:hAnsiTheme="minorEastAsia" w:hint="eastAsia"/>
          <w:szCs w:val="21"/>
        </w:rPr>
        <w:t>上面我们已经回顾2013年第三季度各类资产的业绩表现，并对2013年下半</w:t>
      </w:r>
      <w:proofErr w:type="gramStart"/>
      <w:r>
        <w:rPr>
          <w:rFonts w:asciiTheme="minorEastAsia" w:hAnsiTheme="minorEastAsia" w:hint="eastAsia"/>
          <w:szCs w:val="21"/>
        </w:rPr>
        <w:t>年趋势</w:t>
      </w:r>
      <w:proofErr w:type="gramEnd"/>
      <w:r>
        <w:rPr>
          <w:rFonts w:asciiTheme="minorEastAsia" w:hAnsiTheme="minorEastAsia" w:hint="eastAsia"/>
          <w:szCs w:val="21"/>
        </w:rPr>
        <w:t>进行了预测，接下来我们将对各类型资产的战术配置方案提出相关建议。</w:t>
      </w:r>
    </w:p>
    <w:p w:rsidR="004F1718" w:rsidRDefault="004F1718" w:rsidP="004F1718">
      <w:pPr>
        <w:spacing w:line="360" w:lineRule="auto"/>
        <w:rPr>
          <w:rFonts w:asciiTheme="minorEastAsia" w:hAnsiTheme="minorEastAsia"/>
          <w:szCs w:val="21"/>
        </w:rPr>
      </w:pPr>
      <w:r>
        <w:rPr>
          <w:rFonts w:asciiTheme="minorEastAsia" w:hAnsiTheme="minorEastAsia" w:hint="eastAsia"/>
          <w:szCs w:val="21"/>
        </w:rPr>
        <w:t>（一）、固定收益类资产</w:t>
      </w:r>
    </w:p>
    <w:p w:rsidR="004F1718" w:rsidRDefault="004F1718" w:rsidP="004F1718">
      <w:pPr>
        <w:spacing w:line="360" w:lineRule="auto"/>
        <w:rPr>
          <w:rFonts w:asciiTheme="minorEastAsia" w:hAnsiTheme="minorEastAsia"/>
          <w:szCs w:val="21"/>
        </w:rPr>
      </w:pPr>
      <w:r>
        <w:rPr>
          <w:rFonts w:asciiTheme="minorEastAsia" w:hAnsiTheme="minorEastAsia" w:hint="eastAsia"/>
          <w:szCs w:val="21"/>
        </w:rPr>
        <w:t>1、债券产品投资策略</w:t>
      </w:r>
    </w:p>
    <w:p w:rsidR="004F1718" w:rsidRPr="00081226" w:rsidRDefault="004F1718" w:rsidP="004F1718">
      <w:pPr>
        <w:spacing w:line="360" w:lineRule="auto"/>
        <w:ind w:firstLine="420"/>
        <w:rPr>
          <w:rFonts w:asciiTheme="minorEastAsia" w:hAnsiTheme="minorEastAsia"/>
          <w:szCs w:val="21"/>
        </w:rPr>
      </w:pPr>
      <w:r w:rsidRPr="00081226">
        <w:rPr>
          <w:rFonts w:asciiTheme="minorEastAsia" w:hAnsiTheme="minorEastAsia" w:hint="eastAsia"/>
          <w:szCs w:val="21"/>
        </w:rPr>
        <w:t>从供需角度综合考虑，9月利率品仍有调整需求，一级市场供给对利率品仍有较大的负面影响，但调整步伐趋缓。期限上来看，尽管目前短端和</w:t>
      </w:r>
      <w:proofErr w:type="gramStart"/>
      <w:r w:rsidRPr="00081226">
        <w:rPr>
          <w:rFonts w:asciiTheme="minorEastAsia" w:hAnsiTheme="minorEastAsia" w:hint="eastAsia"/>
          <w:szCs w:val="21"/>
        </w:rPr>
        <w:t>长端均显示</w:t>
      </w:r>
      <w:proofErr w:type="gramEnd"/>
      <w:r w:rsidRPr="00081226">
        <w:rPr>
          <w:rFonts w:asciiTheme="minorEastAsia" w:hAnsiTheme="minorEastAsia" w:hint="eastAsia"/>
          <w:szCs w:val="21"/>
        </w:rPr>
        <w:t>出其良好的配置价值，但是由于基本面短期好转和资金利率中枢上行趋势的形成，机构对长端谨慎情绪依旧较浓，且从近期一级市场发行情况来看，尽管机构投标热情有所增加，但博边际的心态较重，因此我们认为相对于短端而言，长</w:t>
      </w:r>
      <w:proofErr w:type="gramStart"/>
      <w:r w:rsidRPr="00081226">
        <w:rPr>
          <w:rFonts w:asciiTheme="minorEastAsia" w:hAnsiTheme="minorEastAsia" w:hint="eastAsia"/>
          <w:szCs w:val="21"/>
        </w:rPr>
        <w:t>端面临</w:t>
      </w:r>
      <w:proofErr w:type="gramEnd"/>
      <w:r w:rsidRPr="00081226">
        <w:rPr>
          <w:rFonts w:asciiTheme="minorEastAsia" w:hAnsiTheme="minorEastAsia" w:hint="eastAsia"/>
          <w:szCs w:val="21"/>
        </w:rPr>
        <w:t>的压力更大，因此更建议关注短端品种。</w:t>
      </w:r>
    </w:p>
    <w:p w:rsidR="004F1718" w:rsidRDefault="004F1718" w:rsidP="004F1718">
      <w:pPr>
        <w:spacing w:line="360" w:lineRule="auto"/>
        <w:ind w:firstLine="420"/>
        <w:rPr>
          <w:rFonts w:asciiTheme="minorEastAsia" w:hAnsiTheme="minorEastAsia"/>
          <w:szCs w:val="21"/>
        </w:rPr>
      </w:pPr>
      <w:r w:rsidRPr="00081226">
        <w:rPr>
          <w:rFonts w:asciiTheme="minorEastAsia" w:hAnsiTheme="minorEastAsia" w:hint="eastAsia"/>
          <w:szCs w:val="21"/>
        </w:rPr>
        <w:t>从需求角度看，9月市场环境对信用品而言较为中性，信用溢价在收益率上已反映较为充分，但目前个别行业的盈利情况仍不容乐观，黑天鹅事件仍有可能再次发生。目前需求不足问题依旧制约信用品收益率下行，我们认为9月信用品也将维持震荡调整，但是由于供给风险不足为虑，因此调整幅度将好于利率品。央行的</w:t>
      </w:r>
      <w:proofErr w:type="gramStart"/>
      <w:r w:rsidRPr="00081226">
        <w:rPr>
          <w:rFonts w:asciiTheme="minorEastAsia" w:hAnsiTheme="minorEastAsia" w:hint="eastAsia"/>
          <w:szCs w:val="21"/>
        </w:rPr>
        <w:t>放短锁长</w:t>
      </w:r>
      <w:proofErr w:type="gramEnd"/>
      <w:r w:rsidRPr="00081226">
        <w:rPr>
          <w:rFonts w:asciiTheme="minorEastAsia" w:hAnsiTheme="minorEastAsia" w:hint="eastAsia"/>
          <w:szCs w:val="21"/>
        </w:rPr>
        <w:t>的操作思路和利率市场化改革使得市场对长期资金利率上行仍有所期待，因此在资金面阶段性宽松的背景下，我们认为短</w:t>
      </w:r>
      <w:proofErr w:type="gramStart"/>
      <w:r w:rsidRPr="00081226">
        <w:rPr>
          <w:rFonts w:asciiTheme="minorEastAsia" w:hAnsiTheme="minorEastAsia" w:hint="eastAsia"/>
          <w:szCs w:val="21"/>
        </w:rPr>
        <w:t>端品种</w:t>
      </w:r>
      <w:proofErr w:type="gramEnd"/>
      <w:r w:rsidRPr="00081226">
        <w:rPr>
          <w:rFonts w:asciiTheme="minorEastAsia" w:hAnsiTheme="minorEastAsia" w:hint="eastAsia"/>
          <w:szCs w:val="21"/>
        </w:rPr>
        <w:t>具有较好的投资价值。</w:t>
      </w:r>
    </w:p>
    <w:p w:rsidR="004F1718" w:rsidRDefault="004F1718" w:rsidP="004F1718">
      <w:pPr>
        <w:spacing w:line="360" w:lineRule="auto"/>
        <w:rPr>
          <w:rFonts w:asciiTheme="minorEastAsia" w:hAnsiTheme="minorEastAsia"/>
          <w:szCs w:val="21"/>
        </w:rPr>
      </w:pPr>
      <w:r>
        <w:rPr>
          <w:rFonts w:asciiTheme="minorEastAsia" w:hAnsiTheme="minorEastAsia" w:hint="eastAsia"/>
          <w:szCs w:val="21"/>
        </w:rPr>
        <w:t>2、信托</w:t>
      </w:r>
      <w:r w:rsidR="00AD0568">
        <w:rPr>
          <w:rFonts w:asciiTheme="minorEastAsia" w:hAnsiTheme="minorEastAsia" w:hint="eastAsia"/>
          <w:szCs w:val="21"/>
        </w:rPr>
        <w:t>计划</w:t>
      </w:r>
      <w:proofErr w:type="gramStart"/>
      <w:r w:rsidR="00AD0568">
        <w:rPr>
          <w:rFonts w:asciiTheme="minorEastAsia" w:hAnsiTheme="minorEastAsia" w:hint="eastAsia"/>
          <w:szCs w:val="21"/>
        </w:rPr>
        <w:t>及资管计划</w:t>
      </w:r>
      <w:proofErr w:type="gramEnd"/>
      <w:r>
        <w:rPr>
          <w:rFonts w:asciiTheme="minorEastAsia" w:hAnsiTheme="minorEastAsia" w:hint="eastAsia"/>
          <w:szCs w:val="21"/>
        </w:rPr>
        <w:t>投资策略</w:t>
      </w:r>
    </w:p>
    <w:p w:rsidR="004F1718" w:rsidRDefault="004F1718" w:rsidP="004F1718">
      <w:pPr>
        <w:spacing w:line="360" w:lineRule="auto"/>
        <w:ind w:firstLineChars="200" w:firstLine="420"/>
        <w:rPr>
          <w:szCs w:val="21"/>
        </w:rPr>
      </w:pPr>
      <w:r>
        <w:rPr>
          <w:rFonts w:hint="eastAsia"/>
          <w:szCs w:val="21"/>
        </w:rPr>
        <w:t>从</w:t>
      </w:r>
      <w:r>
        <w:rPr>
          <w:rFonts w:hint="eastAsia"/>
          <w:szCs w:val="21"/>
        </w:rPr>
        <w:t>9</w:t>
      </w:r>
      <w:r>
        <w:rPr>
          <w:rFonts w:hint="eastAsia"/>
          <w:szCs w:val="21"/>
        </w:rPr>
        <w:t>月信托产品规模及投向比例可以看出，信托市场由上半年的高速发展态势转变为以风险控制和结构创新为特点的稳健模式，而且这种状态预计将会持续至今年四季度。故信托产品市场在发行规模、</w:t>
      </w:r>
      <w:proofErr w:type="gramStart"/>
      <w:r>
        <w:rPr>
          <w:rFonts w:hint="eastAsia"/>
          <w:szCs w:val="21"/>
        </w:rPr>
        <w:t>预期年化收益率</w:t>
      </w:r>
      <w:proofErr w:type="gramEnd"/>
      <w:r>
        <w:rPr>
          <w:rFonts w:hint="eastAsia"/>
          <w:szCs w:val="21"/>
        </w:rPr>
        <w:t>及资金募集速度等方面都会出现一定程度的下降。</w:t>
      </w:r>
    </w:p>
    <w:p w:rsidR="004F1718" w:rsidRDefault="004F1718" w:rsidP="004F1718">
      <w:pPr>
        <w:spacing w:line="360" w:lineRule="auto"/>
        <w:ind w:firstLine="420"/>
        <w:rPr>
          <w:szCs w:val="21"/>
        </w:rPr>
      </w:pPr>
      <w:r>
        <w:rPr>
          <w:rFonts w:hint="eastAsia"/>
          <w:szCs w:val="21"/>
        </w:rPr>
        <w:t>9</w:t>
      </w:r>
      <w:r>
        <w:rPr>
          <w:rFonts w:hint="eastAsia"/>
          <w:szCs w:val="21"/>
        </w:rPr>
        <w:t>月信托市场出现几款收益较高的信托产品，但最高收益往往要求投资额度较大，一般在</w:t>
      </w:r>
      <w:r>
        <w:rPr>
          <w:rFonts w:hint="eastAsia"/>
          <w:szCs w:val="21"/>
        </w:rPr>
        <w:t>600</w:t>
      </w:r>
      <w:r>
        <w:rPr>
          <w:rFonts w:hint="eastAsia"/>
          <w:szCs w:val="21"/>
        </w:rPr>
        <w:t>万</w:t>
      </w:r>
      <w:r>
        <w:rPr>
          <w:rFonts w:hint="eastAsia"/>
          <w:szCs w:val="21"/>
        </w:rPr>
        <w:t>-1000</w:t>
      </w:r>
      <w:r>
        <w:rPr>
          <w:rFonts w:hint="eastAsia"/>
          <w:szCs w:val="21"/>
        </w:rPr>
        <w:t>万以上，且都为房地产信托产品，在选择房地产信托产品时，建议客户不应该单纯的追求高收益，而同时需要关注交易主体的资产状况、财务状况，资金投向项目的区位、进度、未来现金流，还款来源的覆盖率等方面因素，根据自身风险承受能力，综合选择较适合自己的产品进行投资。</w:t>
      </w:r>
    </w:p>
    <w:p w:rsidR="004F1718" w:rsidRDefault="00AA6E68" w:rsidP="004F1718">
      <w:pPr>
        <w:spacing w:line="360" w:lineRule="auto"/>
        <w:ind w:firstLineChars="200" w:firstLine="420"/>
        <w:rPr>
          <w:szCs w:val="21"/>
        </w:rPr>
      </w:pPr>
      <w:r w:rsidRPr="00AA6E68">
        <w:rPr>
          <w:rFonts w:asciiTheme="minorEastAsia" w:hAnsiTheme="minorEastAsia"/>
          <w:noProof/>
          <w:szCs w:val="21"/>
        </w:rPr>
        <w:pict>
          <v:shape id="_x0000_s2143" type="#_x0000_t202" style="position:absolute;left:0;text-align:left;margin-left:204.9pt;margin-top:82.2pt;width:108.75pt;height:20.25pt;z-index:251912192" strokecolor="white [3212]">
            <v:textbox>
              <w:txbxContent>
                <w:p w:rsidR="00832D5A" w:rsidRDefault="00832D5A" w:rsidP="0088624D">
                  <w:pPr>
                    <w:jc w:val="center"/>
                  </w:pPr>
                  <w:r>
                    <w:rPr>
                      <w:rFonts w:hint="eastAsia"/>
                    </w:rPr>
                    <w:t>第</w:t>
                  </w:r>
                  <w:r>
                    <w:rPr>
                      <w:rFonts w:hint="eastAsia"/>
                    </w:rPr>
                    <w:t>28</w:t>
                  </w:r>
                  <w:r>
                    <w:rPr>
                      <w:rFonts w:hint="eastAsia"/>
                    </w:rPr>
                    <w:t>页</w:t>
                  </w:r>
                </w:p>
              </w:txbxContent>
            </v:textbox>
          </v:shape>
        </w:pict>
      </w:r>
      <w:r w:rsidR="004F1718">
        <w:rPr>
          <w:rFonts w:hint="eastAsia"/>
          <w:szCs w:val="21"/>
        </w:rPr>
        <w:t>受银监会针对地方政府融资平台对外融资行为的规范及限制等政策的影响，上半年作为信托市场主流产品类型之一的基础设施建设类产品规模持续缩减，目前市场发行的该类别产品一般都是地方一般预算收</w:t>
      </w:r>
      <w:r w:rsidR="004F1718">
        <w:rPr>
          <w:rFonts w:hint="eastAsia"/>
          <w:szCs w:val="21"/>
        </w:rPr>
        <w:lastRenderedPageBreak/>
        <w:t>入在百亿左右的地级市政府融资平台，且交易主体一般都是评级在</w:t>
      </w:r>
      <w:r w:rsidR="004F1718">
        <w:rPr>
          <w:rFonts w:hint="eastAsia"/>
          <w:szCs w:val="21"/>
        </w:rPr>
        <w:t>AA</w:t>
      </w:r>
      <w:r w:rsidR="004F1718">
        <w:rPr>
          <w:rFonts w:hint="eastAsia"/>
          <w:szCs w:val="21"/>
        </w:rPr>
        <w:t>以上的发债主体，无论是违约风险还是还款来源都比较可控，但该类产品收益较低，建议低风险偏好客户可适当购买。</w:t>
      </w:r>
    </w:p>
    <w:p w:rsidR="00C651EA" w:rsidRDefault="00CD07F8" w:rsidP="004F1718">
      <w:pPr>
        <w:spacing w:line="360" w:lineRule="auto"/>
        <w:ind w:firstLineChars="200" w:firstLine="420"/>
        <w:rPr>
          <w:rFonts w:asciiTheme="minorEastAsia" w:hAnsiTheme="minorEastAsia"/>
          <w:szCs w:val="21"/>
        </w:rPr>
      </w:pPr>
      <w:r>
        <w:rPr>
          <w:rFonts w:asciiTheme="minorEastAsia" w:hAnsiTheme="minorEastAsia" w:hint="eastAsia"/>
          <w:noProof/>
          <w:szCs w:val="21"/>
        </w:rPr>
        <w:drawing>
          <wp:anchor distT="0" distB="0" distL="114300" distR="114300" simplePos="0" relativeHeight="251873280" behindDoc="1" locked="0" layoutInCell="1" allowOverlap="1">
            <wp:simplePos x="0" y="0"/>
            <wp:positionH relativeFrom="column">
              <wp:posOffset>-683895</wp:posOffset>
            </wp:positionH>
            <wp:positionV relativeFrom="paragraph">
              <wp:posOffset>-2025015</wp:posOffset>
            </wp:positionV>
            <wp:extent cx="7581900" cy="10725150"/>
            <wp:effectExtent l="19050" t="0" r="0" b="0"/>
            <wp:wrapNone/>
            <wp:docPr id="123"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00AD0568">
        <w:rPr>
          <w:rFonts w:asciiTheme="minorEastAsia" w:hAnsiTheme="minorEastAsia" w:hint="eastAsia"/>
          <w:szCs w:val="21"/>
        </w:rPr>
        <w:t>三季度得益于宽松的政策环境，</w:t>
      </w:r>
      <w:proofErr w:type="gramStart"/>
      <w:r w:rsidR="00AD0568">
        <w:rPr>
          <w:rFonts w:asciiTheme="minorEastAsia" w:hAnsiTheme="minorEastAsia" w:hint="eastAsia"/>
          <w:szCs w:val="21"/>
        </w:rPr>
        <w:t>资管计划</w:t>
      </w:r>
      <w:proofErr w:type="gramEnd"/>
      <w:r w:rsidR="00AD0568">
        <w:rPr>
          <w:rFonts w:asciiTheme="minorEastAsia" w:hAnsiTheme="minorEastAsia" w:hint="eastAsia"/>
          <w:szCs w:val="21"/>
        </w:rPr>
        <w:t>发展迅猛，目前规模已经超过了2000亿元，除了政策红利外基金子公司在投资决策上也具有明显优势，其投资决策体系更为高效和灵活，这对于那些急于融资的机构来说具有很大吸引力。</w:t>
      </w:r>
    </w:p>
    <w:p w:rsidR="00AD0568" w:rsidRPr="009265DD" w:rsidRDefault="00AD0568" w:rsidP="004F1718">
      <w:pPr>
        <w:spacing w:line="360" w:lineRule="auto"/>
        <w:ind w:firstLineChars="200" w:firstLine="420"/>
        <w:rPr>
          <w:rFonts w:asciiTheme="minorEastAsia" w:hAnsiTheme="minorEastAsia"/>
          <w:szCs w:val="21"/>
        </w:rPr>
      </w:pPr>
      <w:proofErr w:type="gramStart"/>
      <w:r>
        <w:rPr>
          <w:rFonts w:asciiTheme="minorEastAsia" w:hAnsiTheme="minorEastAsia" w:hint="eastAsia"/>
          <w:szCs w:val="21"/>
        </w:rPr>
        <w:t>资管计划</w:t>
      </w:r>
      <w:proofErr w:type="gramEnd"/>
      <w:r>
        <w:rPr>
          <w:rFonts w:asciiTheme="minorEastAsia" w:hAnsiTheme="minorEastAsia" w:hint="eastAsia"/>
          <w:szCs w:val="21"/>
        </w:rPr>
        <w:t>产品收益率显著高于信托产品，从用益信托</w:t>
      </w:r>
      <w:proofErr w:type="gramStart"/>
      <w:r>
        <w:rPr>
          <w:rFonts w:asciiTheme="minorEastAsia" w:hAnsiTheme="minorEastAsia" w:hint="eastAsia"/>
          <w:szCs w:val="21"/>
        </w:rPr>
        <w:t>网数据</w:t>
      </w:r>
      <w:proofErr w:type="gramEnd"/>
      <w:r>
        <w:rPr>
          <w:rFonts w:asciiTheme="minorEastAsia" w:hAnsiTheme="minorEastAsia" w:hint="eastAsia"/>
          <w:szCs w:val="21"/>
        </w:rPr>
        <w:t>显示</w:t>
      </w:r>
      <w:r w:rsidRPr="00912D49">
        <w:rPr>
          <w:rFonts w:hint="eastAsia"/>
        </w:rPr>
        <w:t>目前在线的</w:t>
      </w:r>
      <w:proofErr w:type="gramStart"/>
      <w:r w:rsidRPr="00912D49">
        <w:rPr>
          <w:rFonts w:hint="eastAsia"/>
        </w:rPr>
        <w:t>69</w:t>
      </w:r>
      <w:r w:rsidRPr="00912D49">
        <w:rPr>
          <w:rFonts w:hint="eastAsia"/>
        </w:rPr>
        <w:t>款资管产品</w:t>
      </w:r>
      <w:proofErr w:type="gramEnd"/>
      <w:r w:rsidRPr="00912D49">
        <w:rPr>
          <w:rFonts w:hint="eastAsia"/>
        </w:rPr>
        <w:t>中，除了有</w:t>
      </w:r>
      <w:r w:rsidRPr="00912D49">
        <w:rPr>
          <w:rFonts w:hint="eastAsia"/>
        </w:rPr>
        <w:t>6</w:t>
      </w:r>
      <w:r w:rsidRPr="00912D49">
        <w:rPr>
          <w:rFonts w:hint="eastAsia"/>
        </w:rPr>
        <w:t>款产品没有披露收益率外，其余产品中仅有</w:t>
      </w:r>
      <w:r w:rsidRPr="00912D49">
        <w:rPr>
          <w:rFonts w:hint="eastAsia"/>
        </w:rPr>
        <w:t>18</w:t>
      </w:r>
      <w:r w:rsidRPr="00912D49">
        <w:rPr>
          <w:rFonts w:hint="eastAsia"/>
        </w:rPr>
        <w:t>款产品收益率低于</w:t>
      </w:r>
      <w:r w:rsidRPr="00912D49">
        <w:rPr>
          <w:rFonts w:hint="eastAsia"/>
        </w:rPr>
        <w:t>10%</w:t>
      </w:r>
      <w:r w:rsidRPr="00912D49">
        <w:rPr>
          <w:rFonts w:hint="eastAsia"/>
        </w:rPr>
        <w:t>，而信托产品的收益率则普遍低于</w:t>
      </w:r>
      <w:r w:rsidRPr="00912D49">
        <w:rPr>
          <w:rFonts w:hint="eastAsia"/>
        </w:rPr>
        <w:t>10%</w:t>
      </w:r>
      <w:r w:rsidR="00C651EA">
        <w:rPr>
          <w:rFonts w:hint="eastAsia"/>
        </w:rPr>
        <w:t>。此外</w:t>
      </w:r>
      <w:proofErr w:type="gramStart"/>
      <w:r w:rsidR="00C651EA">
        <w:rPr>
          <w:rFonts w:hint="eastAsia"/>
        </w:rPr>
        <w:t>在风控方面</w:t>
      </w:r>
      <w:proofErr w:type="gramEnd"/>
      <w:r w:rsidR="00C651EA">
        <w:rPr>
          <w:rFonts w:hint="eastAsia"/>
        </w:rPr>
        <w:t>，</w:t>
      </w:r>
      <w:proofErr w:type="gramStart"/>
      <w:r w:rsidR="00C651EA">
        <w:rPr>
          <w:rFonts w:hint="eastAsia"/>
        </w:rPr>
        <w:t>资管计划</w:t>
      </w:r>
      <w:proofErr w:type="gramEnd"/>
      <w:r w:rsidR="00C651EA" w:rsidRPr="00912D49">
        <w:rPr>
          <w:rFonts w:hint="eastAsia"/>
        </w:rPr>
        <w:t>与信托产品之间存在很多的相似之处，两者都是通过对项目资质的鉴别来控制产品风险，即使出现兑付风险，两者都可以通过提供其他措施来化解风险（例如：可以通过融资方担保还款、抵押物变现、资产管理公司或银行接盘、其他信托公司接盘等手段来化解风险）。因此从这方面来看</w:t>
      </w:r>
      <w:r w:rsidR="00C651EA">
        <w:rPr>
          <w:rFonts w:hint="eastAsia"/>
        </w:rPr>
        <w:t>，</w:t>
      </w:r>
      <w:proofErr w:type="gramStart"/>
      <w:r w:rsidR="00C651EA">
        <w:rPr>
          <w:rFonts w:hint="eastAsia"/>
        </w:rPr>
        <w:t>资管计划</w:t>
      </w:r>
      <w:proofErr w:type="gramEnd"/>
      <w:r w:rsidR="00C651EA" w:rsidRPr="00912D49">
        <w:rPr>
          <w:rFonts w:hint="eastAsia"/>
        </w:rPr>
        <w:t>产品</w:t>
      </w:r>
      <w:r w:rsidR="005570E2">
        <w:rPr>
          <w:rFonts w:hint="eastAsia"/>
        </w:rPr>
        <w:t>是比较安全的，保守型</w:t>
      </w:r>
      <w:r w:rsidR="00C651EA">
        <w:rPr>
          <w:rFonts w:hint="eastAsia"/>
        </w:rPr>
        <w:t>投资者可考虑配置一定数量资产管理计划产品。</w:t>
      </w:r>
    </w:p>
    <w:p w:rsidR="004F1718" w:rsidRDefault="004F1718" w:rsidP="004F1718">
      <w:pPr>
        <w:spacing w:line="360" w:lineRule="auto"/>
        <w:rPr>
          <w:rFonts w:asciiTheme="minorEastAsia" w:hAnsiTheme="minorEastAsia"/>
          <w:szCs w:val="21"/>
        </w:rPr>
      </w:pPr>
    </w:p>
    <w:p w:rsidR="004F1718" w:rsidRDefault="004F1718" w:rsidP="004F1718">
      <w:pPr>
        <w:spacing w:line="360" w:lineRule="auto"/>
        <w:rPr>
          <w:rFonts w:asciiTheme="minorEastAsia" w:hAnsiTheme="minorEastAsia"/>
          <w:szCs w:val="21"/>
        </w:rPr>
      </w:pPr>
      <w:r>
        <w:rPr>
          <w:rFonts w:asciiTheme="minorEastAsia" w:hAnsiTheme="minorEastAsia" w:hint="eastAsia"/>
          <w:szCs w:val="21"/>
        </w:rPr>
        <w:t>（二）、股权投资类资产</w:t>
      </w:r>
    </w:p>
    <w:p w:rsidR="004F1718" w:rsidRPr="004771D1" w:rsidRDefault="004F1718" w:rsidP="004F1718">
      <w:pPr>
        <w:spacing w:line="360" w:lineRule="auto"/>
        <w:rPr>
          <w:rFonts w:asciiTheme="minorEastAsia" w:hAnsiTheme="minorEastAsia"/>
          <w:szCs w:val="21"/>
        </w:rPr>
      </w:pPr>
      <w:r>
        <w:rPr>
          <w:rFonts w:asciiTheme="minorEastAsia" w:hAnsiTheme="minorEastAsia" w:hint="eastAsia"/>
          <w:szCs w:val="21"/>
        </w:rPr>
        <w:t>1、股票市场投资策略</w:t>
      </w:r>
    </w:p>
    <w:p w:rsidR="004F1718" w:rsidRPr="00081226" w:rsidRDefault="004F1718" w:rsidP="004F1718">
      <w:pPr>
        <w:spacing w:line="360" w:lineRule="auto"/>
        <w:ind w:firstLine="420"/>
        <w:rPr>
          <w:szCs w:val="21"/>
        </w:rPr>
      </w:pPr>
      <w:r w:rsidRPr="00081226">
        <w:rPr>
          <w:rFonts w:hint="eastAsia"/>
          <w:szCs w:val="21"/>
        </w:rPr>
        <w:t>当低价大盘股遭遇改革预期引领的主题投资，市场热点扩散，从而可能带来指数上扬。不仅仅因为经济指标触底，更重要的是制度改革的主题投资可能落实在低估值的大盘权重股，从而促发这些股票被重估的可能性，尽管其短期盈利前景可能依然缺乏亮点。换言之，我们认为，制度改革预期赋予了</w:t>
      </w:r>
      <w:r w:rsidRPr="00081226">
        <w:rPr>
          <w:rFonts w:hint="eastAsia"/>
          <w:szCs w:val="21"/>
        </w:rPr>
        <w:t>A</w:t>
      </w:r>
      <w:r w:rsidRPr="00081226">
        <w:rPr>
          <w:rFonts w:hint="eastAsia"/>
          <w:szCs w:val="21"/>
        </w:rPr>
        <w:t>股市场重估的契机。</w:t>
      </w:r>
    </w:p>
    <w:p w:rsidR="004F1718" w:rsidRPr="00081226" w:rsidRDefault="004F1718" w:rsidP="004F1718">
      <w:pPr>
        <w:spacing w:line="360" w:lineRule="auto"/>
        <w:ind w:firstLine="420"/>
        <w:rPr>
          <w:szCs w:val="21"/>
        </w:rPr>
      </w:pPr>
      <w:r w:rsidRPr="00081226">
        <w:rPr>
          <w:rFonts w:hint="eastAsia"/>
          <w:szCs w:val="21"/>
        </w:rPr>
        <w:t>改革主题投资或将逐步取代</w:t>
      </w:r>
      <w:r w:rsidRPr="00081226">
        <w:rPr>
          <w:rFonts w:hint="eastAsia"/>
          <w:szCs w:val="21"/>
        </w:rPr>
        <w:t>TMT</w:t>
      </w:r>
      <w:r w:rsidRPr="00081226">
        <w:rPr>
          <w:rFonts w:hint="eastAsia"/>
          <w:szCs w:val="21"/>
        </w:rPr>
        <w:t>故事，三中全会召开在即，“盲人摸象”即将结束，有关改革的顶层设计框架应会逐渐清晰；宏观经济指标企稳，下行风险有限；我们认为未来</w:t>
      </w:r>
      <w:r w:rsidRPr="00081226">
        <w:rPr>
          <w:rFonts w:hint="eastAsia"/>
          <w:szCs w:val="21"/>
        </w:rPr>
        <w:t>1</w:t>
      </w:r>
      <w:r w:rsidRPr="00081226">
        <w:rPr>
          <w:rFonts w:hint="eastAsia"/>
          <w:szCs w:val="21"/>
        </w:rPr>
        <w:t>个月的经济或流动性指标更具指示意义，将坚实或者削弱低价大盘股的基本面因素；我们判断创业板已经全面泡沫化，资金需要转移。</w:t>
      </w:r>
    </w:p>
    <w:p w:rsidR="004F1718" w:rsidRPr="00081226" w:rsidRDefault="004F1718" w:rsidP="004F1718">
      <w:pPr>
        <w:spacing w:line="360" w:lineRule="auto"/>
        <w:ind w:firstLine="420"/>
        <w:rPr>
          <w:szCs w:val="21"/>
        </w:rPr>
      </w:pPr>
      <w:r w:rsidRPr="00081226">
        <w:rPr>
          <w:rFonts w:hint="eastAsia"/>
          <w:szCs w:val="21"/>
        </w:rPr>
        <w:t>中期经济</w:t>
      </w:r>
      <w:r w:rsidRPr="00081226">
        <w:rPr>
          <w:rFonts w:hint="eastAsia"/>
          <w:szCs w:val="21"/>
        </w:rPr>
        <w:t>/</w:t>
      </w:r>
      <w:r w:rsidRPr="00081226">
        <w:rPr>
          <w:rFonts w:hint="eastAsia"/>
          <w:szCs w:val="21"/>
        </w:rPr>
        <w:t>盈利风险应该还没有释放完毕，首先这是因为资金价格依然停留在较高位置，显著高于企业的盈利能力</w:t>
      </w:r>
      <w:r w:rsidRPr="00081226">
        <w:rPr>
          <w:rFonts w:hint="eastAsia"/>
          <w:szCs w:val="21"/>
        </w:rPr>
        <w:t>/EBIT</w:t>
      </w:r>
      <w:r w:rsidRPr="00081226">
        <w:rPr>
          <w:rFonts w:hint="eastAsia"/>
          <w:szCs w:val="21"/>
        </w:rPr>
        <w:t>净利润率；其次非金融企业的资产负债率仍然处于历史高位，去杠杆道路“漫漫兮”；最后尽管大多数产业开始显著降低资本支出，但产能过剩、高负债率的局面恐怕至少还需要两年时间才能明显扭转。</w:t>
      </w:r>
    </w:p>
    <w:p w:rsidR="004F1718" w:rsidRPr="008565ED" w:rsidRDefault="00AA6E68" w:rsidP="004F1718">
      <w:pPr>
        <w:spacing w:line="360" w:lineRule="auto"/>
        <w:ind w:firstLine="420"/>
        <w:rPr>
          <w:szCs w:val="21"/>
        </w:rPr>
      </w:pPr>
      <w:r w:rsidRPr="00AA6E68">
        <w:rPr>
          <w:rFonts w:asciiTheme="minorEastAsia" w:hAnsiTheme="minorEastAsia"/>
          <w:noProof/>
          <w:szCs w:val="21"/>
        </w:rPr>
        <w:pict>
          <v:shape id="_x0000_s2144" type="#_x0000_t202" style="position:absolute;left:0;text-align:left;margin-left:204.15pt;margin-top:101.1pt;width:106.5pt;height:23.25pt;z-index:251913216" strokecolor="white [3212]">
            <v:textbox>
              <w:txbxContent>
                <w:p w:rsidR="00832D5A" w:rsidRDefault="00832D5A" w:rsidP="0088624D">
                  <w:pPr>
                    <w:jc w:val="center"/>
                  </w:pPr>
                  <w:r>
                    <w:rPr>
                      <w:rFonts w:hint="eastAsia"/>
                    </w:rPr>
                    <w:t>第</w:t>
                  </w:r>
                  <w:r>
                    <w:rPr>
                      <w:rFonts w:hint="eastAsia"/>
                    </w:rPr>
                    <w:t>29</w:t>
                  </w:r>
                  <w:r>
                    <w:rPr>
                      <w:rFonts w:hint="eastAsia"/>
                    </w:rPr>
                    <w:t>页</w:t>
                  </w:r>
                </w:p>
              </w:txbxContent>
            </v:textbox>
          </v:shape>
        </w:pict>
      </w:r>
      <w:r w:rsidR="004F1718" w:rsidRPr="00081226">
        <w:rPr>
          <w:rFonts w:hint="eastAsia"/>
          <w:szCs w:val="21"/>
        </w:rPr>
        <w:t>我们最看好的制度改革投资主题主要包括：上海自由贸易区（最重要在于金融市场开放）、土地流转改革（生产要素价值再重估）、金融创新与改革（创新融资、资产证券化等）、国有企业改革——混合所有制以及新型城镇化（比如：户籍制度、计划生育政策等）。</w:t>
      </w:r>
    </w:p>
    <w:p w:rsidR="004F1718" w:rsidRDefault="00CD07F8" w:rsidP="004F1718">
      <w:pPr>
        <w:spacing w:line="360" w:lineRule="auto"/>
        <w:rPr>
          <w:rFonts w:asciiTheme="minorEastAsia" w:hAnsiTheme="minorEastAsia"/>
          <w:szCs w:val="21"/>
        </w:rPr>
      </w:pPr>
      <w:r>
        <w:rPr>
          <w:rFonts w:asciiTheme="minorEastAsia" w:hAnsiTheme="minorEastAsia" w:hint="eastAsia"/>
          <w:noProof/>
          <w:szCs w:val="21"/>
        </w:rPr>
        <w:lastRenderedPageBreak/>
        <w:drawing>
          <wp:anchor distT="0" distB="0" distL="114300" distR="114300" simplePos="0" relativeHeight="251875328" behindDoc="1" locked="0" layoutInCell="1" allowOverlap="1">
            <wp:simplePos x="0" y="0"/>
            <wp:positionH relativeFrom="column">
              <wp:posOffset>-683895</wp:posOffset>
            </wp:positionH>
            <wp:positionV relativeFrom="paragraph">
              <wp:posOffset>-1430655</wp:posOffset>
            </wp:positionV>
            <wp:extent cx="7581900" cy="10725150"/>
            <wp:effectExtent l="19050" t="0" r="0" b="0"/>
            <wp:wrapNone/>
            <wp:docPr id="124"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004F1718">
        <w:rPr>
          <w:rFonts w:asciiTheme="minorEastAsia" w:hAnsiTheme="minorEastAsia" w:hint="eastAsia"/>
          <w:szCs w:val="21"/>
        </w:rPr>
        <w:t>2、私</w:t>
      </w:r>
      <w:proofErr w:type="gramStart"/>
      <w:r w:rsidR="004F1718">
        <w:rPr>
          <w:rFonts w:asciiTheme="minorEastAsia" w:hAnsiTheme="minorEastAsia" w:hint="eastAsia"/>
          <w:szCs w:val="21"/>
        </w:rPr>
        <w:t>募股权投资</w:t>
      </w:r>
      <w:proofErr w:type="gramEnd"/>
      <w:r w:rsidR="004F1718">
        <w:rPr>
          <w:rFonts w:asciiTheme="minorEastAsia" w:hAnsiTheme="minorEastAsia" w:hint="eastAsia"/>
          <w:szCs w:val="21"/>
        </w:rPr>
        <w:t>策略</w:t>
      </w:r>
    </w:p>
    <w:p w:rsidR="004F1718" w:rsidRDefault="004F1718" w:rsidP="004F1718">
      <w:pPr>
        <w:spacing w:line="360" w:lineRule="auto"/>
        <w:ind w:firstLine="420"/>
        <w:rPr>
          <w:rFonts w:asciiTheme="minorEastAsia" w:hAnsiTheme="minorEastAsia"/>
          <w:szCs w:val="21"/>
        </w:rPr>
      </w:pPr>
      <w:r>
        <w:rPr>
          <w:rFonts w:asciiTheme="minorEastAsia" w:hAnsiTheme="minorEastAsia" w:hint="eastAsia"/>
          <w:szCs w:val="21"/>
        </w:rPr>
        <w:t>PE行业投资可分为募集、投资、管理、退出这几部分，而PE收益也可分为三部分，一是一级市场价值低估产生的价差收益，二是流动性溢价，即通过IPO上市流通后产生的估值溢价，三是企业成长性收益，这是最为稳定的资本增值方式。而我们投资者要提高PE收益就得从这三个方面入手，首先是要压低被</w:t>
      </w:r>
      <w:proofErr w:type="gramStart"/>
      <w:r>
        <w:rPr>
          <w:rFonts w:asciiTheme="minorEastAsia" w:hAnsiTheme="minorEastAsia" w:hint="eastAsia"/>
          <w:szCs w:val="21"/>
        </w:rPr>
        <w:t>投项目</w:t>
      </w:r>
      <w:proofErr w:type="gramEnd"/>
      <w:r>
        <w:rPr>
          <w:rFonts w:asciiTheme="minorEastAsia" w:hAnsiTheme="minorEastAsia" w:hint="eastAsia"/>
          <w:szCs w:val="21"/>
        </w:rPr>
        <w:t>的进入价格，选择价值低估的企业；其次是要选择优质企业，提高被投资企业盈利和成长性；最后是要提高被投资项目的退出价格，在市场高点退出。</w:t>
      </w:r>
    </w:p>
    <w:p w:rsidR="004F1718" w:rsidRDefault="004F1718" w:rsidP="004F1718">
      <w:pPr>
        <w:spacing w:line="360" w:lineRule="auto"/>
        <w:ind w:firstLine="420"/>
        <w:rPr>
          <w:rFonts w:asciiTheme="minorEastAsia" w:hAnsiTheme="minorEastAsia"/>
          <w:szCs w:val="21"/>
        </w:rPr>
      </w:pPr>
      <w:r>
        <w:rPr>
          <w:rFonts w:asciiTheme="minorEastAsia" w:hAnsiTheme="minorEastAsia" w:hint="eastAsia"/>
          <w:szCs w:val="21"/>
        </w:rPr>
        <w:t>目前大部分投资人都是基于PE投资回报来做投资决策，在目前经济走弱的情况下，PE退出回报大幅下降，资金募集变得困难，项目投资竞争力下降，相应项目进入价格也会有所降低。考虑到后期项目价格尚无反弹趋势，建议投资者可选择暂时选择观望。随着资本市场逐渐完善，PE退出渠道会更加多元化，并购市场业务会迅速发展，但是由于流动性溢价始终存在，虽然之前创业板所带来的暴利空间已不复存在，IPO仍然是未来PE退出首选，今后并购市场扩大将成为PE退出更为便利通道。</w:t>
      </w:r>
    </w:p>
    <w:p w:rsidR="004F1718" w:rsidRPr="003D6166" w:rsidRDefault="004F1718" w:rsidP="004F1718">
      <w:pPr>
        <w:spacing w:line="360" w:lineRule="auto"/>
        <w:ind w:firstLine="420"/>
        <w:rPr>
          <w:rFonts w:asciiTheme="minorEastAsia" w:hAnsiTheme="minorEastAsia"/>
          <w:szCs w:val="21"/>
        </w:rPr>
      </w:pPr>
      <w:r>
        <w:rPr>
          <w:rFonts w:asciiTheme="minorEastAsia" w:hAnsiTheme="minorEastAsia" w:hint="eastAsia"/>
          <w:szCs w:val="21"/>
        </w:rPr>
        <w:t>在资产配置方面，PE属于长期投资工具，投资人应该根据自身风险承受能力以及资产流动性要求配置适量PE产品，由于PE投资的周期较长，退出时点具有很强不确定性，在此期间不宜过度投资。</w:t>
      </w:r>
    </w:p>
    <w:p w:rsidR="004F1718" w:rsidRDefault="004F1718" w:rsidP="004F1718">
      <w:pPr>
        <w:spacing w:line="360" w:lineRule="auto"/>
        <w:rPr>
          <w:rFonts w:asciiTheme="minorEastAsia" w:hAnsiTheme="minorEastAsia"/>
          <w:szCs w:val="21"/>
        </w:rPr>
      </w:pPr>
    </w:p>
    <w:p w:rsidR="004F1718" w:rsidRPr="00563186" w:rsidRDefault="004F1718" w:rsidP="004F1718">
      <w:pPr>
        <w:spacing w:line="360" w:lineRule="auto"/>
        <w:rPr>
          <w:rFonts w:asciiTheme="minorEastAsia" w:hAnsiTheme="minorEastAsia"/>
          <w:szCs w:val="21"/>
        </w:rPr>
      </w:pPr>
      <w:r>
        <w:rPr>
          <w:rFonts w:asciiTheme="minorEastAsia" w:hAnsiTheme="minorEastAsia" w:hint="eastAsia"/>
          <w:szCs w:val="21"/>
        </w:rPr>
        <w:t>（三）</w:t>
      </w:r>
      <w:r w:rsidRPr="00563186">
        <w:rPr>
          <w:rFonts w:asciiTheme="minorEastAsia" w:hAnsiTheme="minorEastAsia" w:hint="eastAsia"/>
          <w:szCs w:val="21"/>
        </w:rPr>
        <w:t>、物</w:t>
      </w:r>
      <w:proofErr w:type="gramStart"/>
      <w:r w:rsidRPr="00563186">
        <w:rPr>
          <w:rFonts w:asciiTheme="minorEastAsia" w:hAnsiTheme="minorEastAsia" w:hint="eastAsia"/>
          <w:szCs w:val="21"/>
        </w:rPr>
        <w:t>权投资</w:t>
      </w:r>
      <w:proofErr w:type="gramEnd"/>
      <w:r w:rsidRPr="00563186">
        <w:rPr>
          <w:rFonts w:asciiTheme="minorEastAsia" w:hAnsiTheme="minorEastAsia" w:hint="eastAsia"/>
          <w:szCs w:val="21"/>
        </w:rPr>
        <w:t>类资产</w:t>
      </w:r>
    </w:p>
    <w:p w:rsidR="004F1718" w:rsidRDefault="004F1718" w:rsidP="004F1718">
      <w:pPr>
        <w:spacing w:line="360" w:lineRule="auto"/>
        <w:rPr>
          <w:rFonts w:asciiTheme="minorEastAsia" w:hAnsiTheme="minorEastAsia"/>
          <w:szCs w:val="21"/>
        </w:rPr>
      </w:pPr>
      <w:r w:rsidRPr="00563186">
        <w:rPr>
          <w:rFonts w:asciiTheme="minorEastAsia" w:hAnsiTheme="minorEastAsia" w:hint="eastAsia"/>
          <w:szCs w:val="21"/>
        </w:rPr>
        <w:t>1、房地产市场投资策略</w:t>
      </w:r>
    </w:p>
    <w:p w:rsidR="004F1718" w:rsidRPr="00563186" w:rsidRDefault="004F1718" w:rsidP="004F1718">
      <w:pPr>
        <w:spacing w:line="360" w:lineRule="auto"/>
        <w:ind w:firstLine="420"/>
        <w:rPr>
          <w:rFonts w:asciiTheme="minorEastAsia" w:hAnsiTheme="minorEastAsia"/>
          <w:szCs w:val="21"/>
        </w:rPr>
      </w:pPr>
      <w:r w:rsidRPr="00563186">
        <w:rPr>
          <w:rFonts w:asciiTheme="minorEastAsia" w:hAnsiTheme="minorEastAsia" w:hint="eastAsia"/>
          <w:szCs w:val="21"/>
        </w:rPr>
        <w:t>进入</w:t>
      </w:r>
      <w:r w:rsidR="00B87CAC">
        <w:rPr>
          <w:rFonts w:asciiTheme="minorEastAsia" w:hAnsiTheme="minorEastAsia" w:hint="eastAsia"/>
          <w:szCs w:val="21"/>
        </w:rPr>
        <w:t>9</w:t>
      </w:r>
      <w:r w:rsidRPr="00563186">
        <w:rPr>
          <w:rFonts w:asciiTheme="minorEastAsia" w:hAnsiTheme="minorEastAsia" w:hint="eastAsia"/>
          <w:szCs w:val="21"/>
        </w:rPr>
        <w:t>月份以来，房地产企业资金状况改善继续减弱。影响企业资金的主要因素是销售的下降导致定金儿预收款和增长明显下降，但国内贷款仍保持较好水平，利用外资同比仍在改善。由于企业资金状况较好，推盘观望明显。我们预计下半年商品房的销售同比增长将持续收窄，销售仍是影响市场的主要因素之一。我们认为房地产开发投资相对稳定，总体上看房地产开发企业仍比较理性，对房地产的后市表示出谨慎乐观的态度。调控下房地产市场已明显进入一个稳定增长中，2013年全年房地产市场“不喜不悲”。</w:t>
      </w:r>
    </w:p>
    <w:p w:rsidR="004F1718" w:rsidRDefault="004F1718" w:rsidP="004F1718">
      <w:pPr>
        <w:spacing w:line="360" w:lineRule="auto"/>
        <w:ind w:firstLine="420"/>
        <w:rPr>
          <w:rFonts w:asciiTheme="minorEastAsia" w:hAnsiTheme="minorEastAsia"/>
          <w:szCs w:val="21"/>
        </w:rPr>
      </w:pPr>
      <w:r w:rsidRPr="00563186">
        <w:rPr>
          <w:rFonts w:asciiTheme="minorEastAsia" w:hAnsiTheme="minorEastAsia" w:hint="eastAsia"/>
          <w:szCs w:val="21"/>
        </w:rPr>
        <w:t>政策面上，</w:t>
      </w:r>
      <w:r w:rsidR="00B87CAC">
        <w:rPr>
          <w:rFonts w:asciiTheme="minorEastAsia" w:hAnsiTheme="minorEastAsia" w:hint="eastAsia"/>
          <w:szCs w:val="21"/>
        </w:rPr>
        <w:t>9</w:t>
      </w:r>
      <w:r w:rsidRPr="00563186">
        <w:rPr>
          <w:rFonts w:asciiTheme="minorEastAsia" w:hAnsiTheme="minorEastAsia" w:hint="eastAsia"/>
          <w:szCs w:val="21"/>
        </w:rPr>
        <w:t>月份除了有少数城市限购有松、有紧以外，基本没有全国性的政策出台。关于地产股再融资方面也有了新的进展，媒体报道，9月底证监会将会出台房地产再融资的细则。总体上看，政策面上依然偏暖。市场面上，由于四季度银行资金和额度的紧张，有部分地区和银行的住房贷款审批进程放慢，住房贷款的难度短期有所增加，从而一定程度上抑制了部分住房的需求。目前房地产市场运行较为平稳，预计四</w:t>
      </w:r>
      <w:r>
        <w:rPr>
          <w:rFonts w:asciiTheme="minorEastAsia" w:hAnsiTheme="minorEastAsia" w:hint="eastAsia"/>
          <w:szCs w:val="21"/>
        </w:rPr>
        <w:t>季度房地产市场也会以平稳运行为主，金九银十不太会有超预期的可能。</w:t>
      </w:r>
    </w:p>
    <w:p w:rsidR="004F1718" w:rsidRPr="008E130E" w:rsidRDefault="004F1718" w:rsidP="004F1718">
      <w:pPr>
        <w:spacing w:line="360" w:lineRule="auto"/>
        <w:rPr>
          <w:rFonts w:asciiTheme="minorEastAsia" w:hAnsiTheme="minorEastAsia"/>
          <w:szCs w:val="21"/>
        </w:rPr>
      </w:pPr>
      <w:r>
        <w:rPr>
          <w:rFonts w:asciiTheme="minorEastAsia" w:hAnsiTheme="minorEastAsia" w:hint="eastAsia"/>
          <w:szCs w:val="21"/>
        </w:rPr>
        <w:t>2、大宗商品投资策略</w:t>
      </w:r>
    </w:p>
    <w:p w:rsidR="004F1718" w:rsidRDefault="00AA6E68" w:rsidP="004F1718">
      <w:pPr>
        <w:spacing w:line="360" w:lineRule="auto"/>
        <w:ind w:firstLine="420"/>
        <w:rPr>
          <w:rFonts w:asciiTheme="minorEastAsia" w:hAnsiTheme="minorEastAsia"/>
          <w:szCs w:val="21"/>
        </w:rPr>
      </w:pPr>
      <w:r>
        <w:rPr>
          <w:rFonts w:asciiTheme="minorEastAsia" w:hAnsiTheme="minorEastAsia"/>
          <w:noProof/>
          <w:szCs w:val="21"/>
        </w:rPr>
        <w:pict>
          <v:shape id="_x0000_s2148" type="#_x0000_t202" style="position:absolute;left:0;text-align:left;margin-left:202.65pt;margin-top:55.8pt;width:106.5pt;height:23.25pt;z-index:251919360" strokecolor="white [3212]">
            <v:textbox>
              <w:txbxContent>
                <w:p w:rsidR="00CD07F8" w:rsidRDefault="00CD07F8" w:rsidP="00CD07F8">
                  <w:pPr>
                    <w:jc w:val="center"/>
                  </w:pPr>
                  <w:r>
                    <w:rPr>
                      <w:rFonts w:hint="eastAsia"/>
                    </w:rPr>
                    <w:t>第</w:t>
                  </w:r>
                  <w:r>
                    <w:rPr>
                      <w:rFonts w:hint="eastAsia"/>
                    </w:rPr>
                    <w:t>30</w:t>
                  </w:r>
                  <w:r>
                    <w:rPr>
                      <w:rFonts w:hint="eastAsia"/>
                    </w:rPr>
                    <w:t>页</w:t>
                  </w:r>
                </w:p>
              </w:txbxContent>
            </v:textbox>
          </v:shape>
        </w:pict>
      </w:r>
      <w:r>
        <w:rPr>
          <w:rFonts w:asciiTheme="minorEastAsia" w:hAnsiTheme="minorEastAsia"/>
          <w:noProof/>
          <w:szCs w:val="21"/>
        </w:rPr>
        <w:pict>
          <v:shape id="_x0000_s2145" type="#_x0000_t202" style="position:absolute;left:0;text-align:left;margin-left:197.4pt;margin-top:125.25pt;width:115.5pt;height:25.5pt;z-index:251914240" strokecolor="white [3212]">
            <v:textbox>
              <w:txbxContent>
                <w:p w:rsidR="00832D5A" w:rsidRDefault="00832D5A" w:rsidP="0088624D">
                  <w:pPr>
                    <w:jc w:val="center"/>
                  </w:pPr>
                  <w:r>
                    <w:rPr>
                      <w:rFonts w:hint="eastAsia"/>
                    </w:rPr>
                    <w:t>第</w:t>
                  </w:r>
                  <w:r>
                    <w:rPr>
                      <w:rFonts w:hint="eastAsia"/>
                    </w:rPr>
                    <w:t>30</w:t>
                  </w:r>
                  <w:r>
                    <w:rPr>
                      <w:rFonts w:hint="eastAsia"/>
                    </w:rPr>
                    <w:t>页</w:t>
                  </w:r>
                </w:p>
              </w:txbxContent>
            </v:textbox>
          </v:shape>
        </w:pict>
      </w:r>
      <w:r w:rsidR="004F1718" w:rsidRPr="00470875">
        <w:rPr>
          <w:rFonts w:asciiTheme="minorEastAsia" w:hAnsiTheme="minorEastAsia" w:hint="eastAsia"/>
          <w:szCs w:val="21"/>
        </w:rPr>
        <w:t>尽管</w:t>
      </w:r>
      <w:r w:rsidR="00B87CAC">
        <w:rPr>
          <w:rFonts w:asciiTheme="minorEastAsia" w:hAnsiTheme="minorEastAsia" w:hint="eastAsia"/>
          <w:szCs w:val="21"/>
        </w:rPr>
        <w:t>9</w:t>
      </w:r>
      <w:r w:rsidR="004F1718" w:rsidRPr="00470875">
        <w:rPr>
          <w:rFonts w:asciiTheme="minorEastAsia" w:hAnsiTheme="minorEastAsia" w:hint="eastAsia"/>
          <w:szCs w:val="21"/>
        </w:rPr>
        <w:t>月底地缘政治风险主导着市场走势，但随着军事干涉叙利亚的可能性下降，油价和金价已回归</w:t>
      </w:r>
      <w:r w:rsidR="004F1718" w:rsidRPr="00470875">
        <w:rPr>
          <w:rFonts w:asciiTheme="minorEastAsia" w:hAnsiTheme="minorEastAsia" w:hint="eastAsia"/>
          <w:szCs w:val="21"/>
        </w:rPr>
        <w:lastRenderedPageBreak/>
        <w:t>至</w:t>
      </w:r>
      <w:r w:rsidR="00B87CAC">
        <w:rPr>
          <w:rFonts w:asciiTheme="minorEastAsia" w:hAnsiTheme="minorEastAsia" w:hint="eastAsia"/>
          <w:szCs w:val="21"/>
        </w:rPr>
        <w:t>9</w:t>
      </w:r>
      <w:r w:rsidR="004F1718" w:rsidRPr="00470875">
        <w:rPr>
          <w:rFonts w:asciiTheme="minorEastAsia" w:hAnsiTheme="minorEastAsia" w:hint="eastAsia"/>
          <w:szCs w:val="21"/>
        </w:rPr>
        <w:t xml:space="preserve">月中旬水平。从更广范围来看，大宗商品回报基本持平，原因是由天气推动的农产品和天然气价格下跌抵消了其他领域的价格上涨。价格总体持平掩盖了大宗商品市场的实际变化：油价远期曲线现货升水幅度显著拉大。尽管我们认为未来3-12 </w:t>
      </w:r>
      <w:proofErr w:type="gramStart"/>
      <w:r w:rsidR="004F1718" w:rsidRPr="00470875">
        <w:rPr>
          <w:rFonts w:asciiTheme="minorEastAsia" w:hAnsiTheme="minorEastAsia" w:hint="eastAsia"/>
          <w:szCs w:val="21"/>
        </w:rPr>
        <w:t>个月价格</w:t>
      </w:r>
      <w:proofErr w:type="gramEnd"/>
      <w:r w:rsidR="004F1718" w:rsidRPr="00470875">
        <w:rPr>
          <w:rFonts w:asciiTheme="minorEastAsia" w:hAnsiTheme="minorEastAsia" w:hint="eastAsia"/>
          <w:szCs w:val="21"/>
        </w:rPr>
        <w:t>将小幅下挫，我们预计这一较高的正利差将抵消价格下跌，因此明年的回报将基本持平。</w:t>
      </w:r>
    </w:p>
    <w:p w:rsidR="004F1718" w:rsidRDefault="00CD07F8" w:rsidP="004F1718">
      <w:pPr>
        <w:spacing w:line="360" w:lineRule="auto"/>
        <w:ind w:firstLine="420"/>
        <w:rPr>
          <w:rFonts w:asciiTheme="minorEastAsia" w:hAnsiTheme="minorEastAsia"/>
          <w:szCs w:val="21"/>
        </w:rPr>
      </w:pPr>
      <w:r>
        <w:rPr>
          <w:rFonts w:asciiTheme="minorEastAsia" w:hAnsiTheme="minorEastAsia" w:hint="eastAsia"/>
          <w:noProof/>
          <w:szCs w:val="21"/>
        </w:rPr>
        <w:drawing>
          <wp:anchor distT="0" distB="0" distL="114300" distR="114300" simplePos="0" relativeHeight="251877376" behindDoc="1" locked="0" layoutInCell="1" allowOverlap="1">
            <wp:simplePos x="0" y="0"/>
            <wp:positionH relativeFrom="column">
              <wp:posOffset>-683895</wp:posOffset>
            </wp:positionH>
            <wp:positionV relativeFrom="paragraph">
              <wp:posOffset>-2619375</wp:posOffset>
            </wp:positionV>
            <wp:extent cx="7581900" cy="10725150"/>
            <wp:effectExtent l="19050" t="0" r="0" b="0"/>
            <wp:wrapNone/>
            <wp:docPr id="125"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004F1718">
        <w:rPr>
          <w:rFonts w:asciiTheme="minorEastAsia" w:hAnsiTheme="minorEastAsia" w:hint="eastAsia"/>
          <w:szCs w:val="21"/>
        </w:rPr>
        <w:t>在大宗商品投资上我们建议投资者可选择那些易于存储、交易成本较低的贵金属作为现货投资标的，从近期大宗商品价格波动趋势来看，我们不建议投资者盲目</w:t>
      </w:r>
      <w:proofErr w:type="gramStart"/>
      <w:r w:rsidR="004F1718">
        <w:rPr>
          <w:rFonts w:asciiTheme="minorEastAsia" w:hAnsiTheme="minorEastAsia" w:hint="eastAsia"/>
          <w:szCs w:val="21"/>
        </w:rPr>
        <w:t>进行跟</w:t>
      </w:r>
      <w:proofErr w:type="gramEnd"/>
      <w:r w:rsidR="004F1718">
        <w:rPr>
          <w:rFonts w:asciiTheme="minorEastAsia" w:hAnsiTheme="minorEastAsia" w:hint="eastAsia"/>
          <w:szCs w:val="21"/>
        </w:rPr>
        <w:t>风，投资者当前应理性看待商品价格波动，可</w:t>
      </w:r>
      <w:proofErr w:type="gramStart"/>
      <w:r w:rsidR="004F1718">
        <w:rPr>
          <w:rFonts w:asciiTheme="minorEastAsia" w:hAnsiTheme="minorEastAsia" w:hint="eastAsia"/>
          <w:szCs w:val="21"/>
        </w:rPr>
        <w:t>选择分</w:t>
      </w:r>
      <w:proofErr w:type="gramEnd"/>
      <w:r w:rsidR="004F1718">
        <w:rPr>
          <w:rFonts w:asciiTheme="minorEastAsia" w:hAnsiTheme="minorEastAsia" w:hint="eastAsia"/>
          <w:szCs w:val="21"/>
        </w:rPr>
        <w:t>批次投资，摊</w:t>
      </w:r>
      <w:proofErr w:type="gramStart"/>
      <w:r w:rsidR="004F1718">
        <w:rPr>
          <w:rFonts w:asciiTheme="minorEastAsia" w:hAnsiTheme="minorEastAsia" w:hint="eastAsia"/>
          <w:szCs w:val="21"/>
        </w:rPr>
        <w:t>薄投资</w:t>
      </w:r>
      <w:proofErr w:type="gramEnd"/>
      <w:r w:rsidR="004F1718">
        <w:rPr>
          <w:rFonts w:asciiTheme="minorEastAsia" w:hAnsiTheme="minorEastAsia" w:hint="eastAsia"/>
          <w:szCs w:val="21"/>
        </w:rPr>
        <w:t>成本。此外考虑到大宗商品变现和持有成本较高，我们建议投资者出于保值增值、防通胀目的可适当配置此类资产，但不宜过度投资。</w:t>
      </w:r>
    </w:p>
    <w:p w:rsidR="004F1718" w:rsidRDefault="004F1718" w:rsidP="004F1718">
      <w:pPr>
        <w:spacing w:line="360" w:lineRule="auto"/>
        <w:rPr>
          <w:rFonts w:asciiTheme="minorEastAsia" w:hAnsiTheme="minorEastAsia"/>
          <w:szCs w:val="21"/>
        </w:rPr>
      </w:pPr>
    </w:p>
    <w:p w:rsidR="004F1718" w:rsidRPr="00463A12" w:rsidRDefault="004F1718" w:rsidP="004F1718">
      <w:pPr>
        <w:spacing w:line="360" w:lineRule="auto"/>
        <w:rPr>
          <w:rFonts w:asciiTheme="minorEastAsia" w:hAnsiTheme="minorEastAsia"/>
          <w:szCs w:val="21"/>
        </w:rPr>
      </w:pPr>
      <w:r>
        <w:rPr>
          <w:rFonts w:asciiTheme="minorEastAsia" w:hAnsiTheme="minorEastAsia" w:hint="eastAsia"/>
          <w:szCs w:val="21"/>
        </w:rPr>
        <w:t>（四）、现金类资产</w:t>
      </w:r>
    </w:p>
    <w:p w:rsidR="004F1718" w:rsidRDefault="004F1718" w:rsidP="004F1718">
      <w:pPr>
        <w:spacing w:line="360" w:lineRule="auto"/>
        <w:rPr>
          <w:rFonts w:asciiTheme="minorEastAsia" w:hAnsiTheme="minorEastAsia"/>
          <w:szCs w:val="21"/>
        </w:rPr>
      </w:pPr>
      <w:r>
        <w:rPr>
          <w:rFonts w:asciiTheme="minorEastAsia" w:hAnsiTheme="minorEastAsia" w:hint="eastAsia"/>
          <w:szCs w:val="21"/>
        </w:rPr>
        <w:t xml:space="preserve">    从大类资产配置角度来看，在股市和债市所面临的不确定性较大的环境下，对于风险厌恶投资者可采取现金为王的投资策略，这也是一种比较明智的选择。当前市场资金状况整体表现为稳中偏紧，债券市场预期不容乐观，虽然近期在一系列利好政策推动下，股票市场涨幅比较明显，但机构投资者对股票增长的可持续性始终保持着谨慎偏乐观的态度，外围发达国家经济体尚存在不稳定因素，国内经济的外需和消费增长也缺乏动力，随着中国经济逐渐走弱，其对国际热钱吸引力也在降低，今后股市依然面临着比较大的不确定性，未来通货膨胀在较长时间内有反复的可能，短期内政策大规模增加货币供给的可能性较小。由此看来，与债券和股市相比，货币市场风险更低，对于那些风险偏好较低的投资者可先潜伏在货币基金，待其他市场出现更好的投资机会时，可以很快灵活转换。此外在此基础上投资者还可以结合自身流动性要求，适当调整其他各类现金资产配置比例，对于那些流动性要求非常高的投资者可</w:t>
      </w:r>
      <w:proofErr w:type="gramStart"/>
      <w:r>
        <w:rPr>
          <w:rFonts w:asciiTheme="minorEastAsia" w:hAnsiTheme="minorEastAsia" w:hint="eastAsia"/>
          <w:szCs w:val="21"/>
        </w:rPr>
        <w:t>高配一定</w:t>
      </w:r>
      <w:proofErr w:type="gramEnd"/>
      <w:r>
        <w:rPr>
          <w:rFonts w:asciiTheme="minorEastAsia" w:hAnsiTheme="minorEastAsia" w:hint="eastAsia"/>
          <w:szCs w:val="21"/>
        </w:rPr>
        <w:t>数量活期存款，而对于那些更加关注投资收益的投资者可将短期银行理财产品纳入投资范畴。</w:t>
      </w:r>
    </w:p>
    <w:p w:rsidR="004F1718" w:rsidRDefault="004F1718" w:rsidP="004F1718">
      <w:pPr>
        <w:spacing w:line="360" w:lineRule="auto"/>
        <w:rPr>
          <w:rFonts w:asciiTheme="minorEastAsia" w:hAnsiTheme="minorEastAsia"/>
          <w:szCs w:val="21"/>
        </w:rPr>
      </w:pPr>
    </w:p>
    <w:p w:rsidR="00CD07F8" w:rsidRPr="00370799" w:rsidRDefault="00CD07F8" w:rsidP="004F1718">
      <w:pPr>
        <w:spacing w:line="360" w:lineRule="auto"/>
        <w:rPr>
          <w:rFonts w:asciiTheme="minorEastAsia" w:hAnsiTheme="minorEastAsia"/>
          <w:szCs w:val="21"/>
        </w:rPr>
      </w:pPr>
    </w:p>
    <w:p w:rsidR="004F1718" w:rsidRPr="00530E68" w:rsidRDefault="004F1718" w:rsidP="004F1718">
      <w:pPr>
        <w:pStyle w:val="a7"/>
        <w:numPr>
          <w:ilvl w:val="0"/>
          <w:numId w:val="7"/>
        </w:numPr>
        <w:spacing w:line="360" w:lineRule="auto"/>
        <w:ind w:firstLineChars="0"/>
        <w:rPr>
          <w:rFonts w:asciiTheme="minorEastAsia" w:hAnsiTheme="minorEastAsia"/>
          <w:b/>
          <w:sz w:val="24"/>
          <w:szCs w:val="24"/>
        </w:rPr>
      </w:pPr>
      <w:r w:rsidRPr="00530E68">
        <w:rPr>
          <w:rFonts w:asciiTheme="minorEastAsia" w:hAnsiTheme="minorEastAsia" w:hint="eastAsia"/>
          <w:b/>
          <w:sz w:val="24"/>
          <w:szCs w:val="24"/>
        </w:rPr>
        <w:t>2013年第</w:t>
      </w:r>
      <w:r w:rsidR="00B87CAC">
        <w:rPr>
          <w:rFonts w:asciiTheme="minorEastAsia" w:hAnsiTheme="minorEastAsia" w:hint="eastAsia"/>
          <w:b/>
          <w:sz w:val="24"/>
          <w:szCs w:val="24"/>
        </w:rPr>
        <w:t>四</w:t>
      </w:r>
      <w:r w:rsidRPr="00530E68">
        <w:rPr>
          <w:rFonts w:asciiTheme="minorEastAsia" w:hAnsiTheme="minorEastAsia" w:hint="eastAsia"/>
          <w:b/>
          <w:sz w:val="24"/>
          <w:szCs w:val="24"/>
        </w:rPr>
        <w:t>季度资产配置建议</w:t>
      </w:r>
    </w:p>
    <w:p w:rsidR="004F1718" w:rsidRDefault="004F1718" w:rsidP="004F1718">
      <w:pPr>
        <w:spacing w:line="360" w:lineRule="auto"/>
        <w:ind w:left="420"/>
        <w:rPr>
          <w:rFonts w:asciiTheme="minorEastAsia" w:hAnsiTheme="minorEastAsia"/>
          <w:szCs w:val="21"/>
        </w:rPr>
      </w:pPr>
      <w:r>
        <w:rPr>
          <w:rFonts w:asciiTheme="minorEastAsia" w:hAnsiTheme="minorEastAsia" w:hint="eastAsia"/>
          <w:szCs w:val="21"/>
        </w:rPr>
        <w:t>综合考虑各类别资产发展趋势，我们对2013年第</w:t>
      </w:r>
      <w:r w:rsidR="005E1344">
        <w:rPr>
          <w:rFonts w:asciiTheme="minorEastAsia" w:hAnsiTheme="minorEastAsia" w:hint="eastAsia"/>
          <w:szCs w:val="21"/>
        </w:rPr>
        <w:t>四</w:t>
      </w:r>
      <w:r>
        <w:rPr>
          <w:rFonts w:asciiTheme="minorEastAsia" w:hAnsiTheme="minorEastAsia" w:hint="eastAsia"/>
          <w:szCs w:val="21"/>
        </w:rPr>
        <w:t>季度资产</w:t>
      </w:r>
      <w:proofErr w:type="gramStart"/>
      <w:r>
        <w:rPr>
          <w:rFonts w:asciiTheme="minorEastAsia" w:hAnsiTheme="minorEastAsia" w:hint="eastAsia"/>
          <w:szCs w:val="21"/>
        </w:rPr>
        <w:t>配置做</w:t>
      </w:r>
      <w:proofErr w:type="gramEnd"/>
      <w:r>
        <w:rPr>
          <w:rFonts w:asciiTheme="minorEastAsia" w:hAnsiTheme="minorEastAsia" w:hint="eastAsia"/>
          <w:szCs w:val="21"/>
        </w:rPr>
        <w:t>如下建议：</w:t>
      </w:r>
    </w:p>
    <w:p w:rsidR="00C651EA" w:rsidRPr="00C651EA" w:rsidRDefault="00C651EA" w:rsidP="00C651EA">
      <w:pPr>
        <w:spacing w:line="360" w:lineRule="auto"/>
        <w:rPr>
          <w:rFonts w:asciiTheme="minorEastAsia" w:hAnsiTheme="minorEastAsia"/>
          <w:szCs w:val="21"/>
        </w:rPr>
      </w:pPr>
      <w:r>
        <w:rPr>
          <w:rFonts w:asciiTheme="minorEastAsia" w:hAnsiTheme="minorEastAsia" w:hint="eastAsia"/>
          <w:szCs w:val="21"/>
        </w:rPr>
        <w:t>（一）、本币</w:t>
      </w:r>
      <w:r w:rsidRPr="00C651EA">
        <w:rPr>
          <w:rFonts w:asciiTheme="minorEastAsia" w:hAnsiTheme="minorEastAsia" w:hint="eastAsia"/>
          <w:szCs w:val="21"/>
        </w:rPr>
        <w:t>资产配置建议</w:t>
      </w:r>
    </w:p>
    <w:p w:rsidR="00C651EA" w:rsidRPr="00C651EA" w:rsidRDefault="00AA6E68" w:rsidP="00C651EA">
      <w:pPr>
        <w:spacing w:line="360" w:lineRule="auto"/>
        <w:rPr>
          <w:rFonts w:asciiTheme="minorEastAsia" w:hAnsiTheme="minorEastAsia"/>
          <w:szCs w:val="21"/>
        </w:rPr>
      </w:pPr>
      <w:r>
        <w:rPr>
          <w:rFonts w:asciiTheme="minorEastAsia" w:hAnsiTheme="minorEastAsia"/>
          <w:noProof/>
          <w:szCs w:val="21"/>
        </w:rPr>
        <w:pict>
          <v:shape id="_x0000_s2113" type="#_x0000_t202" style="position:absolute;left:0;text-align:left;margin-left:231.9pt;margin-top:102.6pt;width:58.5pt;height:21pt;z-index:251806720" stroked="f">
            <v:textbox>
              <w:txbxContent>
                <w:p w:rsidR="00832D5A" w:rsidRDefault="00832D5A" w:rsidP="00F6465A">
                  <w:pPr>
                    <w:jc w:val="center"/>
                  </w:pPr>
                  <w:r>
                    <w:rPr>
                      <w:rFonts w:hint="eastAsia"/>
                    </w:rPr>
                    <w:t>第</w:t>
                  </w:r>
                  <w:r>
                    <w:rPr>
                      <w:rFonts w:hint="eastAsia"/>
                    </w:rPr>
                    <w:t>31</w:t>
                  </w:r>
                  <w:r>
                    <w:rPr>
                      <w:rFonts w:hint="eastAsia"/>
                    </w:rPr>
                    <w:t>页</w:t>
                  </w:r>
                </w:p>
              </w:txbxContent>
            </v:textbox>
          </v:shape>
        </w:pict>
      </w:r>
      <w:r w:rsidR="00C651EA">
        <w:rPr>
          <w:rFonts w:asciiTheme="minorEastAsia" w:hAnsiTheme="minorEastAsia" w:hint="eastAsia"/>
          <w:szCs w:val="21"/>
        </w:rPr>
        <w:t xml:space="preserve">    目前中国</w:t>
      </w:r>
      <w:r w:rsidR="005A5976">
        <w:rPr>
          <w:rFonts w:asciiTheme="minorEastAsia" w:hAnsiTheme="minorEastAsia" w:hint="eastAsia"/>
          <w:szCs w:val="21"/>
        </w:rPr>
        <w:t>经济</w:t>
      </w:r>
      <w:r w:rsidR="00C651EA">
        <w:rPr>
          <w:rFonts w:asciiTheme="minorEastAsia" w:hAnsiTheme="minorEastAsia" w:hint="eastAsia"/>
          <w:szCs w:val="21"/>
        </w:rPr>
        <w:t>短期</w:t>
      </w:r>
      <w:r w:rsidR="005A5976">
        <w:rPr>
          <w:rFonts w:asciiTheme="minorEastAsia" w:hAnsiTheme="minorEastAsia" w:hint="eastAsia"/>
          <w:szCs w:val="21"/>
        </w:rPr>
        <w:t>具有上行趋势，中期经济增长的不确定性因素依然较多，随着中国改革开放不断深入，</w:t>
      </w:r>
      <w:r w:rsidR="005A5976">
        <w:rPr>
          <w:rFonts w:hint="eastAsia"/>
        </w:rPr>
        <w:t>下一轮经济周期将从不断创新的制度红利开启。建议投资者可将</w:t>
      </w:r>
      <w:r w:rsidR="005A5976">
        <w:rPr>
          <w:rFonts w:hint="eastAsia"/>
        </w:rPr>
        <w:t>90%</w:t>
      </w:r>
      <w:r w:rsidR="005A5976">
        <w:rPr>
          <w:rFonts w:hint="eastAsia"/>
        </w:rPr>
        <w:t>的资产配置</w:t>
      </w:r>
      <w:r w:rsidR="008879EA">
        <w:rPr>
          <w:rFonts w:hint="eastAsia"/>
        </w:rPr>
        <w:t>于</w:t>
      </w:r>
      <w:r w:rsidR="005A5976">
        <w:rPr>
          <w:rFonts w:hint="eastAsia"/>
        </w:rPr>
        <w:t>中国市场。具体资产配置建议如下：</w:t>
      </w:r>
    </w:p>
    <w:p w:rsidR="004F1718" w:rsidRDefault="00CD07F8" w:rsidP="004F1718">
      <w:pPr>
        <w:spacing w:line="360" w:lineRule="auto"/>
        <w:jc w:val="center"/>
        <w:rPr>
          <w:rFonts w:asciiTheme="minorEastAsia" w:hAnsiTheme="minorEastAsia"/>
          <w:szCs w:val="21"/>
        </w:rPr>
      </w:pPr>
      <w:r w:rsidRPr="00CD07F8">
        <w:rPr>
          <w:rFonts w:asciiTheme="minorEastAsia" w:hAnsiTheme="minorEastAsia" w:hint="eastAsia"/>
          <w:noProof/>
          <w:szCs w:val="21"/>
        </w:rPr>
        <w:lastRenderedPageBreak/>
        <w:drawing>
          <wp:anchor distT="0" distB="0" distL="114300" distR="114300" simplePos="0" relativeHeight="251921408" behindDoc="1" locked="0" layoutInCell="1" allowOverlap="1">
            <wp:simplePos x="0" y="0"/>
            <wp:positionH relativeFrom="column">
              <wp:posOffset>-683895</wp:posOffset>
            </wp:positionH>
            <wp:positionV relativeFrom="paragraph">
              <wp:posOffset>-1430655</wp:posOffset>
            </wp:positionV>
            <wp:extent cx="7581900" cy="10725150"/>
            <wp:effectExtent l="19050" t="0" r="0" b="0"/>
            <wp:wrapNone/>
            <wp:docPr id="19" name="图片 7" descr="研究报告模板-4P-转曲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2.jpg"/>
                    <pic:cNvPicPr/>
                  </pic:nvPicPr>
                  <pic:blipFill>
                    <a:blip r:embed="rId10" cstate="print"/>
                    <a:stretch>
                      <a:fillRect/>
                    </a:stretch>
                  </pic:blipFill>
                  <pic:spPr>
                    <a:xfrm>
                      <a:off x="0" y="0"/>
                      <a:ext cx="7581900" cy="10725150"/>
                    </a:xfrm>
                    <a:prstGeom prst="rect">
                      <a:avLst/>
                    </a:prstGeom>
                  </pic:spPr>
                </pic:pic>
              </a:graphicData>
            </a:graphic>
          </wp:anchor>
        </w:drawing>
      </w:r>
      <w:r w:rsidR="004F1718">
        <w:rPr>
          <w:rFonts w:asciiTheme="minorEastAsia" w:hAnsiTheme="minorEastAsia" w:hint="eastAsia"/>
          <w:szCs w:val="21"/>
        </w:rPr>
        <w:t>表4：2013年第</w:t>
      </w:r>
      <w:r w:rsidR="005E1344">
        <w:rPr>
          <w:rFonts w:asciiTheme="minorEastAsia" w:hAnsiTheme="minorEastAsia" w:hint="eastAsia"/>
          <w:szCs w:val="21"/>
        </w:rPr>
        <w:t>四</w:t>
      </w:r>
      <w:r w:rsidR="004F1718">
        <w:rPr>
          <w:rFonts w:asciiTheme="minorEastAsia" w:hAnsiTheme="minorEastAsia" w:hint="eastAsia"/>
          <w:szCs w:val="21"/>
        </w:rPr>
        <w:t>季度资产配置建议表</w:t>
      </w:r>
    </w:p>
    <w:tbl>
      <w:tblPr>
        <w:tblW w:w="10009" w:type="dxa"/>
        <w:tblInd w:w="-176" w:type="dxa"/>
        <w:tblLook w:val="04A0"/>
      </w:tblPr>
      <w:tblGrid>
        <w:gridCol w:w="1349"/>
        <w:gridCol w:w="1660"/>
        <w:gridCol w:w="1480"/>
        <w:gridCol w:w="1040"/>
        <w:gridCol w:w="4480"/>
      </w:tblGrid>
      <w:tr w:rsidR="004F1718" w:rsidRPr="00370799" w:rsidTr="004F1718">
        <w:trPr>
          <w:trHeight w:val="285"/>
        </w:trPr>
        <w:tc>
          <w:tcPr>
            <w:tcW w:w="134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资产类别</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细分资产</w:t>
            </w:r>
          </w:p>
        </w:tc>
        <w:tc>
          <w:tcPr>
            <w:tcW w:w="1480" w:type="dxa"/>
            <w:tcBorders>
              <w:top w:val="single" w:sz="8" w:space="0" w:color="auto"/>
              <w:left w:val="nil"/>
              <w:bottom w:val="single" w:sz="8" w:space="0" w:color="auto"/>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建议配置比例</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比例调整</w:t>
            </w:r>
          </w:p>
        </w:tc>
        <w:tc>
          <w:tcPr>
            <w:tcW w:w="4480" w:type="dxa"/>
            <w:tcBorders>
              <w:top w:val="single" w:sz="8" w:space="0" w:color="auto"/>
              <w:left w:val="nil"/>
              <w:bottom w:val="single" w:sz="8" w:space="0" w:color="auto"/>
              <w:right w:val="single" w:sz="8" w:space="0" w:color="auto"/>
            </w:tcBorders>
            <w:shd w:val="clear" w:color="auto" w:fill="auto"/>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备注</w:t>
            </w:r>
          </w:p>
        </w:tc>
      </w:tr>
      <w:tr w:rsidR="004F1718" w:rsidRPr="00370799" w:rsidTr="004F1718">
        <w:trPr>
          <w:trHeight w:val="285"/>
        </w:trPr>
        <w:tc>
          <w:tcPr>
            <w:tcW w:w="134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固定收益类</w:t>
            </w:r>
          </w:p>
        </w:tc>
        <w:tc>
          <w:tcPr>
            <w:tcW w:w="1660" w:type="dxa"/>
            <w:tcBorders>
              <w:top w:val="nil"/>
              <w:left w:val="nil"/>
              <w:bottom w:val="single" w:sz="8" w:space="0" w:color="auto"/>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债券</w:t>
            </w:r>
          </w:p>
        </w:tc>
        <w:tc>
          <w:tcPr>
            <w:tcW w:w="1480" w:type="dxa"/>
            <w:tcBorders>
              <w:top w:val="nil"/>
              <w:left w:val="nil"/>
              <w:bottom w:val="single" w:sz="8" w:space="0" w:color="auto"/>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5%</w:t>
            </w:r>
          </w:p>
        </w:tc>
        <w:tc>
          <w:tcPr>
            <w:tcW w:w="1040" w:type="dxa"/>
            <w:tcBorders>
              <w:top w:val="nil"/>
              <w:left w:val="nil"/>
              <w:bottom w:val="single" w:sz="8" w:space="0" w:color="auto"/>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↓5%</w:t>
            </w:r>
          </w:p>
        </w:tc>
        <w:tc>
          <w:tcPr>
            <w:tcW w:w="4480" w:type="dxa"/>
            <w:tcBorders>
              <w:top w:val="nil"/>
              <w:left w:val="nil"/>
              <w:bottom w:val="single" w:sz="8" w:space="0" w:color="auto"/>
              <w:right w:val="single" w:sz="8" w:space="0" w:color="auto"/>
            </w:tcBorders>
            <w:shd w:val="clear" w:color="auto" w:fill="auto"/>
            <w:vAlign w:val="center"/>
            <w:hideMark/>
          </w:tcPr>
          <w:p w:rsidR="004F1718" w:rsidRPr="00370799" w:rsidRDefault="004F1718" w:rsidP="004F1718">
            <w:pPr>
              <w:widowControl/>
              <w:jc w:val="left"/>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 xml:space="preserve">　</w:t>
            </w:r>
          </w:p>
        </w:tc>
      </w:tr>
      <w:tr w:rsidR="004F1718" w:rsidRPr="00370799" w:rsidTr="004F1718">
        <w:trPr>
          <w:trHeight w:val="495"/>
        </w:trPr>
        <w:tc>
          <w:tcPr>
            <w:tcW w:w="1349" w:type="dxa"/>
            <w:vMerge/>
            <w:tcBorders>
              <w:top w:val="nil"/>
              <w:left w:val="single" w:sz="8" w:space="0" w:color="auto"/>
              <w:bottom w:val="single" w:sz="8" w:space="0" w:color="000000"/>
              <w:right w:val="single" w:sz="8" w:space="0" w:color="auto"/>
            </w:tcBorders>
            <w:vAlign w:val="center"/>
            <w:hideMark/>
          </w:tcPr>
          <w:p w:rsidR="004F1718" w:rsidRPr="00370799" w:rsidRDefault="004F1718" w:rsidP="004F1718">
            <w:pPr>
              <w:widowControl/>
              <w:jc w:val="left"/>
              <w:rPr>
                <w:rFonts w:ascii="宋体" w:eastAsia="宋体" w:hAnsi="宋体" w:cs="宋体"/>
                <w:color w:val="000000"/>
                <w:kern w:val="0"/>
                <w:sz w:val="20"/>
                <w:szCs w:val="20"/>
              </w:rPr>
            </w:pPr>
          </w:p>
        </w:tc>
        <w:tc>
          <w:tcPr>
            <w:tcW w:w="1660" w:type="dxa"/>
            <w:tcBorders>
              <w:top w:val="nil"/>
              <w:left w:val="nil"/>
              <w:bottom w:val="single" w:sz="8" w:space="0" w:color="auto"/>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信托、</w:t>
            </w:r>
            <w:proofErr w:type="gramStart"/>
            <w:r w:rsidRPr="00370799">
              <w:rPr>
                <w:rFonts w:ascii="宋体" w:eastAsia="宋体" w:hAnsi="宋体" w:cs="宋体" w:hint="eastAsia"/>
                <w:color w:val="000000"/>
                <w:kern w:val="0"/>
                <w:sz w:val="20"/>
                <w:szCs w:val="20"/>
              </w:rPr>
              <w:t>资管计划</w:t>
            </w:r>
            <w:proofErr w:type="gramEnd"/>
          </w:p>
        </w:tc>
        <w:tc>
          <w:tcPr>
            <w:tcW w:w="1480" w:type="dxa"/>
            <w:tcBorders>
              <w:top w:val="nil"/>
              <w:left w:val="nil"/>
              <w:bottom w:val="single" w:sz="8" w:space="0" w:color="auto"/>
              <w:right w:val="single" w:sz="8" w:space="0" w:color="auto"/>
            </w:tcBorders>
            <w:shd w:val="clear" w:color="auto" w:fill="auto"/>
            <w:noWrap/>
            <w:vAlign w:val="center"/>
            <w:hideMark/>
          </w:tcPr>
          <w:p w:rsidR="004F1718" w:rsidRPr="00370799" w:rsidRDefault="004F1718" w:rsidP="00B9026F">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2</w:t>
            </w:r>
            <w:r w:rsidR="00B9026F">
              <w:rPr>
                <w:rFonts w:ascii="宋体" w:eastAsia="宋体" w:hAnsi="宋体" w:cs="宋体" w:hint="eastAsia"/>
                <w:color w:val="000000"/>
                <w:kern w:val="0"/>
                <w:sz w:val="20"/>
                <w:szCs w:val="20"/>
              </w:rPr>
              <w:t>5</w:t>
            </w:r>
            <w:r w:rsidRPr="00370799">
              <w:rPr>
                <w:rFonts w:ascii="宋体" w:eastAsia="宋体" w:hAnsi="宋体" w:cs="宋体" w:hint="eastAsia"/>
                <w:color w:val="000000"/>
                <w:kern w:val="0"/>
                <w:sz w:val="20"/>
                <w:szCs w:val="20"/>
              </w:rPr>
              <w:t>%</w:t>
            </w:r>
          </w:p>
        </w:tc>
        <w:tc>
          <w:tcPr>
            <w:tcW w:w="1040" w:type="dxa"/>
            <w:tcBorders>
              <w:top w:val="nil"/>
              <w:left w:val="nil"/>
              <w:bottom w:val="single" w:sz="8" w:space="0" w:color="auto"/>
              <w:right w:val="single" w:sz="8" w:space="0" w:color="auto"/>
            </w:tcBorders>
            <w:shd w:val="clear" w:color="auto" w:fill="auto"/>
            <w:noWrap/>
            <w:vAlign w:val="center"/>
            <w:hideMark/>
          </w:tcPr>
          <w:p w:rsidR="004F1718" w:rsidRPr="00370799" w:rsidRDefault="004F1718" w:rsidP="00B9026F">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w:t>
            </w:r>
            <w:r w:rsidR="00B9026F">
              <w:rPr>
                <w:rFonts w:ascii="宋体" w:eastAsia="宋体" w:hAnsi="宋体" w:cs="宋体" w:hint="eastAsia"/>
                <w:color w:val="000000"/>
                <w:kern w:val="0"/>
                <w:sz w:val="20"/>
                <w:szCs w:val="20"/>
              </w:rPr>
              <w:t>5</w:t>
            </w:r>
            <w:r w:rsidRPr="00370799">
              <w:rPr>
                <w:rFonts w:ascii="宋体" w:eastAsia="宋体" w:hAnsi="宋体" w:cs="宋体" w:hint="eastAsia"/>
                <w:color w:val="000000"/>
                <w:kern w:val="0"/>
                <w:sz w:val="20"/>
                <w:szCs w:val="20"/>
              </w:rPr>
              <w:t>%</w:t>
            </w:r>
          </w:p>
        </w:tc>
        <w:tc>
          <w:tcPr>
            <w:tcW w:w="4480" w:type="dxa"/>
            <w:tcBorders>
              <w:top w:val="nil"/>
              <w:left w:val="nil"/>
              <w:bottom w:val="single" w:sz="8" w:space="0" w:color="auto"/>
              <w:right w:val="single" w:sz="8" w:space="0" w:color="auto"/>
            </w:tcBorders>
            <w:shd w:val="clear" w:color="auto" w:fill="auto"/>
            <w:vAlign w:val="center"/>
            <w:hideMark/>
          </w:tcPr>
          <w:p w:rsidR="004F1718" w:rsidRPr="00370799" w:rsidRDefault="004F1718" w:rsidP="004F1718">
            <w:pPr>
              <w:widowControl/>
              <w:jc w:val="left"/>
              <w:rPr>
                <w:rFonts w:ascii="宋体" w:eastAsia="宋体" w:hAnsi="宋体" w:cs="宋体"/>
                <w:color w:val="000000"/>
                <w:kern w:val="0"/>
                <w:sz w:val="20"/>
                <w:szCs w:val="20"/>
              </w:rPr>
            </w:pPr>
            <w:proofErr w:type="gramStart"/>
            <w:r w:rsidRPr="00370799">
              <w:rPr>
                <w:rFonts w:ascii="宋体" w:eastAsia="宋体" w:hAnsi="宋体" w:cs="宋体" w:hint="eastAsia"/>
                <w:color w:val="000000"/>
                <w:kern w:val="0"/>
                <w:sz w:val="20"/>
                <w:szCs w:val="20"/>
              </w:rPr>
              <w:t>资管计划</w:t>
            </w:r>
            <w:proofErr w:type="gramEnd"/>
            <w:r w:rsidRPr="00370799">
              <w:rPr>
                <w:rFonts w:ascii="宋体" w:eastAsia="宋体" w:hAnsi="宋体" w:cs="宋体" w:hint="eastAsia"/>
                <w:color w:val="000000"/>
                <w:kern w:val="0"/>
                <w:sz w:val="20"/>
                <w:szCs w:val="20"/>
              </w:rPr>
              <w:t>为基金子公司发行的类信托产品，产品风险收益特征类似于信托计划</w:t>
            </w:r>
          </w:p>
        </w:tc>
      </w:tr>
      <w:tr w:rsidR="004F1718" w:rsidRPr="00370799" w:rsidTr="004F1718">
        <w:trPr>
          <w:trHeight w:val="285"/>
        </w:trPr>
        <w:tc>
          <w:tcPr>
            <w:tcW w:w="134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股权投资类</w:t>
            </w:r>
          </w:p>
        </w:tc>
        <w:tc>
          <w:tcPr>
            <w:tcW w:w="1660" w:type="dxa"/>
            <w:tcBorders>
              <w:top w:val="nil"/>
              <w:left w:val="nil"/>
              <w:bottom w:val="single" w:sz="8" w:space="0" w:color="auto"/>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股票、阳光私募</w:t>
            </w:r>
          </w:p>
        </w:tc>
        <w:tc>
          <w:tcPr>
            <w:tcW w:w="1480" w:type="dxa"/>
            <w:tcBorders>
              <w:top w:val="nil"/>
              <w:left w:val="nil"/>
              <w:bottom w:val="single" w:sz="8" w:space="0" w:color="auto"/>
              <w:right w:val="single" w:sz="8" w:space="0" w:color="auto"/>
            </w:tcBorders>
            <w:shd w:val="clear" w:color="auto" w:fill="auto"/>
            <w:noWrap/>
            <w:vAlign w:val="center"/>
            <w:hideMark/>
          </w:tcPr>
          <w:p w:rsidR="004F1718" w:rsidRPr="00370799" w:rsidRDefault="004F1718" w:rsidP="00B9026F">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1</w:t>
            </w:r>
            <w:r w:rsidR="00B9026F">
              <w:rPr>
                <w:rFonts w:ascii="宋体" w:eastAsia="宋体" w:hAnsi="宋体" w:cs="宋体" w:hint="eastAsia"/>
                <w:color w:val="000000"/>
                <w:kern w:val="0"/>
                <w:sz w:val="20"/>
                <w:szCs w:val="20"/>
              </w:rPr>
              <w:t>5</w:t>
            </w:r>
            <w:r w:rsidRPr="00370799">
              <w:rPr>
                <w:rFonts w:ascii="宋体" w:eastAsia="宋体" w:hAnsi="宋体" w:cs="宋体" w:hint="eastAsia"/>
                <w:color w:val="000000"/>
                <w:kern w:val="0"/>
                <w:sz w:val="20"/>
                <w:szCs w:val="20"/>
              </w:rPr>
              <w:t>%</w:t>
            </w:r>
          </w:p>
        </w:tc>
        <w:tc>
          <w:tcPr>
            <w:tcW w:w="1040" w:type="dxa"/>
            <w:tcBorders>
              <w:top w:val="nil"/>
              <w:left w:val="nil"/>
              <w:bottom w:val="single" w:sz="8" w:space="0" w:color="auto"/>
              <w:right w:val="single" w:sz="8" w:space="0" w:color="auto"/>
            </w:tcBorders>
            <w:shd w:val="clear" w:color="auto" w:fill="auto"/>
            <w:noWrap/>
            <w:vAlign w:val="center"/>
            <w:hideMark/>
          </w:tcPr>
          <w:p w:rsidR="004F1718" w:rsidRPr="00370799" w:rsidRDefault="00B9026F"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w:t>
            </w:r>
          </w:p>
        </w:tc>
        <w:tc>
          <w:tcPr>
            <w:tcW w:w="4480" w:type="dxa"/>
            <w:tcBorders>
              <w:top w:val="nil"/>
              <w:left w:val="nil"/>
              <w:bottom w:val="single" w:sz="8" w:space="0" w:color="auto"/>
              <w:right w:val="single" w:sz="8" w:space="0" w:color="auto"/>
            </w:tcBorders>
            <w:shd w:val="clear" w:color="auto" w:fill="auto"/>
            <w:vAlign w:val="center"/>
            <w:hideMark/>
          </w:tcPr>
          <w:p w:rsidR="004F1718" w:rsidRPr="00370799" w:rsidRDefault="004F1718" w:rsidP="004F1718">
            <w:pPr>
              <w:widowControl/>
              <w:jc w:val="left"/>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大多数阳光私募产品以股票为投资标的</w:t>
            </w:r>
          </w:p>
        </w:tc>
      </w:tr>
      <w:tr w:rsidR="004F1718" w:rsidRPr="00370799" w:rsidTr="004F1718">
        <w:trPr>
          <w:trHeight w:val="495"/>
        </w:trPr>
        <w:tc>
          <w:tcPr>
            <w:tcW w:w="1349" w:type="dxa"/>
            <w:vMerge/>
            <w:tcBorders>
              <w:top w:val="nil"/>
              <w:left w:val="single" w:sz="8" w:space="0" w:color="auto"/>
              <w:bottom w:val="single" w:sz="8" w:space="0" w:color="000000"/>
              <w:right w:val="single" w:sz="8" w:space="0" w:color="auto"/>
            </w:tcBorders>
            <w:vAlign w:val="center"/>
            <w:hideMark/>
          </w:tcPr>
          <w:p w:rsidR="004F1718" w:rsidRPr="00370799" w:rsidRDefault="004F1718" w:rsidP="004F1718">
            <w:pPr>
              <w:widowControl/>
              <w:jc w:val="left"/>
              <w:rPr>
                <w:rFonts w:ascii="宋体" w:eastAsia="宋体" w:hAnsi="宋体" w:cs="宋体"/>
                <w:color w:val="000000"/>
                <w:kern w:val="0"/>
                <w:sz w:val="20"/>
                <w:szCs w:val="20"/>
              </w:rPr>
            </w:pPr>
          </w:p>
        </w:tc>
        <w:tc>
          <w:tcPr>
            <w:tcW w:w="1660" w:type="dxa"/>
            <w:tcBorders>
              <w:top w:val="nil"/>
              <w:left w:val="nil"/>
              <w:bottom w:val="single" w:sz="8" w:space="0" w:color="auto"/>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PE投资基金</w:t>
            </w:r>
          </w:p>
        </w:tc>
        <w:tc>
          <w:tcPr>
            <w:tcW w:w="1480" w:type="dxa"/>
            <w:tcBorders>
              <w:top w:val="nil"/>
              <w:left w:val="nil"/>
              <w:bottom w:val="single" w:sz="8" w:space="0" w:color="auto"/>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5%</w:t>
            </w:r>
          </w:p>
        </w:tc>
        <w:tc>
          <w:tcPr>
            <w:tcW w:w="1040" w:type="dxa"/>
            <w:tcBorders>
              <w:top w:val="nil"/>
              <w:left w:val="nil"/>
              <w:bottom w:val="single" w:sz="8" w:space="0" w:color="auto"/>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w:t>
            </w:r>
          </w:p>
        </w:tc>
        <w:tc>
          <w:tcPr>
            <w:tcW w:w="4480" w:type="dxa"/>
            <w:tcBorders>
              <w:top w:val="nil"/>
              <w:left w:val="nil"/>
              <w:bottom w:val="single" w:sz="8" w:space="0" w:color="auto"/>
              <w:right w:val="single" w:sz="8" w:space="0" w:color="auto"/>
            </w:tcBorders>
            <w:shd w:val="clear" w:color="auto" w:fill="auto"/>
            <w:vAlign w:val="center"/>
            <w:hideMark/>
          </w:tcPr>
          <w:p w:rsidR="004F1718" w:rsidRPr="00370799" w:rsidRDefault="004F1718" w:rsidP="004F1718">
            <w:pPr>
              <w:widowControl/>
              <w:jc w:val="left"/>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PE投资基金具有期限长、门槛高等特点，建议客户不宜超配</w:t>
            </w:r>
          </w:p>
        </w:tc>
      </w:tr>
      <w:tr w:rsidR="004F1718" w:rsidRPr="00370799" w:rsidTr="004F1718">
        <w:trPr>
          <w:trHeight w:val="285"/>
        </w:trPr>
        <w:tc>
          <w:tcPr>
            <w:tcW w:w="134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物</w:t>
            </w:r>
            <w:proofErr w:type="gramStart"/>
            <w:r w:rsidRPr="00370799">
              <w:rPr>
                <w:rFonts w:ascii="宋体" w:eastAsia="宋体" w:hAnsi="宋体" w:cs="宋体" w:hint="eastAsia"/>
                <w:color w:val="000000"/>
                <w:kern w:val="0"/>
                <w:sz w:val="20"/>
                <w:szCs w:val="20"/>
              </w:rPr>
              <w:t>权投资</w:t>
            </w:r>
            <w:proofErr w:type="gramEnd"/>
            <w:r w:rsidRPr="00370799">
              <w:rPr>
                <w:rFonts w:ascii="宋体" w:eastAsia="宋体" w:hAnsi="宋体" w:cs="宋体" w:hint="eastAsia"/>
                <w:color w:val="000000"/>
                <w:kern w:val="0"/>
                <w:sz w:val="20"/>
                <w:szCs w:val="20"/>
              </w:rPr>
              <w:t>类</w:t>
            </w:r>
          </w:p>
        </w:tc>
        <w:tc>
          <w:tcPr>
            <w:tcW w:w="1660" w:type="dxa"/>
            <w:tcBorders>
              <w:top w:val="nil"/>
              <w:left w:val="nil"/>
              <w:bottom w:val="single" w:sz="8" w:space="0" w:color="auto"/>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房地产</w:t>
            </w:r>
          </w:p>
        </w:tc>
        <w:tc>
          <w:tcPr>
            <w:tcW w:w="1480" w:type="dxa"/>
            <w:tcBorders>
              <w:top w:val="nil"/>
              <w:left w:val="nil"/>
              <w:bottom w:val="single" w:sz="8" w:space="0" w:color="auto"/>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30%</w:t>
            </w:r>
          </w:p>
        </w:tc>
        <w:tc>
          <w:tcPr>
            <w:tcW w:w="1040" w:type="dxa"/>
            <w:tcBorders>
              <w:top w:val="nil"/>
              <w:left w:val="nil"/>
              <w:bottom w:val="single" w:sz="8" w:space="0" w:color="auto"/>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↑5%</w:t>
            </w:r>
          </w:p>
        </w:tc>
        <w:tc>
          <w:tcPr>
            <w:tcW w:w="4480" w:type="dxa"/>
            <w:tcBorders>
              <w:top w:val="nil"/>
              <w:left w:val="nil"/>
              <w:bottom w:val="single" w:sz="8" w:space="0" w:color="auto"/>
              <w:right w:val="single" w:sz="8" w:space="0" w:color="auto"/>
            </w:tcBorders>
            <w:shd w:val="clear" w:color="auto" w:fill="auto"/>
            <w:vAlign w:val="center"/>
            <w:hideMark/>
          </w:tcPr>
          <w:p w:rsidR="004F1718" w:rsidRPr="00370799" w:rsidRDefault="004F1718" w:rsidP="004F1718">
            <w:pPr>
              <w:widowControl/>
              <w:jc w:val="left"/>
              <w:rPr>
                <w:rFonts w:ascii="宋体" w:eastAsia="宋体" w:hAnsi="宋体" w:cs="宋体"/>
                <w:color w:val="000000"/>
                <w:kern w:val="0"/>
                <w:sz w:val="20"/>
                <w:szCs w:val="20"/>
              </w:rPr>
            </w:pPr>
          </w:p>
        </w:tc>
      </w:tr>
      <w:tr w:rsidR="004F1718" w:rsidRPr="00370799" w:rsidTr="004F1718">
        <w:trPr>
          <w:trHeight w:val="285"/>
        </w:trPr>
        <w:tc>
          <w:tcPr>
            <w:tcW w:w="1349" w:type="dxa"/>
            <w:vMerge/>
            <w:tcBorders>
              <w:top w:val="nil"/>
              <w:left w:val="single" w:sz="8" w:space="0" w:color="auto"/>
              <w:bottom w:val="single" w:sz="8" w:space="0" w:color="000000"/>
              <w:right w:val="single" w:sz="8" w:space="0" w:color="auto"/>
            </w:tcBorders>
            <w:vAlign w:val="center"/>
            <w:hideMark/>
          </w:tcPr>
          <w:p w:rsidR="004F1718" w:rsidRPr="00370799" w:rsidRDefault="004F1718" w:rsidP="004F1718">
            <w:pPr>
              <w:widowControl/>
              <w:jc w:val="left"/>
              <w:rPr>
                <w:rFonts w:ascii="宋体" w:eastAsia="宋体" w:hAnsi="宋体" w:cs="宋体"/>
                <w:color w:val="000000"/>
                <w:kern w:val="0"/>
                <w:sz w:val="20"/>
                <w:szCs w:val="20"/>
              </w:rPr>
            </w:pPr>
          </w:p>
        </w:tc>
        <w:tc>
          <w:tcPr>
            <w:tcW w:w="1660" w:type="dxa"/>
            <w:tcBorders>
              <w:top w:val="nil"/>
              <w:left w:val="nil"/>
              <w:bottom w:val="single" w:sz="8" w:space="0" w:color="auto"/>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大宗商品</w:t>
            </w:r>
          </w:p>
        </w:tc>
        <w:tc>
          <w:tcPr>
            <w:tcW w:w="1480" w:type="dxa"/>
            <w:tcBorders>
              <w:top w:val="nil"/>
              <w:left w:val="nil"/>
              <w:bottom w:val="single" w:sz="8" w:space="0" w:color="auto"/>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5%</w:t>
            </w:r>
          </w:p>
        </w:tc>
        <w:tc>
          <w:tcPr>
            <w:tcW w:w="1040" w:type="dxa"/>
            <w:tcBorders>
              <w:top w:val="nil"/>
              <w:left w:val="nil"/>
              <w:bottom w:val="single" w:sz="8" w:space="0" w:color="auto"/>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w:t>
            </w:r>
          </w:p>
        </w:tc>
        <w:tc>
          <w:tcPr>
            <w:tcW w:w="4480" w:type="dxa"/>
            <w:tcBorders>
              <w:top w:val="nil"/>
              <w:left w:val="nil"/>
              <w:bottom w:val="single" w:sz="8" w:space="0" w:color="auto"/>
              <w:right w:val="single" w:sz="8" w:space="0" w:color="auto"/>
            </w:tcBorders>
            <w:shd w:val="clear" w:color="auto" w:fill="auto"/>
            <w:vAlign w:val="center"/>
            <w:hideMark/>
          </w:tcPr>
          <w:p w:rsidR="004F1718" w:rsidRPr="00370799" w:rsidRDefault="004F1718" w:rsidP="004F1718">
            <w:pPr>
              <w:widowControl/>
              <w:jc w:val="left"/>
              <w:rPr>
                <w:rFonts w:ascii="宋体" w:eastAsia="宋体" w:hAnsi="宋体" w:cs="宋体"/>
                <w:color w:val="000000"/>
                <w:kern w:val="0"/>
                <w:sz w:val="20"/>
                <w:szCs w:val="20"/>
              </w:rPr>
            </w:pPr>
          </w:p>
        </w:tc>
      </w:tr>
      <w:tr w:rsidR="004F1718" w:rsidRPr="00370799" w:rsidTr="004F1718">
        <w:trPr>
          <w:trHeight w:val="285"/>
        </w:trPr>
        <w:tc>
          <w:tcPr>
            <w:tcW w:w="134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现金类</w:t>
            </w:r>
          </w:p>
        </w:tc>
        <w:tc>
          <w:tcPr>
            <w:tcW w:w="1660" w:type="dxa"/>
            <w:tcBorders>
              <w:top w:val="nil"/>
              <w:left w:val="nil"/>
              <w:bottom w:val="single" w:sz="8" w:space="0" w:color="auto"/>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银行存款</w:t>
            </w:r>
          </w:p>
        </w:tc>
        <w:tc>
          <w:tcPr>
            <w:tcW w:w="1480" w:type="dxa"/>
            <w:tcBorders>
              <w:top w:val="nil"/>
              <w:left w:val="nil"/>
              <w:bottom w:val="single" w:sz="8" w:space="0" w:color="auto"/>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3%</w:t>
            </w:r>
          </w:p>
        </w:tc>
        <w:tc>
          <w:tcPr>
            <w:tcW w:w="1040" w:type="dxa"/>
            <w:tcBorders>
              <w:top w:val="nil"/>
              <w:left w:val="nil"/>
              <w:bottom w:val="single" w:sz="8" w:space="0" w:color="auto"/>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↓2%</w:t>
            </w:r>
          </w:p>
        </w:tc>
        <w:tc>
          <w:tcPr>
            <w:tcW w:w="4480" w:type="dxa"/>
            <w:tcBorders>
              <w:top w:val="nil"/>
              <w:left w:val="nil"/>
              <w:bottom w:val="single" w:sz="8" w:space="0" w:color="auto"/>
              <w:right w:val="single" w:sz="8" w:space="0" w:color="auto"/>
            </w:tcBorders>
            <w:shd w:val="clear" w:color="auto" w:fill="auto"/>
            <w:vAlign w:val="center"/>
            <w:hideMark/>
          </w:tcPr>
          <w:p w:rsidR="004F1718" w:rsidRPr="00370799" w:rsidRDefault="004F1718" w:rsidP="004F1718">
            <w:pPr>
              <w:widowControl/>
              <w:jc w:val="left"/>
              <w:rPr>
                <w:rFonts w:ascii="宋体" w:eastAsia="宋体" w:hAnsi="宋体" w:cs="宋体"/>
                <w:color w:val="000000"/>
                <w:kern w:val="0"/>
                <w:sz w:val="20"/>
                <w:szCs w:val="20"/>
              </w:rPr>
            </w:pPr>
          </w:p>
        </w:tc>
      </w:tr>
      <w:tr w:rsidR="004F1718" w:rsidRPr="00370799" w:rsidTr="004F1718">
        <w:trPr>
          <w:trHeight w:val="285"/>
        </w:trPr>
        <w:tc>
          <w:tcPr>
            <w:tcW w:w="1349" w:type="dxa"/>
            <w:vMerge/>
            <w:tcBorders>
              <w:top w:val="nil"/>
              <w:left w:val="single" w:sz="8" w:space="0" w:color="auto"/>
              <w:bottom w:val="single" w:sz="8" w:space="0" w:color="000000"/>
              <w:right w:val="single" w:sz="8" w:space="0" w:color="auto"/>
            </w:tcBorders>
            <w:vAlign w:val="center"/>
            <w:hideMark/>
          </w:tcPr>
          <w:p w:rsidR="004F1718" w:rsidRPr="00370799" w:rsidRDefault="004F1718" w:rsidP="004F1718">
            <w:pPr>
              <w:widowControl/>
              <w:jc w:val="left"/>
              <w:rPr>
                <w:rFonts w:ascii="宋体" w:eastAsia="宋体" w:hAnsi="宋体" w:cs="宋体"/>
                <w:color w:val="000000"/>
                <w:kern w:val="0"/>
                <w:sz w:val="20"/>
                <w:szCs w:val="20"/>
              </w:rPr>
            </w:pPr>
          </w:p>
        </w:tc>
        <w:tc>
          <w:tcPr>
            <w:tcW w:w="1660" w:type="dxa"/>
            <w:tcBorders>
              <w:top w:val="nil"/>
              <w:left w:val="nil"/>
              <w:bottom w:val="single" w:sz="8" w:space="0" w:color="auto"/>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货币基金</w:t>
            </w:r>
          </w:p>
        </w:tc>
        <w:tc>
          <w:tcPr>
            <w:tcW w:w="1480" w:type="dxa"/>
            <w:tcBorders>
              <w:top w:val="nil"/>
              <w:left w:val="nil"/>
              <w:bottom w:val="single" w:sz="8" w:space="0" w:color="auto"/>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8%</w:t>
            </w:r>
          </w:p>
        </w:tc>
        <w:tc>
          <w:tcPr>
            <w:tcW w:w="1040" w:type="dxa"/>
            <w:tcBorders>
              <w:top w:val="nil"/>
              <w:left w:val="nil"/>
              <w:bottom w:val="single" w:sz="8" w:space="0" w:color="auto"/>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↓2%</w:t>
            </w:r>
          </w:p>
        </w:tc>
        <w:tc>
          <w:tcPr>
            <w:tcW w:w="4480" w:type="dxa"/>
            <w:tcBorders>
              <w:top w:val="nil"/>
              <w:left w:val="nil"/>
              <w:bottom w:val="single" w:sz="8" w:space="0" w:color="auto"/>
              <w:right w:val="single" w:sz="8" w:space="0" w:color="auto"/>
            </w:tcBorders>
            <w:shd w:val="clear" w:color="auto" w:fill="auto"/>
            <w:vAlign w:val="center"/>
            <w:hideMark/>
          </w:tcPr>
          <w:p w:rsidR="004F1718" w:rsidRPr="00370799" w:rsidRDefault="004F1718" w:rsidP="004F1718">
            <w:pPr>
              <w:widowControl/>
              <w:jc w:val="left"/>
              <w:rPr>
                <w:rFonts w:ascii="宋体" w:eastAsia="宋体" w:hAnsi="宋体" w:cs="宋体"/>
                <w:color w:val="000000"/>
                <w:kern w:val="0"/>
                <w:sz w:val="20"/>
                <w:szCs w:val="20"/>
              </w:rPr>
            </w:pPr>
          </w:p>
        </w:tc>
      </w:tr>
      <w:tr w:rsidR="004F1718" w:rsidRPr="00370799" w:rsidTr="004F1718">
        <w:trPr>
          <w:trHeight w:val="285"/>
        </w:trPr>
        <w:tc>
          <w:tcPr>
            <w:tcW w:w="1349" w:type="dxa"/>
            <w:vMerge/>
            <w:tcBorders>
              <w:top w:val="nil"/>
              <w:left w:val="single" w:sz="8" w:space="0" w:color="auto"/>
              <w:bottom w:val="single" w:sz="8" w:space="0" w:color="000000"/>
              <w:right w:val="single" w:sz="8" w:space="0" w:color="auto"/>
            </w:tcBorders>
            <w:vAlign w:val="center"/>
            <w:hideMark/>
          </w:tcPr>
          <w:p w:rsidR="004F1718" w:rsidRPr="00370799" w:rsidRDefault="004F1718" w:rsidP="004F1718">
            <w:pPr>
              <w:widowControl/>
              <w:jc w:val="left"/>
              <w:rPr>
                <w:rFonts w:ascii="宋体" w:eastAsia="宋体" w:hAnsi="宋体" w:cs="宋体"/>
                <w:color w:val="000000"/>
                <w:kern w:val="0"/>
                <w:sz w:val="20"/>
                <w:szCs w:val="20"/>
              </w:rPr>
            </w:pPr>
          </w:p>
        </w:tc>
        <w:tc>
          <w:tcPr>
            <w:tcW w:w="1660" w:type="dxa"/>
            <w:tcBorders>
              <w:top w:val="nil"/>
              <w:left w:val="nil"/>
              <w:bottom w:val="single" w:sz="8" w:space="0" w:color="auto"/>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短期银行理财</w:t>
            </w:r>
          </w:p>
        </w:tc>
        <w:tc>
          <w:tcPr>
            <w:tcW w:w="1480" w:type="dxa"/>
            <w:tcBorders>
              <w:top w:val="nil"/>
              <w:left w:val="nil"/>
              <w:bottom w:val="single" w:sz="8" w:space="0" w:color="auto"/>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4%</w:t>
            </w:r>
          </w:p>
        </w:tc>
        <w:tc>
          <w:tcPr>
            <w:tcW w:w="1040" w:type="dxa"/>
            <w:tcBorders>
              <w:top w:val="nil"/>
              <w:left w:val="nil"/>
              <w:bottom w:val="single" w:sz="8" w:space="0" w:color="auto"/>
              <w:right w:val="single" w:sz="8" w:space="0" w:color="auto"/>
            </w:tcBorders>
            <w:shd w:val="clear" w:color="auto" w:fill="auto"/>
            <w:noWrap/>
            <w:vAlign w:val="center"/>
            <w:hideMark/>
          </w:tcPr>
          <w:p w:rsidR="004F1718" w:rsidRPr="00370799" w:rsidRDefault="004F1718" w:rsidP="004F1718">
            <w:pPr>
              <w:widowControl/>
              <w:jc w:val="center"/>
              <w:rPr>
                <w:rFonts w:ascii="宋体" w:eastAsia="宋体" w:hAnsi="宋体" w:cs="宋体"/>
                <w:color w:val="000000"/>
                <w:kern w:val="0"/>
                <w:sz w:val="20"/>
                <w:szCs w:val="20"/>
              </w:rPr>
            </w:pPr>
            <w:r w:rsidRPr="00370799">
              <w:rPr>
                <w:rFonts w:ascii="宋体" w:eastAsia="宋体" w:hAnsi="宋体" w:cs="宋体" w:hint="eastAsia"/>
                <w:color w:val="000000"/>
                <w:kern w:val="0"/>
                <w:sz w:val="20"/>
                <w:szCs w:val="20"/>
              </w:rPr>
              <w:t>↓1%</w:t>
            </w:r>
          </w:p>
        </w:tc>
        <w:tc>
          <w:tcPr>
            <w:tcW w:w="4480" w:type="dxa"/>
            <w:tcBorders>
              <w:top w:val="nil"/>
              <w:left w:val="nil"/>
              <w:bottom w:val="single" w:sz="8" w:space="0" w:color="auto"/>
              <w:right w:val="single" w:sz="8" w:space="0" w:color="auto"/>
            </w:tcBorders>
            <w:shd w:val="clear" w:color="auto" w:fill="auto"/>
            <w:vAlign w:val="center"/>
            <w:hideMark/>
          </w:tcPr>
          <w:p w:rsidR="004F1718" w:rsidRPr="00370799" w:rsidRDefault="004F1718" w:rsidP="004F1718">
            <w:pPr>
              <w:widowControl/>
              <w:jc w:val="left"/>
              <w:rPr>
                <w:rFonts w:ascii="宋体" w:eastAsia="宋体" w:hAnsi="宋体" w:cs="宋体"/>
                <w:color w:val="000000"/>
                <w:kern w:val="0"/>
                <w:sz w:val="20"/>
                <w:szCs w:val="20"/>
              </w:rPr>
            </w:pPr>
          </w:p>
        </w:tc>
      </w:tr>
    </w:tbl>
    <w:p w:rsidR="004F1718" w:rsidRDefault="00C651EA" w:rsidP="004F1718">
      <w:pPr>
        <w:spacing w:line="360" w:lineRule="auto"/>
        <w:rPr>
          <w:rFonts w:asciiTheme="minorEastAsia" w:hAnsiTheme="minorEastAsia"/>
          <w:szCs w:val="21"/>
        </w:rPr>
      </w:pPr>
      <w:r>
        <w:rPr>
          <w:rFonts w:asciiTheme="minorEastAsia" w:hAnsiTheme="minorEastAsia" w:hint="eastAsia"/>
          <w:szCs w:val="21"/>
        </w:rPr>
        <w:t>（二）、外币资产配置建议</w:t>
      </w:r>
    </w:p>
    <w:p w:rsidR="00C651EA" w:rsidRDefault="00C651EA" w:rsidP="00C651EA">
      <w:pPr>
        <w:spacing w:line="360" w:lineRule="auto"/>
        <w:ind w:firstLineChars="200" w:firstLine="420"/>
        <w:rPr>
          <w:szCs w:val="21"/>
        </w:rPr>
      </w:pPr>
      <w:r w:rsidRPr="00FB1EEB">
        <w:rPr>
          <w:rFonts w:hint="eastAsia"/>
          <w:szCs w:val="21"/>
        </w:rPr>
        <w:t>2013</w:t>
      </w:r>
      <w:r w:rsidRPr="00FB1EEB">
        <w:rPr>
          <w:rFonts w:hint="eastAsia"/>
          <w:szCs w:val="21"/>
        </w:rPr>
        <w:t>年以来，全球经济增长略有好转，经济增长呈分化趋势。美国处于</w:t>
      </w:r>
      <w:r w:rsidRPr="00FB1EEB">
        <w:rPr>
          <w:rFonts w:hint="eastAsia"/>
          <w:bCs/>
          <w:szCs w:val="21"/>
        </w:rPr>
        <w:t>内需型复苏</w:t>
      </w:r>
      <w:r w:rsidRPr="00FB1EEB">
        <w:rPr>
          <w:rFonts w:hint="eastAsia"/>
          <w:szCs w:val="21"/>
        </w:rPr>
        <w:t>过程中，复苏态势逐步增强；日本处于</w:t>
      </w:r>
      <w:r w:rsidRPr="00FB1EEB">
        <w:rPr>
          <w:rFonts w:hint="eastAsia"/>
          <w:bCs/>
          <w:szCs w:val="21"/>
        </w:rPr>
        <w:t>刺激型复苏</w:t>
      </w:r>
      <w:r w:rsidRPr="00FB1EEB">
        <w:rPr>
          <w:rFonts w:hint="eastAsia"/>
          <w:szCs w:val="21"/>
        </w:rPr>
        <w:t>过程中，短期增长强劲；而欧洲仍处于</w:t>
      </w:r>
      <w:r w:rsidRPr="00FB1EEB">
        <w:rPr>
          <w:rFonts w:hint="eastAsia"/>
          <w:bCs/>
          <w:szCs w:val="21"/>
        </w:rPr>
        <w:t>债务型衰退</w:t>
      </w:r>
      <w:r w:rsidRPr="00FB1EEB">
        <w:rPr>
          <w:rFonts w:hint="eastAsia"/>
          <w:szCs w:val="21"/>
        </w:rPr>
        <w:t>过程中，经济增长低迷；新兴经济体处于</w:t>
      </w:r>
      <w:r w:rsidRPr="00FB1EEB">
        <w:rPr>
          <w:rFonts w:hint="eastAsia"/>
          <w:bCs/>
          <w:szCs w:val="21"/>
        </w:rPr>
        <w:t>结构性放缓</w:t>
      </w:r>
      <w:r w:rsidRPr="00FB1EEB">
        <w:rPr>
          <w:rFonts w:hint="eastAsia"/>
          <w:szCs w:val="21"/>
        </w:rPr>
        <w:t>过程中，经济潜在增速放缓。展望</w:t>
      </w:r>
      <w:r>
        <w:rPr>
          <w:rFonts w:hint="eastAsia"/>
          <w:szCs w:val="21"/>
        </w:rPr>
        <w:t>四季度，全球经济</w:t>
      </w:r>
      <w:r w:rsidRPr="00FB1EEB">
        <w:rPr>
          <w:rFonts w:hint="eastAsia"/>
          <w:szCs w:val="21"/>
        </w:rPr>
        <w:t>将</w:t>
      </w:r>
      <w:r>
        <w:rPr>
          <w:rFonts w:hint="eastAsia"/>
          <w:szCs w:val="21"/>
        </w:rPr>
        <w:t>由</w:t>
      </w:r>
      <w:r w:rsidRPr="00FB1EEB">
        <w:rPr>
          <w:rFonts w:hint="eastAsia"/>
          <w:szCs w:val="21"/>
        </w:rPr>
        <w:t>疲弱</w:t>
      </w:r>
      <w:r>
        <w:rPr>
          <w:rFonts w:hint="eastAsia"/>
          <w:szCs w:val="21"/>
        </w:rPr>
        <w:t>转向回暖</w:t>
      </w:r>
      <w:r w:rsidRPr="00FB1EEB">
        <w:rPr>
          <w:rFonts w:hint="eastAsia"/>
          <w:szCs w:val="21"/>
        </w:rPr>
        <w:t>，</w:t>
      </w:r>
      <w:r>
        <w:rPr>
          <w:rFonts w:hint="eastAsia"/>
          <w:szCs w:val="21"/>
        </w:rPr>
        <w:t>但依然存在一定不稳定因素，包括：</w:t>
      </w:r>
      <w:r w:rsidRPr="00FB1EEB">
        <w:rPr>
          <w:rFonts w:hint="eastAsia"/>
          <w:szCs w:val="21"/>
        </w:rPr>
        <w:t>美联储退出量化宽松政策、日元大幅贬值以及新兴经济体潜在增速放缓</w:t>
      </w:r>
      <w:r>
        <w:rPr>
          <w:rFonts w:hint="eastAsia"/>
          <w:szCs w:val="21"/>
        </w:rPr>
        <w:t>等</w:t>
      </w:r>
      <w:r w:rsidRPr="00FB1EEB">
        <w:rPr>
          <w:rFonts w:hint="eastAsia"/>
          <w:szCs w:val="21"/>
        </w:rPr>
        <w:t>。</w:t>
      </w:r>
    </w:p>
    <w:p w:rsidR="004F1718" w:rsidRDefault="00C651EA" w:rsidP="00C651EA">
      <w:pPr>
        <w:spacing w:line="360" w:lineRule="auto"/>
        <w:ind w:firstLineChars="200" w:firstLine="420"/>
        <w:rPr>
          <w:rFonts w:asciiTheme="minorEastAsia" w:hAnsiTheme="minorEastAsia"/>
          <w:szCs w:val="21"/>
        </w:rPr>
      </w:pPr>
      <w:r>
        <w:rPr>
          <w:rFonts w:hint="eastAsia"/>
          <w:szCs w:val="21"/>
        </w:rPr>
        <w:t>考虑到美国经济复苏动力强劲，劳动力市场状况逐渐改善，建议投资者重点配置美国市场上的各类金融产品，分享美国经济复苏带来的红利。具体资产配置比例以</w:t>
      </w:r>
      <w:r>
        <w:rPr>
          <w:rFonts w:hint="eastAsia"/>
          <w:szCs w:val="21"/>
        </w:rPr>
        <w:t>10%</w:t>
      </w:r>
      <w:r>
        <w:rPr>
          <w:rFonts w:hint="eastAsia"/>
          <w:szCs w:val="21"/>
        </w:rPr>
        <w:t>为宜。</w:t>
      </w:r>
    </w:p>
    <w:p w:rsidR="00006961" w:rsidRDefault="00006961" w:rsidP="00EE73D9">
      <w:pPr>
        <w:spacing w:line="360" w:lineRule="auto"/>
        <w:rPr>
          <w:rFonts w:asciiTheme="minorEastAsia" w:hAnsiTheme="minorEastAsia"/>
          <w:szCs w:val="21"/>
        </w:rPr>
      </w:pPr>
    </w:p>
    <w:p w:rsidR="00006961" w:rsidRDefault="00006961" w:rsidP="00EE73D9">
      <w:pPr>
        <w:spacing w:line="360" w:lineRule="auto"/>
        <w:rPr>
          <w:rFonts w:asciiTheme="minorEastAsia" w:hAnsiTheme="minorEastAsia"/>
          <w:szCs w:val="21"/>
        </w:rPr>
      </w:pPr>
    </w:p>
    <w:p w:rsidR="00006961" w:rsidRDefault="00006961" w:rsidP="00EE73D9">
      <w:pPr>
        <w:spacing w:line="360" w:lineRule="auto"/>
        <w:rPr>
          <w:rFonts w:asciiTheme="minorEastAsia" w:hAnsiTheme="minorEastAsia"/>
          <w:szCs w:val="21"/>
        </w:rPr>
      </w:pPr>
    </w:p>
    <w:p w:rsidR="00CD07F8" w:rsidRDefault="00CD07F8" w:rsidP="00EE73D9">
      <w:pPr>
        <w:spacing w:line="360" w:lineRule="auto"/>
        <w:rPr>
          <w:rFonts w:asciiTheme="minorEastAsia" w:hAnsiTheme="minorEastAsia"/>
          <w:szCs w:val="21"/>
        </w:rPr>
      </w:pPr>
    </w:p>
    <w:p w:rsidR="00CD07F8" w:rsidRDefault="00CD07F8" w:rsidP="00EE73D9">
      <w:pPr>
        <w:spacing w:line="360" w:lineRule="auto"/>
        <w:rPr>
          <w:rFonts w:asciiTheme="minorEastAsia" w:hAnsiTheme="minorEastAsia"/>
          <w:szCs w:val="21"/>
        </w:rPr>
      </w:pPr>
    </w:p>
    <w:p w:rsidR="00CD07F8" w:rsidRDefault="00CD07F8" w:rsidP="00EE73D9">
      <w:pPr>
        <w:spacing w:line="360" w:lineRule="auto"/>
        <w:rPr>
          <w:rFonts w:asciiTheme="minorEastAsia" w:hAnsiTheme="minorEastAsia"/>
          <w:szCs w:val="21"/>
        </w:rPr>
      </w:pPr>
    </w:p>
    <w:p w:rsidR="00CD07F8" w:rsidRDefault="00CD07F8" w:rsidP="00EE73D9">
      <w:pPr>
        <w:spacing w:line="360" w:lineRule="auto"/>
        <w:rPr>
          <w:rFonts w:asciiTheme="minorEastAsia" w:hAnsiTheme="minorEastAsia"/>
          <w:szCs w:val="21"/>
        </w:rPr>
      </w:pPr>
    </w:p>
    <w:p w:rsidR="00CD07F8" w:rsidRDefault="00CD07F8" w:rsidP="00EE73D9">
      <w:pPr>
        <w:spacing w:line="360" w:lineRule="auto"/>
        <w:rPr>
          <w:rFonts w:asciiTheme="minorEastAsia" w:hAnsiTheme="minorEastAsia"/>
          <w:szCs w:val="21"/>
        </w:rPr>
      </w:pPr>
    </w:p>
    <w:p w:rsidR="00CD07F8" w:rsidRDefault="00AA6E68">
      <w:pPr>
        <w:widowControl/>
        <w:jc w:val="left"/>
        <w:rPr>
          <w:rFonts w:asciiTheme="minorEastAsia" w:hAnsiTheme="minorEastAsia"/>
          <w:szCs w:val="21"/>
        </w:rPr>
      </w:pPr>
      <w:r>
        <w:rPr>
          <w:rFonts w:asciiTheme="minorEastAsia" w:hAnsiTheme="minorEastAsia"/>
          <w:noProof/>
          <w:szCs w:val="21"/>
        </w:rPr>
        <w:pict>
          <v:shape id="_x0000_s2149" type="#_x0000_t202" style="position:absolute;margin-left:231.15pt;margin-top:113.5pt;width:58.5pt;height:21pt;z-index:251922432" stroked="f">
            <v:textbox>
              <w:txbxContent>
                <w:p w:rsidR="00CD07F8" w:rsidRDefault="00CD07F8" w:rsidP="00CD07F8">
                  <w:pPr>
                    <w:jc w:val="center"/>
                  </w:pPr>
                  <w:r>
                    <w:rPr>
                      <w:rFonts w:hint="eastAsia"/>
                    </w:rPr>
                    <w:t>第</w:t>
                  </w:r>
                  <w:r>
                    <w:rPr>
                      <w:rFonts w:hint="eastAsia"/>
                    </w:rPr>
                    <w:t>32</w:t>
                  </w:r>
                  <w:r>
                    <w:rPr>
                      <w:rFonts w:hint="eastAsia"/>
                    </w:rPr>
                    <w:t>页</w:t>
                  </w:r>
                </w:p>
              </w:txbxContent>
            </v:textbox>
          </v:shape>
        </w:pict>
      </w:r>
      <w:r w:rsidR="00CD07F8">
        <w:rPr>
          <w:rFonts w:asciiTheme="minorEastAsia" w:hAnsiTheme="minorEastAsia"/>
          <w:szCs w:val="21"/>
        </w:rPr>
        <w:br w:type="page"/>
      </w:r>
    </w:p>
    <w:p w:rsidR="00CD07F8" w:rsidRDefault="00CD07F8" w:rsidP="00EE73D9">
      <w:pPr>
        <w:spacing w:line="360" w:lineRule="auto"/>
        <w:rPr>
          <w:rFonts w:asciiTheme="minorEastAsia" w:hAnsiTheme="minorEastAsia"/>
          <w:szCs w:val="21"/>
        </w:rPr>
      </w:pPr>
      <w:r>
        <w:rPr>
          <w:rFonts w:asciiTheme="minorEastAsia" w:hAnsiTheme="minorEastAsia" w:hint="eastAsia"/>
          <w:noProof/>
          <w:szCs w:val="21"/>
        </w:rPr>
        <w:lastRenderedPageBreak/>
        <w:drawing>
          <wp:anchor distT="0" distB="0" distL="114300" distR="114300" simplePos="0" relativeHeight="251879424" behindDoc="1" locked="0" layoutInCell="1" allowOverlap="1">
            <wp:simplePos x="0" y="0"/>
            <wp:positionH relativeFrom="column">
              <wp:posOffset>-674370</wp:posOffset>
            </wp:positionH>
            <wp:positionV relativeFrom="paragraph">
              <wp:posOffset>-1430655</wp:posOffset>
            </wp:positionV>
            <wp:extent cx="7553325" cy="10677525"/>
            <wp:effectExtent l="19050" t="0" r="9525" b="0"/>
            <wp:wrapNone/>
            <wp:docPr id="127" name="图片 43" descr="研究报告模板-4P-转曲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4P-转曲_页面_3.jpg"/>
                    <pic:cNvPicPr/>
                  </pic:nvPicPr>
                  <pic:blipFill>
                    <a:blip r:embed="rId77" cstate="print"/>
                    <a:stretch>
                      <a:fillRect/>
                    </a:stretch>
                  </pic:blipFill>
                  <pic:spPr>
                    <a:xfrm>
                      <a:off x="0" y="0"/>
                      <a:ext cx="7553325" cy="10677525"/>
                    </a:xfrm>
                    <a:prstGeom prst="rect">
                      <a:avLst/>
                    </a:prstGeom>
                  </pic:spPr>
                </pic:pic>
              </a:graphicData>
            </a:graphic>
          </wp:anchor>
        </w:drawing>
      </w:r>
    </w:p>
    <w:p w:rsidR="00CD07F8" w:rsidRDefault="00CD07F8" w:rsidP="00EE73D9">
      <w:pPr>
        <w:spacing w:line="360" w:lineRule="auto"/>
        <w:rPr>
          <w:rFonts w:asciiTheme="minorEastAsia" w:hAnsiTheme="minorEastAsia"/>
          <w:szCs w:val="21"/>
        </w:rPr>
      </w:pPr>
    </w:p>
    <w:p w:rsidR="00CD07F8" w:rsidRDefault="00CD07F8" w:rsidP="00EE73D9">
      <w:pPr>
        <w:spacing w:line="360" w:lineRule="auto"/>
        <w:rPr>
          <w:rFonts w:asciiTheme="minorEastAsia" w:hAnsiTheme="minorEastAsia"/>
          <w:szCs w:val="21"/>
        </w:rPr>
      </w:pPr>
    </w:p>
    <w:p w:rsidR="00CD07F8" w:rsidRDefault="00CD07F8" w:rsidP="00EE73D9">
      <w:pPr>
        <w:spacing w:line="360" w:lineRule="auto"/>
        <w:rPr>
          <w:rFonts w:asciiTheme="minorEastAsia" w:hAnsiTheme="minorEastAsia"/>
          <w:szCs w:val="21"/>
        </w:rPr>
      </w:pPr>
    </w:p>
    <w:p w:rsidR="00CD07F8" w:rsidRDefault="00CD07F8" w:rsidP="00EE73D9">
      <w:pPr>
        <w:spacing w:line="360" w:lineRule="auto"/>
        <w:rPr>
          <w:rFonts w:asciiTheme="minorEastAsia" w:hAnsiTheme="minorEastAsia"/>
          <w:szCs w:val="21"/>
        </w:rPr>
      </w:pPr>
    </w:p>
    <w:p w:rsidR="00006961" w:rsidRDefault="00006961" w:rsidP="00EE73D9">
      <w:pPr>
        <w:spacing w:line="360" w:lineRule="auto"/>
        <w:rPr>
          <w:rFonts w:asciiTheme="minorEastAsia" w:hAnsiTheme="minorEastAsia"/>
          <w:szCs w:val="21"/>
        </w:rPr>
      </w:pPr>
    </w:p>
    <w:p w:rsidR="00221F1E" w:rsidRDefault="00221F1E" w:rsidP="00232598">
      <w:pPr>
        <w:spacing w:line="360" w:lineRule="auto"/>
        <w:jc w:val="center"/>
        <w:rPr>
          <w:b/>
          <w:sz w:val="48"/>
          <w:szCs w:val="48"/>
        </w:rPr>
      </w:pPr>
    </w:p>
    <w:p w:rsidR="00D30D0E" w:rsidRDefault="00D30D0E" w:rsidP="006572B2">
      <w:pPr>
        <w:spacing w:line="360" w:lineRule="auto"/>
        <w:rPr>
          <w:b/>
          <w:sz w:val="48"/>
          <w:szCs w:val="48"/>
        </w:rPr>
      </w:pPr>
    </w:p>
    <w:p w:rsidR="00D30D0E" w:rsidRDefault="00AA6E68">
      <w:pPr>
        <w:widowControl/>
        <w:jc w:val="left"/>
        <w:rPr>
          <w:b/>
          <w:sz w:val="48"/>
          <w:szCs w:val="48"/>
        </w:rPr>
      </w:pPr>
      <w:r w:rsidRPr="00AA6E68">
        <w:rPr>
          <w:rFonts w:asciiTheme="minorEastAsia" w:hAnsiTheme="minorEastAsia"/>
          <w:noProof/>
          <w:szCs w:val="21"/>
        </w:rPr>
        <w:pict>
          <v:shape id="_x0000_s2150" type="#_x0000_t202" style="position:absolute;margin-left:231.9pt;margin-top:480.3pt;width:58.5pt;height:21pt;z-index:251923456" stroked="f">
            <v:textbox>
              <w:txbxContent>
                <w:p w:rsidR="00CD07F8" w:rsidRDefault="00CD07F8" w:rsidP="00CD07F8">
                  <w:pPr>
                    <w:jc w:val="center"/>
                  </w:pPr>
                  <w:r>
                    <w:rPr>
                      <w:rFonts w:hint="eastAsia"/>
                    </w:rPr>
                    <w:t>第</w:t>
                  </w:r>
                  <w:r>
                    <w:rPr>
                      <w:rFonts w:hint="eastAsia"/>
                    </w:rPr>
                    <w:t>33</w:t>
                  </w:r>
                  <w:r>
                    <w:rPr>
                      <w:rFonts w:hint="eastAsia"/>
                    </w:rPr>
                    <w:t>页</w:t>
                  </w:r>
                </w:p>
              </w:txbxContent>
            </v:textbox>
          </v:shape>
        </w:pict>
      </w:r>
      <w:r>
        <w:rPr>
          <w:b/>
          <w:noProof/>
          <w:sz w:val="48"/>
          <w:szCs w:val="48"/>
        </w:rPr>
        <w:pict>
          <v:shape id="_x0000_s2146" type="#_x0000_t202" style="position:absolute;margin-left:224.4pt;margin-top:649.8pt;width:1in;height:24.75pt;z-index:251915264" strokecolor="white [3212]">
            <v:textbox>
              <w:txbxContent>
                <w:p w:rsidR="00832D5A" w:rsidRDefault="00832D5A" w:rsidP="009E2893">
                  <w:pPr>
                    <w:jc w:val="center"/>
                  </w:pPr>
                  <w:r>
                    <w:rPr>
                      <w:rFonts w:hint="eastAsia"/>
                    </w:rPr>
                    <w:t>第</w:t>
                  </w:r>
                  <w:r>
                    <w:rPr>
                      <w:rFonts w:hint="eastAsia"/>
                    </w:rPr>
                    <w:t>32</w:t>
                  </w:r>
                  <w:r>
                    <w:rPr>
                      <w:rFonts w:hint="eastAsia"/>
                    </w:rPr>
                    <w:t>页</w:t>
                  </w:r>
                </w:p>
              </w:txbxContent>
            </v:textbox>
          </v:shape>
        </w:pict>
      </w:r>
      <w:r w:rsidR="00D30D0E">
        <w:rPr>
          <w:b/>
          <w:sz w:val="48"/>
          <w:szCs w:val="48"/>
        </w:rPr>
        <w:br w:type="page"/>
      </w:r>
    </w:p>
    <w:p w:rsidR="00357C93" w:rsidRPr="00A773F1" w:rsidRDefault="006E687C" w:rsidP="006572B2">
      <w:pPr>
        <w:spacing w:line="360" w:lineRule="auto"/>
        <w:rPr>
          <w:b/>
          <w:sz w:val="48"/>
          <w:szCs w:val="48"/>
        </w:rPr>
      </w:pPr>
      <w:r>
        <w:rPr>
          <w:b/>
          <w:noProof/>
          <w:sz w:val="48"/>
          <w:szCs w:val="48"/>
        </w:rPr>
        <w:lastRenderedPageBreak/>
        <w:drawing>
          <wp:anchor distT="0" distB="0" distL="114300" distR="114300" simplePos="0" relativeHeight="251918336" behindDoc="1" locked="0" layoutInCell="1" allowOverlap="1">
            <wp:simplePos x="0" y="0"/>
            <wp:positionH relativeFrom="column">
              <wp:posOffset>-672191</wp:posOffset>
            </wp:positionH>
            <wp:positionV relativeFrom="paragraph">
              <wp:posOffset>-1421130</wp:posOffset>
            </wp:positionV>
            <wp:extent cx="7553325" cy="10677525"/>
            <wp:effectExtent l="19050" t="0" r="9525" b="0"/>
            <wp:wrapNone/>
            <wp:docPr id="1" name="图片 0" descr="研究报告模板-转曲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研究报告模板-转曲_页面_4.jpg"/>
                    <pic:cNvPicPr/>
                  </pic:nvPicPr>
                  <pic:blipFill>
                    <a:blip r:embed="rId78" cstate="print"/>
                    <a:stretch>
                      <a:fillRect/>
                    </a:stretch>
                  </pic:blipFill>
                  <pic:spPr>
                    <a:xfrm>
                      <a:off x="0" y="0"/>
                      <a:ext cx="7553325" cy="10677525"/>
                    </a:xfrm>
                    <a:prstGeom prst="rect">
                      <a:avLst/>
                    </a:prstGeom>
                  </pic:spPr>
                </pic:pic>
              </a:graphicData>
            </a:graphic>
          </wp:anchor>
        </w:drawing>
      </w:r>
    </w:p>
    <w:sectPr w:rsidR="00357C93" w:rsidRPr="00A773F1" w:rsidSect="004F1718">
      <w:pgSz w:w="11906" w:h="16838"/>
      <w:pgMar w:top="2268" w:right="1077" w:bottom="1440" w:left="1077" w:header="1928" w:footer="1077"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6F0B" w:rsidRDefault="00F36F0B" w:rsidP="003A4DE7">
      <w:r>
        <w:separator/>
      </w:r>
    </w:p>
  </w:endnote>
  <w:endnote w:type="continuationSeparator" w:id="0">
    <w:p w:rsidR="00F36F0B" w:rsidRDefault="00F36F0B" w:rsidP="003A4D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方正舒体"/>
    <w:panose1 w:val="00000000000000000000"/>
    <w:charset w:val="86"/>
    <w:family w:val="auto"/>
    <w:notTrueType/>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KaiTi">
    <w:altName w:val="..ì."/>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6F0B" w:rsidRDefault="00F36F0B" w:rsidP="003A4DE7">
      <w:r>
        <w:separator/>
      </w:r>
    </w:p>
  </w:footnote>
  <w:footnote w:type="continuationSeparator" w:id="0">
    <w:p w:rsidR="00F36F0B" w:rsidRDefault="00F36F0B" w:rsidP="003A4D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74064"/>
    <w:multiLevelType w:val="hybridMultilevel"/>
    <w:tmpl w:val="B44A22BA"/>
    <w:lvl w:ilvl="0" w:tplc="F646678A">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32E2B75"/>
    <w:multiLevelType w:val="hybridMultilevel"/>
    <w:tmpl w:val="F9DCF246"/>
    <w:lvl w:ilvl="0" w:tplc="238C294A">
      <w:start w:val="1"/>
      <w:numFmt w:val="bullet"/>
      <w:lvlText w:val=""/>
      <w:lvlJc w:val="left"/>
      <w:pPr>
        <w:ind w:left="840" w:hanging="420"/>
      </w:pPr>
      <w:rPr>
        <w:rFonts w:ascii="Wingdings" w:hAnsi="Wingdings" w:hint="default"/>
      </w:rPr>
    </w:lvl>
    <w:lvl w:ilvl="1" w:tplc="155E255C">
      <w:start w:val="1"/>
      <w:numFmt w:val="bullet"/>
      <w:lvlText w:val=""/>
      <w:lvlJc w:val="left"/>
      <w:pPr>
        <w:ind w:left="840" w:hanging="420"/>
      </w:pPr>
      <w:rPr>
        <w:rFonts w:ascii="Wingdings" w:hAnsi="Wingdings" w:hint="default"/>
        <w:color w:val="C00000"/>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3CA42696"/>
    <w:multiLevelType w:val="hybridMultilevel"/>
    <w:tmpl w:val="28188B02"/>
    <w:lvl w:ilvl="0" w:tplc="00E4AD2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3E7D1031"/>
    <w:multiLevelType w:val="hybridMultilevel"/>
    <w:tmpl w:val="7C8C6B42"/>
    <w:lvl w:ilvl="0" w:tplc="58DC4D14">
      <w:start w:val="1"/>
      <w:numFmt w:val="japaneseCounting"/>
      <w:lvlText w:val="%1、"/>
      <w:lvlJc w:val="left"/>
      <w:pPr>
        <w:ind w:left="510" w:hanging="510"/>
      </w:pPr>
      <w:rPr>
        <w:rFonts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9F26AFB"/>
    <w:multiLevelType w:val="hybridMultilevel"/>
    <w:tmpl w:val="77CC2D86"/>
    <w:lvl w:ilvl="0" w:tplc="B2666604">
      <w:start w:val="1"/>
      <w:numFmt w:val="japaneseCounting"/>
      <w:lvlText w:val="%1、"/>
      <w:lvlJc w:val="left"/>
      <w:pPr>
        <w:ind w:left="420" w:hanging="4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A565C82"/>
    <w:multiLevelType w:val="hybridMultilevel"/>
    <w:tmpl w:val="331AE4F2"/>
    <w:lvl w:ilvl="0" w:tplc="D8BC259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12526DD"/>
    <w:multiLevelType w:val="hybridMultilevel"/>
    <w:tmpl w:val="DAC08118"/>
    <w:lvl w:ilvl="0" w:tplc="E54C44B0">
      <w:start w:val="1"/>
      <w:numFmt w:val="bullet"/>
      <w:lvlText w:val=""/>
      <w:lvlJc w:val="left"/>
      <w:pPr>
        <w:ind w:left="420" w:hanging="420"/>
      </w:pPr>
      <w:rPr>
        <w:rFonts w:ascii="Wingdings" w:hAnsi="Wingdings" w:hint="default"/>
        <w:color w:val="C00000"/>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789F49C9"/>
    <w:multiLevelType w:val="hybridMultilevel"/>
    <w:tmpl w:val="DE10A494"/>
    <w:lvl w:ilvl="0" w:tplc="A75A9EB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6"/>
  </w:num>
  <w:num w:numId="3">
    <w:abstractNumId w:val="1"/>
  </w:num>
  <w:num w:numId="4">
    <w:abstractNumId w:val="0"/>
  </w:num>
  <w:num w:numId="5">
    <w:abstractNumId w:val="3"/>
  </w:num>
  <w:num w:numId="6">
    <w:abstractNumId w:val="4"/>
  </w:num>
  <w:num w:numId="7">
    <w:abstractNumId w:val="5"/>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7106">
      <o:colormru v:ext="edit" colors="#c00,#9cf,#85c2ff,#a7d3ff,#fd8d90,white"/>
      <o:colormenu v:ext="edit" fillcolor="none" strokecolor="none" extrusion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A4DE7"/>
    <w:rsid w:val="00000ADE"/>
    <w:rsid w:val="00003059"/>
    <w:rsid w:val="00003531"/>
    <w:rsid w:val="0000545E"/>
    <w:rsid w:val="00006961"/>
    <w:rsid w:val="000106EE"/>
    <w:rsid w:val="00011E0A"/>
    <w:rsid w:val="00012345"/>
    <w:rsid w:val="00013F56"/>
    <w:rsid w:val="00015E55"/>
    <w:rsid w:val="00016483"/>
    <w:rsid w:val="000177E4"/>
    <w:rsid w:val="000204C2"/>
    <w:rsid w:val="00022B45"/>
    <w:rsid w:val="00022C00"/>
    <w:rsid w:val="00023308"/>
    <w:rsid w:val="000317FE"/>
    <w:rsid w:val="00036513"/>
    <w:rsid w:val="00040343"/>
    <w:rsid w:val="0004448B"/>
    <w:rsid w:val="00050D46"/>
    <w:rsid w:val="0005594A"/>
    <w:rsid w:val="0005684A"/>
    <w:rsid w:val="000579A6"/>
    <w:rsid w:val="0006099B"/>
    <w:rsid w:val="00064CD8"/>
    <w:rsid w:val="00064EA2"/>
    <w:rsid w:val="0007019F"/>
    <w:rsid w:val="000717BC"/>
    <w:rsid w:val="00076523"/>
    <w:rsid w:val="00076645"/>
    <w:rsid w:val="00081513"/>
    <w:rsid w:val="00083840"/>
    <w:rsid w:val="0008479B"/>
    <w:rsid w:val="000939E9"/>
    <w:rsid w:val="000A5881"/>
    <w:rsid w:val="000A61AA"/>
    <w:rsid w:val="000B4021"/>
    <w:rsid w:val="000C3CC5"/>
    <w:rsid w:val="000D019E"/>
    <w:rsid w:val="000D2FF8"/>
    <w:rsid w:val="000D37D2"/>
    <w:rsid w:val="000D7230"/>
    <w:rsid w:val="000D7C74"/>
    <w:rsid w:val="000E25AF"/>
    <w:rsid w:val="000E6091"/>
    <w:rsid w:val="000F5201"/>
    <w:rsid w:val="000F54F3"/>
    <w:rsid w:val="000F5A95"/>
    <w:rsid w:val="000F5C87"/>
    <w:rsid w:val="000F695C"/>
    <w:rsid w:val="0010122A"/>
    <w:rsid w:val="00101BE0"/>
    <w:rsid w:val="00103F9D"/>
    <w:rsid w:val="00106358"/>
    <w:rsid w:val="00111F4B"/>
    <w:rsid w:val="00112B11"/>
    <w:rsid w:val="001226A0"/>
    <w:rsid w:val="00123D1E"/>
    <w:rsid w:val="00123D26"/>
    <w:rsid w:val="00130359"/>
    <w:rsid w:val="00130697"/>
    <w:rsid w:val="00131080"/>
    <w:rsid w:val="00132C1D"/>
    <w:rsid w:val="0013483E"/>
    <w:rsid w:val="0013547C"/>
    <w:rsid w:val="00135E34"/>
    <w:rsid w:val="00136FD2"/>
    <w:rsid w:val="0013718C"/>
    <w:rsid w:val="00140B4B"/>
    <w:rsid w:val="00140FFA"/>
    <w:rsid w:val="00142D54"/>
    <w:rsid w:val="001446B2"/>
    <w:rsid w:val="00147155"/>
    <w:rsid w:val="00153663"/>
    <w:rsid w:val="001536B6"/>
    <w:rsid w:val="001543C5"/>
    <w:rsid w:val="00154E88"/>
    <w:rsid w:val="0016253B"/>
    <w:rsid w:val="00166033"/>
    <w:rsid w:val="00173D97"/>
    <w:rsid w:val="00180FE9"/>
    <w:rsid w:val="001820F9"/>
    <w:rsid w:val="001830B3"/>
    <w:rsid w:val="0018456D"/>
    <w:rsid w:val="0018587E"/>
    <w:rsid w:val="0019089F"/>
    <w:rsid w:val="001925EC"/>
    <w:rsid w:val="00194278"/>
    <w:rsid w:val="00196677"/>
    <w:rsid w:val="0019694A"/>
    <w:rsid w:val="0019761A"/>
    <w:rsid w:val="001A4599"/>
    <w:rsid w:val="001A4BB3"/>
    <w:rsid w:val="001A6792"/>
    <w:rsid w:val="001A6FE1"/>
    <w:rsid w:val="001A74E2"/>
    <w:rsid w:val="001B0064"/>
    <w:rsid w:val="001B0C64"/>
    <w:rsid w:val="001B1B46"/>
    <w:rsid w:val="001B23B3"/>
    <w:rsid w:val="001B52E0"/>
    <w:rsid w:val="001B723B"/>
    <w:rsid w:val="001B77E0"/>
    <w:rsid w:val="001C1154"/>
    <w:rsid w:val="001C58D1"/>
    <w:rsid w:val="001D3C15"/>
    <w:rsid w:val="001D4365"/>
    <w:rsid w:val="001D69D4"/>
    <w:rsid w:val="001D770B"/>
    <w:rsid w:val="001D7989"/>
    <w:rsid w:val="001E2EAA"/>
    <w:rsid w:val="001E3E70"/>
    <w:rsid w:val="001F0796"/>
    <w:rsid w:val="001F5E20"/>
    <w:rsid w:val="0020006F"/>
    <w:rsid w:val="00203206"/>
    <w:rsid w:val="002034C9"/>
    <w:rsid w:val="002035D2"/>
    <w:rsid w:val="00203957"/>
    <w:rsid w:val="00203FD4"/>
    <w:rsid w:val="00206F1A"/>
    <w:rsid w:val="002072FD"/>
    <w:rsid w:val="00210162"/>
    <w:rsid w:val="002113F4"/>
    <w:rsid w:val="00212901"/>
    <w:rsid w:val="00212C0E"/>
    <w:rsid w:val="00214DE6"/>
    <w:rsid w:val="00221F1E"/>
    <w:rsid w:val="00225827"/>
    <w:rsid w:val="00226024"/>
    <w:rsid w:val="0022740E"/>
    <w:rsid w:val="00230BDB"/>
    <w:rsid w:val="00232598"/>
    <w:rsid w:val="00236281"/>
    <w:rsid w:val="002412AA"/>
    <w:rsid w:val="00243300"/>
    <w:rsid w:val="002437BE"/>
    <w:rsid w:val="0024511C"/>
    <w:rsid w:val="00247E04"/>
    <w:rsid w:val="002502CC"/>
    <w:rsid w:val="002511DD"/>
    <w:rsid w:val="0025488C"/>
    <w:rsid w:val="002554DF"/>
    <w:rsid w:val="00255EA2"/>
    <w:rsid w:val="002649DA"/>
    <w:rsid w:val="0027028A"/>
    <w:rsid w:val="002705CC"/>
    <w:rsid w:val="00286EDE"/>
    <w:rsid w:val="00291597"/>
    <w:rsid w:val="002940C8"/>
    <w:rsid w:val="00294B34"/>
    <w:rsid w:val="002A206A"/>
    <w:rsid w:val="002A4ADE"/>
    <w:rsid w:val="002A4D26"/>
    <w:rsid w:val="002A7F23"/>
    <w:rsid w:val="002B1C87"/>
    <w:rsid w:val="002B336F"/>
    <w:rsid w:val="002C033F"/>
    <w:rsid w:val="002C08D7"/>
    <w:rsid w:val="002C6DEB"/>
    <w:rsid w:val="002D32A2"/>
    <w:rsid w:val="002D40BF"/>
    <w:rsid w:val="002D7A88"/>
    <w:rsid w:val="002E6A0A"/>
    <w:rsid w:val="002E7C66"/>
    <w:rsid w:val="002F0A61"/>
    <w:rsid w:val="002F150A"/>
    <w:rsid w:val="002F195F"/>
    <w:rsid w:val="002F6541"/>
    <w:rsid w:val="00300A7D"/>
    <w:rsid w:val="00302C99"/>
    <w:rsid w:val="003034D9"/>
    <w:rsid w:val="00305A87"/>
    <w:rsid w:val="00305D9A"/>
    <w:rsid w:val="003068DD"/>
    <w:rsid w:val="00307AF5"/>
    <w:rsid w:val="00313429"/>
    <w:rsid w:val="00314402"/>
    <w:rsid w:val="00315354"/>
    <w:rsid w:val="00322272"/>
    <w:rsid w:val="00322BDF"/>
    <w:rsid w:val="0032443E"/>
    <w:rsid w:val="0032499F"/>
    <w:rsid w:val="00325ECC"/>
    <w:rsid w:val="00335F3C"/>
    <w:rsid w:val="00340220"/>
    <w:rsid w:val="00342E1B"/>
    <w:rsid w:val="003451C4"/>
    <w:rsid w:val="00346973"/>
    <w:rsid w:val="003500DB"/>
    <w:rsid w:val="00353A16"/>
    <w:rsid w:val="00357C93"/>
    <w:rsid w:val="00361542"/>
    <w:rsid w:val="00362268"/>
    <w:rsid w:val="00362718"/>
    <w:rsid w:val="00363087"/>
    <w:rsid w:val="00363545"/>
    <w:rsid w:val="003658B8"/>
    <w:rsid w:val="003665A3"/>
    <w:rsid w:val="00367001"/>
    <w:rsid w:val="0036725A"/>
    <w:rsid w:val="0036736D"/>
    <w:rsid w:val="00370E3B"/>
    <w:rsid w:val="00374CE7"/>
    <w:rsid w:val="003771BB"/>
    <w:rsid w:val="003801BF"/>
    <w:rsid w:val="00385ABD"/>
    <w:rsid w:val="0038614F"/>
    <w:rsid w:val="00386C4C"/>
    <w:rsid w:val="0039055D"/>
    <w:rsid w:val="00391C7A"/>
    <w:rsid w:val="00393945"/>
    <w:rsid w:val="00397AA3"/>
    <w:rsid w:val="003A1D9C"/>
    <w:rsid w:val="003A4DE7"/>
    <w:rsid w:val="003A501F"/>
    <w:rsid w:val="003A7740"/>
    <w:rsid w:val="003A7A48"/>
    <w:rsid w:val="003B0790"/>
    <w:rsid w:val="003B135E"/>
    <w:rsid w:val="003B19C1"/>
    <w:rsid w:val="003B2892"/>
    <w:rsid w:val="003B318D"/>
    <w:rsid w:val="003B3F3C"/>
    <w:rsid w:val="003C0D15"/>
    <w:rsid w:val="003C3982"/>
    <w:rsid w:val="003C67B6"/>
    <w:rsid w:val="003D033C"/>
    <w:rsid w:val="003D554A"/>
    <w:rsid w:val="003E04DC"/>
    <w:rsid w:val="003E59DD"/>
    <w:rsid w:val="003E5C20"/>
    <w:rsid w:val="003E7C5B"/>
    <w:rsid w:val="003F056B"/>
    <w:rsid w:val="003F0632"/>
    <w:rsid w:val="003F2491"/>
    <w:rsid w:val="003F38EB"/>
    <w:rsid w:val="003F53E6"/>
    <w:rsid w:val="003F7DAF"/>
    <w:rsid w:val="00406B95"/>
    <w:rsid w:val="00406E26"/>
    <w:rsid w:val="004128C5"/>
    <w:rsid w:val="0041613C"/>
    <w:rsid w:val="0041656C"/>
    <w:rsid w:val="00423B14"/>
    <w:rsid w:val="00427D8A"/>
    <w:rsid w:val="00430C13"/>
    <w:rsid w:val="00431C38"/>
    <w:rsid w:val="00433895"/>
    <w:rsid w:val="00434FCA"/>
    <w:rsid w:val="00437DF9"/>
    <w:rsid w:val="0044084A"/>
    <w:rsid w:val="00440EA4"/>
    <w:rsid w:val="00442775"/>
    <w:rsid w:val="00453CDA"/>
    <w:rsid w:val="00453D44"/>
    <w:rsid w:val="0045478E"/>
    <w:rsid w:val="004570F4"/>
    <w:rsid w:val="004618CF"/>
    <w:rsid w:val="00463162"/>
    <w:rsid w:val="00463A12"/>
    <w:rsid w:val="004702DF"/>
    <w:rsid w:val="00472E9C"/>
    <w:rsid w:val="0047392A"/>
    <w:rsid w:val="00473B4E"/>
    <w:rsid w:val="004771D1"/>
    <w:rsid w:val="00481382"/>
    <w:rsid w:val="0048295B"/>
    <w:rsid w:val="00483462"/>
    <w:rsid w:val="0048528E"/>
    <w:rsid w:val="00490C7E"/>
    <w:rsid w:val="00491257"/>
    <w:rsid w:val="00493827"/>
    <w:rsid w:val="004A4A8B"/>
    <w:rsid w:val="004A676B"/>
    <w:rsid w:val="004B46FA"/>
    <w:rsid w:val="004B5BBE"/>
    <w:rsid w:val="004B7AA8"/>
    <w:rsid w:val="004C56D9"/>
    <w:rsid w:val="004D1597"/>
    <w:rsid w:val="004D5315"/>
    <w:rsid w:val="004D569B"/>
    <w:rsid w:val="004D5743"/>
    <w:rsid w:val="004D729F"/>
    <w:rsid w:val="004E4C21"/>
    <w:rsid w:val="004F1718"/>
    <w:rsid w:val="004F6B1D"/>
    <w:rsid w:val="0050073F"/>
    <w:rsid w:val="00503902"/>
    <w:rsid w:val="00505A9B"/>
    <w:rsid w:val="00506E59"/>
    <w:rsid w:val="00507724"/>
    <w:rsid w:val="00510EE8"/>
    <w:rsid w:val="00513F3F"/>
    <w:rsid w:val="00523C82"/>
    <w:rsid w:val="0052464D"/>
    <w:rsid w:val="00526DCD"/>
    <w:rsid w:val="00530E68"/>
    <w:rsid w:val="005311B3"/>
    <w:rsid w:val="00532F7D"/>
    <w:rsid w:val="0053615C"/>
    <w:rsid w:val="00537072"/>
    <w:rsid w:val="00543182"/>
    <w:rsid w:val="005439D5"/>
    <w:rsid w:val="00544586"/>
    <w:rsid w:val="00552A0B"/>
    <w:rsid w:val="00552B58"/>
    <w:rsid w:val="00554C8B"/>
    <w:rsid w:val="00555E54"/>
    <w:rsid w:val="005570E2"/>
    <w:rsid w:val="005603B6"/>
    <w:rsid w:val="00563687"/>
    <w:rsid w:val="00566CBA"/>
    <w:rsid w:val="00566F26"/>
    <w:rsid w:val="0057362C"/>
    <w:rsid w:val="0058097D"/>
    <w:rsid w:val="00581162"/>
    <w:rsid w:val="00582889"/>
    <w:rsid w:val="00583592"/>
    <w:rsid w:val="00583D1D"/>
    <w:rsid w:val="00586244"/>
    <w:rsid w:val="005912CF"/>
    <w:rsid w:val="0059146B"/>
    <w:rsid w:val="005936E5"/>
    <w:rsid w:val="0059495F"/>
    <w:rsid w:val="005A18DB"/>
    <w:rsid w:val="005A1933"/>
    <w:rsid w:val="005A5976"/>
    <w:rsid w:val="005A6D02"/>
    <w:rsid w:val="005B137E"/>
    <w:rsid w:val="005B5692"/>
    <w:rsid w:val="005C1016"/>
    <w:rsid w:val="005C2D0A"/>
    <w:rsid w:val="005C4A8C"/>
    <w:rsid w:val="005C5E98"/>
    <w:rsid w:val="005D0CA0"/>
    <w:rsid w:val="005D1198"/>
    <w:rsid w:val="005D6C5C"/>
    <w:rsid w:val="005E1344"/>
    <w:rsid w:val="005E26A5"/>
    <w:rsid w:val="005E2BEA"/>
    <w:rsid w:val="005E4AC2"/>
    <w:rsid w:val="005E64CD"/>
    <w:rsid w:val="005F1976"/>
    <w:rsid w:val="005F7BF6"/>
    <w:rsid w:val="005F7D05"/>
    <w:rsid w:val="00600D2E"/>
    <w:rsid w:val="00601A15"/>
    <w:rsid w:val="006061EF"/>
    <w:rsid w:val="00606586"/>
    <w:rsid w:val="006069CA"/>
    <w:rsid w:val="00607FD1"/>
    <w:rsid w:val="00611D34"/>
    <w:rsid w:val="00613FF4"/>
    <w:rsid w:val="00615214"/>
    <w:rsid w:val="00615EF8"/>
    <w:rsid w:val="006214EE"/>
    <w:rsid w:val="0062631D"/>
    <w:rsid w:val="00635002"/>
    <w:rsid w:val="006454A1"/>
    <w:rsid w:val="00650904"/>
    <w:rsid w:val="006519A5"/>
    <w:rsid w:val="00652870"/>
    <w:rsid w:val="00652BA9"/>
    <w:rsid w:val="00653AFA"/>
    <w:rsid w:val="00656818"/>
    <w:rsid w:val="006572B2"/>
    <w:rsid w:val="00660DEA"/>
    <w:rsid w:val="00664650"/>
    <w:rsid w:val="00664E5B"/>
    <w:rsid w:val="00666E38"/>
    <w:rsid w:val="00667331"/>
    <w:rsid w:val="006715A7"/>
    <w:rsid w:val="006734FA"/>
    <w:rsid w:val="0067690F"/>
    <w:rsid w:val="00680612"/>
    <w:rsid w:val="00682468"/>
    <w:rsid w:val="00684449"/>
    <w:rsid w:val="006849A5"/>
    <w:rsid w:val="00690A76"/>
    <w:rsid w:val="00692D4A"/>
    <w:rsid w:val="00693AED"/>
    <w:rsid w:val="00695873"/>
    <w:rsid w:val="006A1794"/>
    <w:rsid w:val="006A5DEE"/>
    <w:rsid w:val="006B18EB"/>
    <w:rsid w:val="006B3FEF"/>
    <w:rsid w:val="006B4C0D"/>
    <w:rsid w:val="006C191F"/>
    <w:rsid w:val="006D0BB2"/>
    <w:rsid w:val="006D52D1"/>
    <w:rsid w:val="006D73AF"/>
    <w:rsid w:val="006E20F0"/>
    <w:rsid w:val="006E3784"/>
    <w:rsid w:val="006E4DCE"/>
    <w:rsid w:val="006E687C"/>
    <w:rsid w:val="006F0AB2"/>
    <w:rsid w:val="006F1328"/>
    <w:rsid w:val="006F6A7F"/>
    <w:rsid w:val="006F6EFA"/>
    <w:rsid w:val="00703E3D"/>
    <w:rsid w:val="00706AA4"/>
    <w:rsid w:val="007107A0"/>
    <w:rsid w:val="00717009"/>
    <w:rsid w:val="00717A20"/>
    <w:rsid w:val="00723F36"/>
    <w:rsid w:val="0072703C"/>
    <w:rsid w:val="007303CD"/>
    <w:rsid w:val="007307C0"/>
    <w:rsid w:val="00737452"/>
    <w:rsid w:val="00737ACA"/>
    <w:rsid w:val="0074099A"/>
    <w:rsid w:val="00742F8F"/>
    <w:rsid w:val="00747B8F"/>
    <w:rsid w:val="00751170"/>
    <w:rsid w:val="0075174C"/>
    <w:rsid w:val="0075417D"/>
    <w:rsid w:val="007574A5"/>
    <w:rsid w:val="00757804"/>
    <w:rsid w:val="00762272"/>
    <w:rsid w:val="00765814"/>
    <w:rsid w:val="007672D6"/>
    <w:rsid w:val="00771136"/>
    <w:rsid w:val="007729B8"/>
    <w:rsid w:val="007762CB"/>
    <w:rsid w:val="00780A9D"/>
    <w:rsid w:val="00782AF1"/>
    <w:rsid w:val="00783F38"/>
    <w:rsid w:val="00787C20"/>
    <w:rsid w:val="007904DC"/>
    <w:rsid w:val="00790866"/>
    <w:rsid w:val="007910EB"/>
    <w:rsid w:val="00794FFF"/>
    <w:rsid w:val="007962B2"/>
    <w:rsid w:val="007A012D"/>
    <w:rsid w:val="007A07A0"/>
    <w:rsid w:val="007A5EFE"/>
    <w:rsid w:val="007A6483"/>
    <w:rsid w:val="007B0AB0"/>
    <w:rsid w:val="007B2C7A"/>
    <w:rsid w:val="007B2C89"/>
    <w:rsid w:val="007B4802"/>
    <w:rsid w:val="007B6DFA"/>
    <w:rsid w:val="007B7859"/>
    <w:rsid w:val="007B78CE"/>
    <w:rsid w:val="007C4428"/>
    <w:rsid w:val="007C72CB"/>
    <w:rsid w:val="007C757E"/>
    <w:rsid w:val="007D108F"/>
    <w:rsid w:val="007D50FA"/>
    <w:rsid w:val="007E2C4F"/>
    <w:rsid w:val="007E6BAB"/>
    <w:rsid w:val="007E7C4A"/>
    <w:rsid w:val="007F0131"/>
    <w:rsid w:val="007F189B"/>
    <w:rsid w:val="0080695B"/>
    <w:rsid w:val="00813056"/>
    <w:rsid w:val="008162D5"/>
    <w:rsid w:val="008174FE"/>
    <w:rsid w:val="00823580"/>
    <w:rsid w:val="00825A2E"/>
    <w:rsid w:val="008276DA"/>
    <w:rsid w:val="00832D5A"/>
    <w:rsid w:val="0083726F"/>
    <w:rsid w:val="008424A5"/>
    <w:rsid w:val="008465B4"/>
    <w:rsid w:val="00846E3D"/>
    <w:rsid w:val="00847018"/>
    <w:rsid w:val="0085078C"/>
    <w:rsid w:val="008550CA"/>
    <w:rsid w:val="008562F1"/>
    <w:rsid w:val="008626D6"/>
    <w:rsid w:val="00863422"/>
    <w:rsid w:val="00864614"/>
    <w:rsid w:val="00864B95"/>
    <w:rsid w:val="00864EF5"/>
    <w:rsid w:val="0087383B"/>
    <w:rsid w:val="00873CC6"/>
    <w:rsid w:val="008753BB"/>
    <w:rsid w:val="0087552D"/>
    <w:rsid w:val="008761B5"/>
    <w:rsid w:val="00880FBF"/>
    <w:rsid w:val="00881BA6"/>
    <w:rsid w:val="008849BA"/>
    <w:rsid w:val="0088624D"/>
    <w:rsid w:val="008879EA"/>
    <w:rsid w:val="00893C82"/>
    <w:rsid w:val="008A705C"/>
    <w:rsid w:val="008B3D67"/>
    <w:rsid w:val="008B3F61"/>
    <w:rsid w:val="008B65D6"/>
    <w:rsid w:val="008B7C17"/>
    <w:rsid w:val="008C27AC"/>
    <w:rsid w:val="008C27ED"/>
    <w:rsid w:val="008C66DF"/>
    <w:rsid w:val="008C7F67"/>
    <w:rsid w:val="008D52E9"/>
    <w:rsid w:val="008E130E"/>
    <w:rsid w:val="008E23E3"/>
    <w:rsid w:val="008E42AD"/>
    <w:rsid w:val="008E5520"/>
    <w:rsid w:val="008E657A"/>
    <w:rsid w:val="008E76CE"/>
    <w:rsid w:val="008F5648"/>
    <w:rsid w:val="008F5B17"/>
    <w:rsid w:val="008F6495"/>
    <w:rsid w:val="008F65DD"/>
    <w:rsid w:val="008F6B3D"/>
    <w:rsid w:val="00904597"/>
    <w:rsid w:val="009063D4"/>
    <w:rsid w:val="009101ED"/>
    <w:rsid w:val="00915227"/>
    <w:rsid w:val="00915253"/>
    <w:rsid w:val="00916FCB"/>
    <w:rsid w:val="00917711"/>
    <w:rsid w:val="009259A7"/>
    <w:rsid w:val="00926246"/>
    <w:rsid w:val="009265DD"/>
    <w:rsid w:val="0093211E"/>
    <w:rsid w:val="00934C55"/>
    <w:rsid w:val="009353B0"/>
    <w:rsid w:val="00937624"/>
    <w:rsid w:val="00940D89"/>
    <w:rsid w:val="00942746"/>
    <w:rsid w:val="0094733F"/>
    <w:rsid w:val="00952208"/>
    <w:rsid w:val="00952936"/>
    <w:rsid w:val="009542E5"/>
    <w:rsid w:val="00954E53"/>
    <w:rsid w:val="00957266"/>
    <w:rsid w:val="0096633C"/>
    <w:rsid w:val="00967759"/>
    <w:rsid w:val="0097008B"/>
    <w:rsid w:val="009749CB"/>
    <w:rsid w:val="00975298"/>
    <w:rsid w:val="0097545E"/>
    <w:rsid w:val="009777E8"/>
    <w:rsid w:val="00977917"/>
    <w:rsid w:val="00981871"/>
    <w:rsid w:val="00981AB1"/>
    <w:rsid w:val="00981FE3"/>
    <w:rsid w:val="00985692"/>
    <w:rsid w:val="0099145F"/>
    <w:rsid w:val="00991B0C"/>
    <w:rsid w:val="00991F47"/>
    <w:rsid w:val="00994A8F"/>
    <w:rsid w:val="0099542F"/>
    <w:rsid w:val="009957EA"/>
    <w:rsid w:val="00997D10"/>
    <w:rsid w:val="009A23CA"/>
    <w:rsid w:val="009A290C"/>
    <w:rsid w:val="009A5CAC"/>
    <w:rsid w:val="009B0B9E"/>
    <w:rsid w:val="009B10A5"/>
    <w:rsid w:val="009B16E3"/>
    <w:rsid w:val="009B4516"/>
    <w:rsid w:val="009B61B2"/>
    <w:rsid w:val="009C11DD"/>
    <w:rsid w:val="009C4ACD"/>
    <w:rsid w:val="009C59AB"/>
    <w:rsid w:val="009D3572"/>
    <w:rsid w:val="009D5812"/>
    <w:rsid w:val="009E065C"/>
    <w:rsid w:val="009E1242"/>
    <w:rsid w:val="009E2893"/>
    <w:rsid w:val="009E4311"/>
    <w:rsid w:val="009F26A3"/>
    <w:rsid w:val="009F66B9"/>
    <w:rsid w:val="009F7C55"/>
    <w:rsid w:val="00A0381B"/>
    <w:rsid w:val="00A03FFF"/>
    <w:rsid w:val="00A06253"/>
    <w:rsid w:val="00A06D2B"/>
    <w:rsid w:val="00A10071"/>
    <w:rsid w:val="00A10C40"/>
    <w:rsid w:val="00A11C21"/>
    <w:rsid w:val="00A134D9"/>
    <w:rsid w:val="00A143AF"/>
    <w:rsid w:val="00A16011"/>
    <w:rsid w:val="00A16588"/>
    <w:rsid w:val="00A17138"/>
    <w:rsid w:val="00A2538B"/>
    <w:rsid w:val="00A30223"/>
    <w:rsid w:val="00A30688"/>
    <w:rsid w:val="00A33D85"/>
    <w:rsid w:val="00A35B0E"/>
    <w:rsid w:val="00A362B0"/>
    <w:rsid w:val="00A4508B"/>
    <w:rsid w:val="00A54BC3"/>
    <w:rsid w:val="00A552AD"/>
    <w:rsid w:val="00A5620B"/>
    <w:rsid w:val="00A609EC"/>
    <w:rsid w:val="00A60E39"/>
    <w:rsid w:val="00A61520"/>
    <w:rsid w:val="00A61652"/>
    <w:rsid w:val="00A61CF0"/>
    <w:rsid w:val="00A63045"/>
    <w:rsid w:val="00A65F51"/>
    <w:rsid w:val="00A671B4"/>
    <w:rsid w:val="00A7160B"/>
    <w:rsid w:val="00A7365D"/>
    <w:rsid w:val="00A74188"/>
    <w:rsid w:val="00A75FAE"/>
    <w:rsid w:val="00A770C8"/>
    <w:rsid w:val="00A773F1"/>
    <w:rsid w:val="00A8014E"/>
    <w:rsid w:val="00A80D69"/>
    <w:rsid w:val="00A814A0"/>
    <w:rsid w:val="00A84212"/>
    <w:rsid w:val="00A85A7A"/>
    <w:rsid w:val="00A8641A"/>
    <w:rsid w:val="00A90C43"/>
    <w:rsid w:val="00AA6E68"/>
    <w:rsid w:val="00AB1CB5"/>
    <w:rsid w:val="00AB3A8D"/>
    <w:rsid w:val="00AB440C"/>
    <w:rsid w:val="00AB5FAC"/>
    <w:rsid w:val="00AC2979"/>
    <w:rsid w:val="00AC48FE"/>
    <w:rsid w:val="00AC7E98"/>
    <w:rsid w:val="00AD0568"/>
    <w:rsid w:val="00AE0777"/>
    <w:rsid w:val="00AE202B"/>
    <w:rsid w:val="00AE4B03"/>
    <w:rsid w:val="00AE78C2"/>
    <w:rsid w:val="00AF1186"/>
    <w:rsid w:val="00AF3467"/>
    <w:rsid w:val="00AF3F6C"/>
    <w:rsid w:val="00AF6271"/>
    <w:rsid w:val="00AF63A8"/>
    <w:rsid w:val="00AF6F46"/>
    <w:rsid w:val="00AF7F76"/>
    <w:rsid w:val="00B036F3"/>
    <w:rsid w:val="00B03868"/>
    <w:rsid w:val="00B113DD"/>
    <w:rsid w:val="00B1520F"/>
    <w:rsid w:val="00B15304"/>
    <w:rsid w:val="00B165B0"/>
    <w:rsid w:val="00B20E73"/>
    <w:rsid w:val="00B21700"/>
    <w:rsid w:val="00B23B44"/>
    <w:rsid w:val="00B24C2C"/>
    <w:rsid w:val="00B263EF"/>
    <w:rsid w:val="00B26D41"/>
    <w:rsid w:val="00B353C9"/>
    <w:rsid w:val="00B356D7"/>
    <w:rsid w:val="00B42D2F"/>
    <w:rsid w:val="00B47F4F"/>
    <w:rsid w:val="00B47FA2"/>
    <w:rsid w:val="00B57A54"/>
    <w:rsid w:val="00B601F4"/>
    <w:rsid w:val="00B641AD"/>
    <w:rsid w:val="00B65002"/>
    <w:rsid w:val="00B7090E"/>
    <w:rsid w:val="00B723A6"/>
    <w:rsid w:val="00B77398"/>
    <w:rsid w:val="00B802F4"/>
    <w:rsid w:val="00B80B74"/>
    <w:rsid w:val="00B82C1A"/>
    <w:rsid w:val="00B83AEA"/>
    <w:rsid w:val="00B850CB"/>
    <w:rsid w:val="00B8787E"/>
    <w:rsid w:val="00B87CAC"/>
    <w:rsid w:val="00B9026F"/>
    <w:rsid w:val="00B96734"/>
    <w:rsid w:val="00BA1FB1"/>
    <w:rsid w:val="00BA3B2B"/>
    <w:rsid w:val="00BA7143"/>
    <w:rsid w:val="00BB003A"/>
    <w:rsid w:val="00BB0D2A"/>
    <w:rsid w:val="00BC1314"/>
    <w:rsid w:val="00BD03D7"/>
    <w:rsid w:val="00BD26E0"/>
    <w:rsid w:val="00BD3B2E"/>
    <w:rsid w:val="00BD40A0"/>
    <w:rsid w:val="00BE3F04"/>
    <w:rsid w:val="00BE4D28"/>
    <w:rsid w:val="00BE6187"/>
    <w:rsid w:val="00BE6F2E"/>
    <w:rsid w:val="00BF630F"/>
    <w:rsid w:val="00C05154"/>
    <w:rsid w:val="00C07E38"/>
    <w:rsid w:val="00C11B0C"/>
    <w:rsid w:val="00C11EF7"/>
    <w:rsid w:val="00C17077"/>
    <w:rsid w:val="00C20845"/>
    <w:rsid w:val="00C23F83"/>
    <w:rsid w:val="00C246BF"/>
    <w:rsid w:val="00C31490"/>
    <w:rsid w:val="00C444C2"/>
    <w:rsid w:val="00C519DE"/>
    <w:rsid w:val="00C63CDA"/>
    <w:rsid w:val="00C651EA"/>
    <w:rsid w:val="00C6673D"/>
    <w:rsid w:val="00C7044E"/>
    <w:rsid w:val="00C72C13"/>
    <w:rsid w:val="00C75760"/>
    <w:rsid w:val="00C77CF2"/>
    <w:rsid w:val="00C82250"/>
    <w:rsid w:val="00C83298"/>
    <w:rsid w:val="00C916C1"/>
    <w:rsid w:val="00C92664"/>
    <w:rsid w:val="00CA04CA"/>
    <w:rsid w:val="00CA2128"/>
    <w:rsid w:val="00CA2620"/>
    <w:rsid w:val="00CA4118"/>
    <w:rsid w:val="00CA4272"/>
    <w:rsid w:val="00CA5300"/>
    <w:rsid w:val="00CA7AAE"/>
    <w:rsid w:val="00CB03DC"/>
    <w:rsid w:val="00CB24A3"/>
    <w:rsid w:val="00CB6F75"/>
    <w:rsid w:val="00CC1DB5"/>
    <w:rsid w:val="00CC2A21"/>
    <w:rsid w:val="00CC2BAD"/>
    <w:rsid w:val="00CC3ABE"/>
    <w:rsid w:val="00CD0755"/>
    <w:rsid w:val="00CD07F8"/>
    <w:rsid w:val="00CD29CC"/>
    <w:rsid w:val="00CE0776"/>
    <w:rsid w:val="00CE4EEA"/>
    <w:rsid w:val="00CE7445"/>
    <w:rsid w:val="00CF21BE"/>
    <w:rsid w:val="00CF2859"/>
    <w:rsid w:val="00CF3F96"/>
    <w:rsid w:val="00CF67F8"/>
    <w:rsid w:val="00CF69D0"/>
    <w:rsid w:val="00CF7279"/>
    <w:rsid w:val="00D002D6"/>
    <w:rsid w:val="00D022DE"/>
    <w:rsid w:val="00D105BE"/>
    <w:rsid w:val="00D13FA1"/>
    <w:rsid w:val="00D14D2F"/>
    <w:rsid w:val="00D15504"/>
    <w:rsid w:val="00D15AD4"/>
    <w:rsid w:val="00D231FE"/>
    <w:rsid w:val="00D2430F"/>
    <w:rsid w:val="00D25A46"/>
    <w:rsid w:val="00D30D0E"/>
    <w:rsid w:val="00D30D1D"/>
    <w:rsid w:val="00D42FBE"/>
    <w:rsid w:val="00D432A4"/>
    <w:rsid w:val="00D447D2"/>
    <w:rsid w:val="00D46893"/>
    <w:rsid w:val="00D530F2"/>
    <w:rsid w:val="00D534AB"/>
    <w:rsid w:val="00D54B72"/>
    <w:rsid w:val="00D55EC6"/>
    <w:rsid w:val="00D56FD1"/>
    <w:rsid w:val="00D573EA"/>
    <w:rsid w:val="00D60819"/>
    <w:rsid w:val="00D6130A"/>
    <w:rsid w:val="00D61341"/>
    <w:rsid w:val="00D62A15"/>
    <w:rsid w:val="00D66D44"/>
    <w:rsid w:val="00D66F0B"/>
    <w:rsid w:val="00D82CE1"/>
    <w:rsid w:val="00D83620"/>
    <w:rsid w:val="00D8521A"/>
    <w:rsid w:val="00D867F6"/>
    <w:rsid w:val="00D907FC"/>
    <w:rsid w:val="00D91204"/>
    <w:rsid w:val="00D91DFD"/>
    <w:rsid w:val="00D92330"/>
    <w:rsid w:val="00D96AFD"/>
    <w:rsid w:val="00DA1378"/>
    <w:rsid w:val="00DA7F30"/>
    <w:rsid w:val="00DB054F"/>
    <w:rsid w:val="00DB3DF5"/>
    <w:rsid w:val="00DB54D3"/>
    <w:rsid w:val="00DB5B11"/>
    <w:rsid w:val="00DB5D40"/>
    <w:rsid w:val="00DB60FC"/>
    <w:rsid w:val="00DB6757"/>
    <w:rsid w:val="00DC181F"/>
    <w:rsid w:val="00DC19DD"/>
    <w:rsid w:val="00DC233B"/>
    <w:rsid w:val="00DC302A"/>
    <w:rsid w:val="00DC4AA8"/>
    <w:rsid w:val="00DC5381"/>
    <w:rsid w:val="00DC60A4"/>
    <w:rsid w:val="00DD0D8C"/>
    <w:rsid w:val="00DD2CD7"/>
    <w:rsid w:val="00DD4C0B"/>
    <w:rsid w:val="00DD6716"/>
    <w:rsid w:val="00DD7AD6"/>
    <w:rsid w:val="00DD7B49"/>
    <w:rsid w:val="00DF75F9"/>
    <w:rsid w:val="00DF7FB0"/>
    <w:rsid w:val="00E0209E"/>
    <w:rsid w:val="00E02189"/>
    <w:rsid w:val="00E0292F"/>
    <w:rsid w:val="00E034AE"/>
    <w:rsid w:val="00E039B3"/>
    <w:rsid w:val="00E0545B"/>
    <w:rsid w:val="00E11F87"/>
    <w:rsid w:val="00E13363"/>
    <w:rsid w:val="00E15EF3"/>
    <w:rsid w:val="00E17BFF"/>
    <w:rsid w:val="00E21774"/>
    <w:rsid w:val="00E22601"/>
    <w:rsid w:val="00E22DFA"/>
    <w:rsid w:val="00E23E20"/>
    <w:rsid w:val="00E25192"/>
    <w:rsid w:val="00E272F7"/>
    <w:rsid w:val="00E274C2"/>
    <w:rsid w:val="00E27C21"/>
    <w:rsid w:val="00E343E9"/>
    <w:rsid w:val="00E35A7B"/>
    <w:rsid w:val="00E366FA"/>
    <w:rsid w:val="00E4615F"/>
    <w:rsid w:val="00E46E46"/>
    <w:rsid w:val="00E47A7D"/>
    <w:rsid w:val="00E513A7"/>
    <w:rsid w:val="00E54AAD"/>
    <w:rsid w:val="00E558F2"/>
    <w:rsid w:val="00E57E34"/>
    <w:rsid w:val="00E57EA3"/>
    <w:rsid w:val="00E6041F"/>
    <w:rsid w:val="00E61C50"/>
    <w:rsid w:val="00E6302C"/>
    <w:rsid w:val="00E63A79"/>
    <w:rsid w:val="00E67AEF"/>
    <w:rsid w:val="00E72F07"/>
    <w:rsid w:val="00E73F63"/>
    <w:rsid w:val="00E75242"/>
    <w:rsid w:val="00E770A6"/>
    <w:rsid w:val="00E83961"/>
    <w:rsid w:val="00E85FC2"/>
    <w:rsid w:val="00E91324"/>
    <w:rsid w:val="00E93A50"/>
    <w:rsid w:val="00E9551D"/>
    <w:rsid w:val="00E958E5"/>
    <w:rsid w:val="00E966C6"/>
    <w:rsid w:val="00E96AE8"/>
    <w:rsid w:val="00E97FE9"/>
    <w:rsid w:val="00EA3342"/>
    <w:rsid w:val="00EA4E8C"/>
    <w:rsid w:val="00EA5B04"/>
    <w:rsid w:val="00EB2EB9"/>
    <w:rsid w:val="00EB4B96"/>
    <w:rsid w:val="00EB525F"/>
    <w:rsid w:val="00EB609C"/>
    <w:rsid w:val="00EC1C71"/>
    <w:rsid w:val="00EC463E"/>
    <w:rsid w:val="00EC73F3"/>
    <w:rsid w:val="00ED1515"/>
    <w:rsid w:val="00EE4607"/>
    <w:rsid w:val="00EE555D"/>
    <w:rsid w:val="00EE5A82"/>
    <w:rsid w:val="00EE73D9"/>
    <w:rsid w:val="00EF1DF8"/>
    <w:rsid w:val="00EF2715"/>
    <w:rsid w:val="00EF30F0"/>
    <w:rsid w:val="00EF4D5C"/>
    <w:rsid w:val="00F04372"/>
    <w:rsid w:val="00F05F8C"/>
    <w:rsid w:val="00F0755A"/>
    <w:rsid w:val="00F07B7E"/>
    <w:rsid w:val="00F07E17"/>
    <w:rsid w:val="00F12E4C"/>
    <w:rsid w:val="00F14955"/>
    <w:rsid w:val="00F15882"/>
    <w:rsid w:val="00F20B5E"/>
    <w:rsid w:val="00F21F6F"/>
    <w:rsid w:val="00F22601"/>
    <w:rsid w:val="00F2342B"/>
    <w:rsid w:val="00F245A6"/>
    <w:rsid w:val="00F27936"/>
    <w:rsid w:val="00F33E6D"/>
    <w:rsid w:val="00F36F0B"/>
    <w:rsid w:val="00F42E0D"/>
    <w:rsid w:val="00F45052"/>
    <w:rsid w:val="00F47597"/>
    <w:rsid w:val="00F4763A"/>
    <w:rsid w:val="00F566B7"/>
    <w:rsid w:val="00F63426"/>
    <w:rsid w:val="00F6465A"/>
    <w:rsid w:val="00F64EE1"/>
    <w:rsid w:val="00F709E1"/>
    <w:rsid w:val="00F71252"/>
    <w:rsid w:val="00F71C67"/>
    <w:rsid w:val="00F72DF6"/>
    <w:rsid w:val="00F75C46"/>
    <w:rsid w:val="00F77928"/>
    <w:rsid w:val="00F8468F"/>
    <w:rsid w:val="00F96164"/>
    <w:rsid w:val="00FA04E2"/>
    <w:rsid w:val="00FA31B6"/>
    <w:rsid w:val="00FA662C"/>
    <w:rsid w:val="00FB1F71"/>
    <w:rsid w:val="00FB5798"/>
    <w:rsid w:val="00FC232C"/>
    <w:rsid w:val="00FC2AD2"/>
    <w:rsid w:val="00FC40AD"/>
    <w:rsid w:val="00FC5384"/>
    <w:rsid w:val="00FC6254"/>
    <w:rsid w:val="00FD1EE5"/>
    <w:rsid w:val="00FD2A6E"/>
    <w:rsid w:val="00FD7BD0"/>
    <w:rsid w:val="00FE10FF"/>
    <w:rsid w:val="00FE14CE"/>
    <w:rsid w:val="00FE1D06"/>
    <w:rsid w:val="00FE37A2"/>
    <w:rsid w:val="00FE4EE2"/>
    <w:rsid w:val="00FE5931"/>
    <w:rsid w:val="00FF638B"/>
    <w:rsid w:val="00FF6F17"/>
    <w:rsid w:val="00FF6FB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7106">
      <o:colormru v:ext="edit" colors="#c00,#9cf,#85c2ff,#a7d3ff,#fd8d90,white"/>
      <o:colormenu v:ext="edit" fillcolor="none" strokecolor="none" extrusion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F04"/>
    <w:pPr>
      <w:widowControl w:val="0"/>
      <w:jc w:val="both"/>
    </w:pPr>
  </w:style>
  <w:style w:type="paragraph" w:styleId="1">
    <w:name w:val="heading 1"/>
    <w:basedOn w:val="a"/>
    <w:next w:val="a"/>
    <w:link w:val="1Char"/>
    <w:uiPriority w:val="9"/>
    <w:qFormat/>
    <w:rsid w:val="00A54BC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54BC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A4DE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A4DE7"/>
    <w:rPr>
      <w:sz w:val="18"/>
      <w:szCs w:val="18"/>
    </w:rPr>
  </w:style>
  <w:style w:type="paragraph" w:styleId="a4">
    <w:name w:val="footer"/>
    <w:basedOn w:val="a"/>
    <w:link w:val="Char0"/>
    <w:uiPriority w:val="99"/>
    <w:unhideWhenUsed/>
    <w:rsid w:val="003A4DE7"/>
    <w:pPr>
      <w:tabs>
        <w:tab w:val="center" w:pos="4153"/>
        <w:tab w:val="right" w:pos="8306"/>
      </w:tabs>
      <w:snapToGrid w:val="0"/>
      <w:jc w:val="left"/>
    </w:pPr>
    <w:rPr>
      <w:sz w:val="18"/>
      <w:szCs w:val="18"/>
    </w:rPr>
  </w:style>
  <w:style w:type="character" w:customStyle="1" w:styleId="Char0">
    <w:name w:val="页脚 Char"/>
    <w:basedOn w:val="a0"/>
    <w:link w:val="a4"/>
    <w:uiPriority w:val="99"/>
    <w:rsid w:val="003A4DE7"/>
    <w:rPr>
      <w:sz w:val="18"/>
      <w:szCs w:val="18"/>
    </w:rPr>
  </w:style>
  <w:style w:type="paragraph" w:styleId="a5">
    <w:name w:val="Balloon Text"/>
    <w:basedOn w:val="a"/>
    <w:link w:val="Char1"/>
    <w:uiPriority w:val="99"/>
    <w:semiHidden/>
    <w:unhideWhenUsed/>
    <w:rsid w:val="003A4DE7"/>
    <w:rPr>
      <w:sz w:val="18"/>
      <w:szCs w:val="18"/>
    </w:rPr>
  </w:style>
  <w:style w:type="character" w:customStyle="1" w:styleId="Char1">
    <w:name w:val="批注框文本 Char"/>
    <w:basedOn w:val="a0"/>
    <w:link w:val="a5"/>
    <w:uiPriority w:val="99"/>
    <w:semiHidden/>
    <w:rsid w:val="003A4DE7"/>
    <w:rPr>
      <w:sz w:val="18"/>
      <w:szCs w:val="18"/>
    </w:rPr>
  </w:style>
  <w:style w:type="table" w:styleId="a6">
    <w:name w:val="Table Grid"/>
    <w:basedOn w:val="a1"/>
    <w:uiPriority w:val="59"/>
    <w:rsid w:val="00473B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2">
    <w:name w:val="Dark List Accent 2"/>
    <w:basedOn w:val="a1"/>
    <w:uiPriority w:val="70"/>
    <w:rsid w:val="00363545"/>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6">
    <w:name w:val="Medium Grid 3 Accent 6"/>
    <w:basedOn w:val="a1"/>
    <w:uiPriority w:val="69"/>
    <w:rsid w:val="0036354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2">
    <w:name w:val="Medium Grid 3 Accent 2"/>
    <w:basedOn w:val="a1"/>
    <w:uiPriority w:val="69"/>
    <w:rsid w:val="0036354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a7">
    <w:name w:val="List Paragraph"/>
    <w:basedOn w:val="a"/>
    <w:uiPriority w:val="34"/>
    <w:qFormat/>
    <w:rsid w:val="004D1597"/>
    <w:pPr>
      <w:ind w:firstLineChars="200" w:firstLine="420"/>
    </w:pPr>
  </w:style>
  <w:style w:type="paragraph" w:styleId="a8">
    <w:name w:val="No Spacing"/>
    <w:link w:val="Char2"/>
    <w:uiPriority w:val="1"/>
    <w:qFormat/>
    <w:rsid w:val="006E3784"/>
    <w:rPr>
      <w:kern w:val="0"/>
      <w:sz w:val="22"/>
    </w:rPr>
  </w:style>
  <w:style w:type="character" w:customStyle="1" w:styleId="Char2">
    <w:name w:val="无间隔 Char"/>
    <w:basedOn w:val="a0"/>
    <w:link w:val="a8"/>
    <w:uiPriority w:val="1"/>
    <w:rsid w:val="006E3784"/>
    <w:rPr>
      <w:kern w:val="0"/>
      <w:sz w:val="22"/>
    </w:rPr>
  </w:style>
  <w:style w:type="character" w:customStyle="1" w:styleId="1Char">
    <w:name w:val="标题 1 Char"/>
    <w:basedOn w:val="a0"/>
    <w:link w:val="1"/>
    <w:uiPriority w:val="9"/>
    <w:rsid w:val="00A54BC3"/>
    <w:rPr>
      <w:b/>
      <w:bCs/>
      <w:kern w:val="44"/>
      <w:sz w:val="44"/>
      <w:szCs w:val="44"/>
    </w:rPr>
  </w:style>
  <w:style w:type="paragraph" w:styleId="TOC">
    <w:name w:val="TOC Heading"/>
    <w:basedOn w:val="1"/>
    <w:next w:val="a"/>
    <w:uiPriority w:val="39"/>
    <w:semiHidden/>
    <w:unhideWhenUsed/>
    <w:qFormat/>
    <w:rsid w:val="00A54BC3"/>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A54BC3"/>
  </w:style>
  <w:style w:type="character" w:styleId="a9">
    <w:name w:val="Hyperlink"/>
    <w:basedOn w:val="a0"/>
    <w:uiPriority w:val="99"/>
    <w:unhideWhenUsed/>
    <w:rsid w:val="00A54BC3"/>
    <w:rPr>
      <w:color w:val="0000FF" w:themeColor="hyperlink"/>
      <w:u w:val="single"/>
    </w:rPr>
  </w:style>
  <w:style w:type="character" w:customStyle="1" w:styleId="2Char">
    <w:name w:val="标题 2 Char"/>
    <w:basedOn w:val="a0"/>
    <w:link w:val="2"/>
    <w:uiPriority w:val="9"/>
    <w:rsid w:val="00A54BC3"/>
    <w:rPr>
      <w:rFonts w:asciiTheme="majorHAnsi" w:eastAsiaTheme="majorEastAsia" w:hAnsiTheme="majorHAnsi" w:cstheme="majorBidi"/>
      <w:b/>
      <w:bCs/>
      <w:sz w:val="32"/>
      <w:szCs w:val="32"/>
    </w:rPr>
  </w:style>
  <w:style w:type="paragraph" w:styleId="20">
    <w:name w:val="toc 2"/>
    <w:basedOn w:val="a"/>
    <w:next w:val="a"/>
    <w:autoRedefine/>
    <w:uiPriority w:val="39"/>
    <w:unhideWhenUsed/>
    <w:rsid w:val="00A54BC3"/>
    <w:pPr>
      <w:ind w:leftChars="200" w:left="420"/>
    </w:pPr>
  </w:style>
  <w:style w:type="paragraph" w:styleId="aa">
    <w:name w:val="Normal (Web)"/>
    <w:basedOn w:val="a"/>
    <w:uiPriority w:val="99"/>
    <w:unhideWhenUsed/>
    <w:rsid w:val="00232598"/>
    <w:pPr>
      <w:widowControl/>
      <w:jc w:val="left"/>
    </w:pPr>
    <w:rPr>
      <w:rFonts w:ascii="宋体" w:eastAsia="宋体" w:hAnsi="宋体" w:cs="宋体"/>
      <w:kern w:val="0"/>
      <w:sz w:val="24"/>
      <w:szCs w:val="24"/>
    </w:rPr>
  </w:style>
  <w:style w:type="paragraph" w:customStyle="1" w:styleId="Default">
    <w:name w:val="Default"/>
    <w:rsid w:val="0099145F"/>
    <w:pPr>
      <w:widowControl w:val="0"/>
      <w:autoSpaceDE w:val="0"/>
      <w:autoSpaceDN w:val="0"/>
      <w:adjustRightInd w:val="0"/>
    </w:pPr>
    <w:rPr>
      <w:rFonts w:ascii="宋体" w:eastAsia="宋体" w:cs="宋体"/>
      <w:color w:val="000000"/>
      <w:kern w:val="0"/>
      <w:sz w:val="24"/>
      <w:szCs w:val="24"/>
    </w:rPr>
  </w:style>
  <w:style w:type="character" w:styleId="ab">
    <w:name w:val="annotation reference"/>
    <w:basedOn w:val="a0"/>
    <w:uiPriority w:val="99"/>
    <w:semiHidden/>
    <w:unhideWhenUsed/>
    <w:rsid w:val="000F5A95"/>
    <w:rPr>
      <w:sz w:val="21"/>
      <w:szCs w:val="21"/>
    </w:rPr>
  </w:style>
  <w:style w:type="paragraph" w:styleId="ac">
    <w:name w:val="annotation text"/>
    <w:basedOn w:val="a"/>
    <w:link w:val="Char3"/>
    <w:uiPriority w:val="99"/>
    <w:semiHidden/>
    <w:unhideWhenUsed/>
    <w:rsid w:val="000F5A95"/>
    <w:pPr>
      <w:jc w:val="left"/>
    </w:pPr>
  </w:style>
  <w:style w:type="character" w:customStyle="1" w:styleId="Char3">
    <w:name w:val="批注文字 Char"/>
    <w:basedOn w:val="a0"/>
    <w:link w:val="ac"/>
    <w:uiPriority w:val="99"/>
    <w:semiHidden/>
    <w:rsid w:val="000F5A95"/>
  </w:style>
  <w:style w:type="paragraph" w:styleId="ad">
    <w:name w:val="annotation subject"/>
    <w:basedOn w:val="ac"/>
    <w:next w:val="ac"/>
    <w:link w:val="Char4"/>
    <w:uiPriority w:val="99"/>
    <w:semiHidden/>
    <w:unhideWhenUsed/>
    <w:rsid w:val="000F5A95"/>
    <w:rPr>
      <w:b/>
      <w:bCs/>
    </w:rPr>
  </w:style>
  <w:style w:type="character" w:customStyle="1" w:styleId="Char4">
    <w:name w:val="批注主题 Char"/>
    <w:basedOn w:val="Char3"/>
    <w:link w:val="ad"/>
    <w:uiPriority w:val="99"/>
    <w:semiHidden/>
    <w:rsid w:val="000F5A95"/>
    <w:rPr>
      <w:b/>
      <w:bCs/>
    </w:rPr>
  </w:style>
  <w:style w:type="paragraph" w:customStyle="1" w:styleId="11">
    <w:name w:val="列出段落1"/>
    <w:basedOn w:val="a"/>
    <w:rsid w:val="003B3F3C"/>
    <w:pPr>
      <w:ind w:firstLineChars="200" w:firstLine="420"/>
    </w:pPr>
    <w:rPr>
      <w:rFonts w:ascii="Calibri" w:eastAsia="宋体" w:hAnsi="Calibri" w:cs="黑体"/>
    </w:rPr>
  </w:style>
</w:styles>
</file>

<file path=word/webSettings.xml><?xml version="1.0" encoding="utf-8"?>
<w:webSettings xmlns:r="http://schemas.openxmlformats.org/officeDocument/2006/relationships" xmlns:w="http://schemas.openxmlformats.org/wordprocessingml/2006/main">
  <w:divs>
    <w:div w:id="77409659">
      <w:bodyDiv w:val="1"/>
      <w:marLeft w:val="0"/>
      <w:marRight w:val="0"/>
      <w:marTop w:val="0"/>
      <w:marBottom w:val="0"/>
      <w:divBdr>
        <w:top w:val="none" w:sz="0" w:space="0" w:color="auto"/>
        <w:left w:val="none" w:sz="0" w:space="0" w:color="auto"/>
        <w:bottom w:val="none" w:sz="0" w:space="0" w:color="auto"/>
        <w:right w:val="none" w:sz="0" w:space="0" w:color="auto"/>
      </w:divBdr>
    </w:div>
    <w:div w:id="114756661">
      <w:bodyDiv w:val="1"/>
      <w:marLeft w:val="0"/>
      <w:marRight w:val="0"/>
      <w:marTop w:val="0"/>
      <w:marBottom w:val="0"/>
      <w:divBdr>
        <w:top w:val="none" w:sz="0" w:space="0" w:color="auto"/>
        <w:left w:val="none" w:sz="0" w:space="0" w:color="auto"/>
        <w:bottom w:val="none" w:sz="0" w:space="0" w:color="auto"/>
        <w:right w:val="none" w:sz="0" w:space="0" w:color="auto"/>
      </w:divBdr>
    </w:div>
    <w:div w:id="283076686">
      <w:bodyDiv w:val="1"/>
      <w:marLeft w:val="0"/>
      <w:marRight w:val="0"/>
      <w:marTop w:val="0"/>
      <w:marBottom w:val="0"/>
      <w:divBdr>
        <w:top w:val="none" w:sz="0" w:space="0" w:color="auto"/>
        <w:left w:val="none" w:sz="0" w:space="0" w:color="auto"/>
        <w:bottom w:val="none" w:sz="0" w:space="0" w:color="auto"/>
        <w:right w:val="none" w:sz="0" w:space="0" w:color="auto"/>
      </w:divBdr>
    </w:div>
    <w:div w:id="991444617">
      <w:bodyDiv w:val="1"/>
      <w:marLeft w:val="0"/>
      <w:marRight w:val="0"/>
      <w:marTop w:val="0"/>
      <w:marBottom w:val="0"/>
      <w:divBdr>
        <w:top w:val="none" w:sz="0" w:space="0" w:color="auto"/>
        <w:left w:val="none" w:sz="0" w:space="0" w:color="auto"/>
        <w:bottom w:val="none" w:sz="0" w:space="0" w:color="auto"/>
        <w:right w:val="none" w:sz="0" w:space="0" w:color="auto"/>
      </w:divBdr>
    </w:div>
    <w:div w:id="1151017893">
      <w:bodyDiv w:val="1"/>
      <w:marLeft w:val="0"/>
      <w:marRight w:val="0"/>
      <w:marTop w:val="0"/>
      <w:marBottom w:val="0"/>
      <w:divBdr>
        <w:top w:val="none" w:sz="0" w:space="0" w:color="auto"/>
        <w:left w:val="none" w:sz="0" w:space="0" w:color="auto"/>
        <w:bottom w:val="none" w:sz="0" w:space="0" w:color="auto"/>
        <w:right w:val="none" w:sz="0" w:space="0" w:color="auto"/>
      </w:divBdr>
    </w:div>
    <w:div w:id="1167284431">
      <w:bodyDiv w:val="1"/>
      <w:marLeft w:val="0"/>
      <w:marRight w:val="0"/>
      <w:marTop w:val="0"/>
      <w:marBottom w:val="0"/>
      <w:divBdr>
        <w:top w:val="none" w:sz="0" w:space="0" w:color="auto"/>
        <w:left w:val="none" w:sz="0" w:space="0" w:color="auto"/>
        <w:bottom w:val="none" w:sz="0" w:space="0" w:color="auto"/>
        <w:right w:val="none" w:sz="0" w:space="0" w:color="auto"/>
      </w:divBdr>
    </w:div>
    <w:div w:id="1586038788">
      <w:bodyDiv w:val="1"/>
      <w:marLeft w:val="0"/>
      <w:marRight w:val="0"/>
      <w:marTop w:val="0"/>
      <w:marBottom w:val="0"/>
      <w:divBdr>
        <w:top w:val="none" w:sz="0" w:space="0" w:color="auto"/>
        <w:left w:val="none" w:sz="0" w:space="0" w:color="auto"/>
        <w:bottom w:val="none" w:sz="0" w:space="0" w:color="auto"/>
        <w:right w:val="none" w:sz="0" w:space="0" w:color="auto"/>
      </w:divBdr>
    </w:div>
    <w:div w:id="1664776854">
      <w:bodyDiv w:val="1"/>
      <w:marLeft w:val="0"/>
      <w:marRight w:val="0"/>
      <w:marTop w:val="0"/>
      <w:marBottom w:val="0"/>
      <w:divBdr>
        <w:top w:val="none" w:sz="0" w:space="0" w:color="auto"/>
        <w:left w:val="none" w:sz="0" w:space="0" w:color="auto"/>
        <w:bottom w:val="none" w:sz="0" w:space="0" w:color="auto"/>
        <w:right w:val="none" w:sz="0" w:space="0" w:color="auto"/>
      </w:divBdr>
    </w:div>
    <w:div w:id="2085912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22.xml"/><Relationship Id="rId21" Type="http://schemas.openxmlformats.org/officeDocument/2006/relationships/chart" Target="charts/chart5.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hyperlink" Target="http://news.pedaily.cn/industry/&#30005;&#20449;&#21450;&#22686;&#20540;&#19994;&#21153;/" TargetMode="External"/><Relationship Id="rId50" Type="http://schemas.openxmlformats.org/officeDocument/2006/relationships/hyperlink" Target="http://news.pedaily.cn/industry/&#33021;&#28304;&#21450;&#30719;&#20135;/" TargetMode="External"/><Relationship Id="rId55" Type="http://schemas.openxmlformats.org/officeDocument/2006/relationships/hyperlink" Target="http://zdb.pedaily.cn/company/&#20013;&#20449;&#36164;&#26412;/" TargetMode="External"/><Relationship Id="rId63" Type="http://schemas.openxmlformats.org/officeDocument/2006/relationships/chart" Target="charts/chart31.xml"/><Relationship Id="rId68" Type="http://schemas.openxmlformats.org/officeDocument/2006/relationships/chart" Target="charts/chart36.xml"/><Relationship Id="rId76" Type="http://schemas.openxmlformats.org/officeDocument/2006/relationships/chart" Target="charts/chart44.xml"/><Relationship Id="rId7" Type="http://schemas.openxmlformats.org/officeDocument/2006/relationships/footnotes" Target="footnotes.xml"/><Relationship Id="rId71" Type="http://schemas.openxmlformats.org/officeDocument/2006/relationships/chart" Target="charts/chart39.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chart" Target="charts/chart12.xml"/><Relationship Id="rId11" Type="http://schemas.openxmlformats.org/officeDocument/2006/relationships/diagramData" Target="diagrams/data1.xml"/><Relationship Id="rId24" Type="http://schemas.openxmlformats.org/officeDocument/2006/relationships/chart" Target="charts/chart8.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hyperlink" Target="http://news.pedaily.cn/industry/&#20114;&#32852;&#32593;/" TargetMode="External"/><Relationship Id="rId53" Type="http://schemas.openxmlformats.org/officeDocument/2006/relationships/chart" Target="charts/chart27.xml"/><Relationship Id="rId58" Type="http://schemas.openxmlformats.org/officeDocument/2006/relationships/hyperlink" Target="http://news.pedaily.cn/industry/&#21322;&#23548;&#20307;/" TargetMode="External"/><Relationship Id="rId66" Type="http://schemas.openxmlformats.org/officeDocument/2006/relationships/chart" Target="charts/chart34.xml"/><Relationship Id="rId74" Type="http://schemas.openxmlformats.org/officeDocument/2006/relationships/chart" Target="charts/chart42.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29.xml"/><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chart" Target="charts/chart14.xml"/><Relationship Id="rId44" Type="http://schemas.openxmlformats.org/officeDocument/2006/relationships/hyperlink" Target="http://news.pedaily.cn/industry/&#29983;&#29289;&#25216;&#26415;/&#21307;&#30103;&#20581;&#24247;/" TargetMode="External"/><Relationship Id="rId52" Type="http://schemas.openxmlformats.org/officeDocument/2006/relationships/hyperlink" Target="http://news.pedaily.cn/industry/&#21270;&#24037;&#21407;&#26009;&#21450;&#21152;&#24037;/" TargetMode="External"/><Relationship Id="rId60" Type="http://schemas.openxmlformats.org/officeDocument/2006/relationships/chart" Target="charts/chart28.xml"/><Relationship Id="rId65" Type="http://schemas.openxmlformats.org/officeDocument/2006/relationships/chart" Target="charts/chart33.xml"/><Relationship Id="rId73" Type="http://schemas.openxmlformats.org/officeDocument/2006/relationships/chart" Target="charts/chart41.xml"/><Relationship Id="rId78"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chart" Target="charts/chart6.xml"/><Relationship Id="rId27" Type="http://schemas.openxmlformats.org/officeDocument/2006/relationships/image" Target="media/image4.emf"/><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hyperlink" Target="http://news.pedaily.cn/industry/IT/" TargetMode="External"/><Relationship Id="rId56" Type="http://schemas.openxmlformats.org/officeDocument/2006/relationships/hyperlink" Target="http://news.pedaily.cn/industry/&#21270;&#24037;&#21407;&#26009;&#21450;&#21152;&#24037;/" TargetMode="External"/><Relationship Id="rId64" Type="http://schemas.openxmlformats.org/officeDocument/2006/relationships/chart" Target="charts/chart32.xml"/><Relationship Id="rId69" Type="http://schemas.openxmlformats.org/officeDocument/2006/relationships/chart" Target="charts/chart37.xml"/><Relationship Id="rId77" Type="http://schemas.openxmlformats.org/officeDocument/2006/relationships/image" Target="media/image5.jpeg"/><Relationship Id="rId8" Type="http://schemas.openxmlformats.org/officeDocument/2006/relationships/endnotes" Target="endnotes.xml"/><Relationship Id="rId51" Type="http://schemas.openxmlformats.org/officeDocument/2006/relationships/hyperlink" Target="http://news.pedaily.cn/industry/&#20892;/&#26519;/&#29287;/&#28180;/" TargetMode="External"/><Relationship Id="rId72" Type="http://schemas.openxmlformats.org/officeDocument/2006/relationships/chart" Target="charts/chart40.xm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hyperlink" Target="http://news.pedaily.cn/industry/&#28165;&#27905;&#25216;&#26415;/" TargetMode="External"/><Relationship Id="rId59" Type="http://schemas.openxmlformats.org/officeDocument/2006/relationships/hyperlink" Target="http://news.pedaily.cn/industry/&#29983;&#29289;&#25216;&#26415;/&#21307;&#30103;&#20581;&#24247;/" TargetMode="External"/><Relationship Id="rId67" Type="http://schemas.openxmlformats.org/officeDocument/2006/relationships/chart" Target="charts/chart35.xml"/><Relationship Id="rId20" Type="http://schemas.openxmlformats.org/officeDocument/2006/relationships/chart" Target="charts/chart4.xml"/><Relationship Id="rId41" Type="http://schemas.openxmlformats.org/officeDocument/2006/relationships/chart" Target="charts/chart24.xml"/><Relationship Id="rId54" Type="http://schemas.openxmlformats.org/officeDocument/2006/relationships/hyperlink" Target="http://news.pedaily.cn/industry/&#29289;&#27969;/" TargetMode="External"/><Relationship Id="rId62" Type="http://schemas.openxmlformats.org/officeDocument/2006/relationships/chart" Target="charts/chart30.xml"/><Relationship Id="rId70" Type="http://schemas.openxmlformats.org/officeDocument/2006/relationships/chart" Target="charts/chart38.xml"/><Relationship Id="rId75" Type="http://schemas.openxmlformats.org/officeDocument/2006/relationships/chart" Target="charts/chart43.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chart" Target="charts/chart7.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hyperlink" Target="http://news.pedaily.cn/industry/&#20809;&#30005;/" TargetMode="External"/><Relationship Id="rId57" Type="http://schemas.openxmlformats.org/officeDocument/2006/relationships/hyperlink" Target="http://news.pedaily.cn/industry/&#26426;&#26800;&#21046;&#3689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esktop\&#24037;&#20316;&#23433;&#25490;&amp;&#30456;&#20851;&#25991;&#20214;\&#27599;&#23395;\&#21103;&#26412;&#36164;&#20135;&#37197;&#32622;&#25968;&#2545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Lenovo\Desktop\&#24037;&#20316;&#23433;&#25490;&amp;&#30456;&#20851;&#25991;&#20214;\&#27599;&#23395;\&#21103;&#26412;&#36164;&#20135;&#37197;&#32622;&#25968;&#2545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25968;&#25454;&#23548;&#20986;6.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25968;&#25454;&#23548;&#20986;7.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25968;&#25454;&#23548;&#20986;8.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25968;&#25454;&#23548;&#20986;10.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25968;&#25454;&#23548;&#20986;9.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Lenovo\Desktop\&#27599;&#23395;\&#21103;&#26412;&#36164;&#20135;&#37197;&#32622;&#25968;&#2545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Lenovo\Desktop\&#27599;&#23395;\&#21103;&#26412;&#36164;&#20135;&#37197;&#32622;&#25968;&#2545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esktop\&#24037;&#20316;&#23433;&#25490;&amp;&#30456;&#20851;&#25991;&#20214;\&#27599;&#23395;\&#21103;&#26412;&#36164;&#20135;&#37197;&#32622;&#25968;&#2545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Lenovo\Desktop\&#31169;&#21215;&#32929;&#26435;3&#23395;&#24230;&#25968;&#25454;.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Lenovo\Desktop\&#31169;&#21215;&#32929;&#26435;3&#23395;&#24230;&#25968;&#25454;.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Lenovo\Desktop\&#31169;&#21215;&#32929;&#26435;3&#23395;&#24230;&#25968;&#25454;.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Lenovo\Desktop\&#31169;&#21215;&#32929;&#26435;3&#23395;&#24230;&#25968;&#25454;.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Lenovo\Desktop\&#31169;&#21215;&#32929;&#26435;3&#23395;&#24230;&#25968;&#25454;.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Lenovo\Desktop\&#31169;&#21215;&#32929;&#26435;3&#23395;&#24230;&#25968;&#2545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novo\Desktop\&#36164;&#20135;&#37197;&#32622;&#25968;&#25454;&#24037;&#20316;&#34920;.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Lenovo\Desktop\&#27599;&#23395;\&#21103;&#26412;&#36164;&#20135;&#37197;&#32622;&#25968;&#25454;.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Lenovo\Desktop\&#27599;&#23395;\&#21103;&#26412;&#36164;&#20135;&#37197;&#32622;&#25968;&#25454;.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Lenovo\Desktop\&#27599;&#23395;\&#21103;&#26412;&#36164;&#20135;&#37197;&#32622;&#25968;&#25454;.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Lenovo\Desktop\&#27599;&#23395;\&#21103;&#26412;&#36164;&#20135;&#37197;&#32622;&#25968;&#25454;.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Lenovo\Desktop\&#27599;&#23395;\&#21103;&#26412;&#36164;&#20135;&#37197;&#32622;&#25968;&#25454;.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Lenovo\Desktop\&#27599;&#23395;\&#21103;&#26412;&#36164;&#20135;&#37197;&#32622;&#25968;&#25454;.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Lenovo\Desktop\&#27599;&#23395;\&#21103;&#26412;&#36164;&#20135;&#37197;&#32622;&#25968;&#25454;.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Wind\Wind.NET.Client\WindNET\users\W5718317\export\&#21335;&#21326;&#26399;&#36135;&#21830;&#21697;&#25351;&#25968;.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D:\iFinD\users\jscf001\edb\&#21516;&#33457;&#39034;EDB.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enovo\Desktop\&#36164;&#20135;&#37197;&#32622;&#25968;&#25454;&#24037;&#20316;&#34920;.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Lenovo\Desktop\&#27599;&#23395;\&#21103;&#26412;&#36164;&#20135;&#37197;&#32622;&#25968;&#25454;.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Lenovo\Desktop\&#27599;&#23395;\&#21103;&#26412;&#36164;&#20135;&#37197;&#32622;&#25968;&#25454;.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Lenovo\Desktop\&#27599;&#23395;\&#21103;&#26412;&#36164;&#20135;&#37197;&#32622;&#25968;&#25454;.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Lenovo\Desktop\&#27599;&#23395;\&#21103;&#26412;&#36164;&#20135;&#37197;&#32622;&#25968;&#25454;.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Lenovo\Desktop\&#27599;&#23395;\&#21103;&#26412;&#36164;&#20135;&#37197;&#32622;&#25968;&#2545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enovo\Desktop\&#36164;&#20135;&#37197;&#32622;&#25968;&#25454;&#24037;&#20316;&#349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5968;&#25454;&#23548;&#20986;4.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iFinD\users\jscf001\edb\&#21516;&#33457;&#39034;EDB(01).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iFinD\users\jscf001\edb\&#21516;&#33457;&#39034;EDB.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enovo\Desktop\&#24037;&#20316;&#23433;&#25490;&amp;&#30456;&#20851;&#25991;&#20214;\&#27599;&#23395;\&#21103;&#26412;&#36164;&#20135;&#37197;&#32622;&#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strRef>
              <c:f>Sheet1!$B$1:$B$3</c:f>
              <c:strCache>
                <c:ptCount val="1"/>
                <c:pt idx="0">
                  <c:v>汇丰PMI:制造业 月 %</c:v>
                </c:pt>
              </c:strCache>
            </c:strRef>
          </c:tx>
          <c:marker>
            <c:symbol val="none"/>
          </c:marker>
          <c:cat>
            <c:numRef>
              <c:f>Sheet1!$A$4:$A$100</c:f>
              <c:numCache>
                <c:formatCode>yyyy\-mm;@</c:formatCode>
                <c:ptCount val="97"/>
                <c:pt idx="0">
                  <c:v>41547</c:v>
                </c:pt>
                <c:pt idx="1">
                  <c:v>41517</c:v>
                </c:pt>
                <c:pt idx="2">
                  <c:v>41486</c:v>
                </c:pt>
                <c:pt idx="3">
                  <c:v>41455</c:v>
                </c:pt>
                <c:pt idx="4">
                  <c:v>41425</c:v>
                </c:pt>
                <c:pt idx="5">
                  <c:v>41394</c:v>
                </c:pt>
                <c:pt idx="6">
                  <c:v>41364</c:v>
                </c:pt>
                <c:pt idx="7">
                  <c:v>41333</c:v>
                </c:pt>
                <c:pt idx="8">
                  <c:v>41305</c:v>
                </c:pt>
                <c:pt idx="9">
                  <c:v>41274</c:v>
                </c:pt>
                <c:pt idx="10">
                  <c:v>41243</c:v>
                </c:pt>
                <c:pt idx="11">
                  <c:v>41213</c:v>
                </c:pt>
                <c:pt idx="12">
                  <c:v>41182</c:v>
                </c:pt>
                <c:pt idx="13">
                  <c:v>41152</c:v>
                </c:pt>
                <c:pt idx="14">
                  <c:v>41121</c:v>
                </c:pt>
                <c:pt idx="15">
                  <c:v>41090</c:v>
                </c:pt>
                <c:pt idx="16">
                  <c:v>41060</c:v>
                </c:pt>
                <c:pt idx="17">
                  <c:v>41029</c:v>
                </c:pt>
                <c:pt idx="18">
                  <c:v>40999</c:v>
                </c:pt>
                <c:pt idx="19">
                  <c:v>40968</c:v>
                </c:pt>
                <c:pt idx="20">
                  <c:v>40939</c:v>
                </c:pt>
                <c:pt idx="21">
                  <c:v>40908</c:v>
                </c:pt>
                <c:pt idx="22">
                  <c:v>40877</c:v>
                </c:pt>
                <c:pt idx="23">
                  <c:v>40847</c:v>
                </c:pt>
                <c:pt idx="24">
                  <c:v>40816</c:v>
                </c:pt>
                <c:pt idx="25">
                  <c:v>40786</c:v>
                </c:pt>
                <c:pt idx="26">
                  <c:v>40755</c:v>
                </c:pt>
                <c:pt idx="27">
                  <c:v>40724</c:v>
                </c:pt>
                <c:pt idx="28">
                  <c:v>40694</c:v>
                </c:pt>
                <c:pt idx="29">
                  <c:v>40663</c:v>
                </c:pt>
                <c:pt idx="30">
                  <c:v>40633</c:v>
                </c:pt>
                <c:pt idx="31">
                  <c:v>40602</c:v>
                </c:pt>
                <c:pt idx="32">
                  <c:v>40574</c:v>
                </c:pt>
                <c:pt idx="33">
                  <c:v>40543</c:v>
                </c:pt>
                <c:pt idx="34">
                  <c:v>40512</c:v>
                </c:pt>
                <c:pt idx="35">
                  <c:v>40482</c:v>
                </c:pt>
                <c:pt idx="36">
                  <c:v>40451</c:v>
                </c:pt>
                <c:pt idx="37">
                  <c:v>40421</c:v>
                </c:pt>
                <c:pt idx="38">
                  <c:v>40390</c:v>
                </c:pt>
                <c:pt idx="39">
                  <c:v>40359</c:v>
                </c:pt>
                <c:pt idx="40">
                  <c:v>40329</c:v>
                </c:pt>
                <c:pt idx="41">
                  <c:v>40298</c:v>
                </c:pt>
                <c:pt idx="42">
                  <c:v>40268</c:v>
                </c:pt>
                <c:pt idx="43">
                  <c:v>40237</c:v>
                </c:pt>
                <c:pt idx="44">
                  <c:v>40209</c:v>
                </c:pt>
                <c:pt idx="45">
                  <c:v>40178</c:v>
                </c:pt>
                <c:pt idx="46">
                  <c:v>40147</c:v>
                </c:pt>
                <c:pt idx="47">
                  <c:v>40117</c:v>
                </c:pt>
                <c:pt idx="48">
                  <c:v>40086</c:v>
                </c:pt>
                <c:pt idx="49">
                  <c:v>40056</c:v>
                </c:pt>
                <c:pt idx="50">
                  <c:v>40025</c:v>
                </c:pt>
                <c:pt idx="51">
                  <c:v>39994</c:v>
                </c:pt>
                <c:pt idx="52">
                  <c:v>39964</c:v>
                </c:pt>
                <c:pt idx="53">
                  <c:v>39933</c:v>
                </c:pt>
                <c:pt idx="54">
                  <c:v>39903</c:v>
                </c:pt>
                <c:pt idx="55">
                  <c:v>39872</c:v>
                </c:pt>
                <c:pt idx="56">
                  <c:v>39844</c:v>
                </c:pt>
                <c:pt idx="57">
                  <c:v>39813</c:v>
                </c:pt>
                <c:pt idx="58">
                  <c:v>39782</c:v>
                </c:pt>
                <c:pt idx="59">
                  <c:v>39752</c:v>
                </c:pt>
                <c:pt idx="60">
                  <c:v>39721</c:v>
                </c:pt>
                <c:pt idx="61">
                  <c:v>39691</c:v>
                </c:pt>
                <c:pt idx="62">
                  <c:v>39660</c:v>
                </c:pt>
                <c:pt idx="63">
                  <c:v>39629</c:v>
                </c:pt>
                <c:pt idx="64">
                  <c:v>39599</c:v>
                </c:pt>
                <c:pt idx="65">
                  <c:v>39568</c:v>
                </c:pt>
                <c:pt idx="66">
                  <c:v>39538</c:v>
                </c:pt>
                <c:pt idx="67">
                  <c:v>39507</c:v>
                </c:pt>
                <c:pt idx="68">
                  <c:v>39478</c:v>
                </c:pt>
                <c:pt idx="69">
                  <c:v>39447</c:v>
                </c:pt>
                <c:pt idx="70">
                  <c:v>39416</c:v>
                </c:pt>
                <c:pt idx="71">
                  <c:v>39386</c:v>
                </c:pt>
                <c:pt idx="72">
                  <c:v>39355</c:v>
                </c:pt>
                <c:pt idx="73">
                  <c:v>39325</c:v>
                </c:pt>
                <c:pt idx="74">
                  <c:v>39294</c:v>
                </c:pt>
                <c:pt idx="75">
                  <c:v>39263</c:v>
                </c:pt>
                <c:pt idx="76">
                  <c:v>39233</c:v>
                </c:pt>
                <c:pt idx="77">
                  <c:v>39202</c:v>
                </c:pt>
                <c:pt idx="78">
                  <c:v>39172</c:v>
                </c:pt>
                <c:pt idx="79">
                  <c:v>39141</c:v>
                </c:pt>
                <c:pt idx="80">
                  <c:v>39113</c:v>
                </c:pt>
                <c:pt idx="81">
                  <c:v>39082</c:v>
                </c:pt>
                <c:pt idx="82">
                  <c:v>39051</c:v>
                </c:pt>
                <c:pt idx="83">
                  <c:v>39021</c:v>
                </c:pt>
                <c:pt idx="84">
                  <c:v>38990</c:v>
                </c:pt>
                <c:pt idx="85">
                  <c:v>38960</c:v>
                </c:pt>
                <c:pt idx="86">
                  <c:v>38929</c:v>
                </c:pt>
                <c:pt idx="87">
                  <c:v>38898</c:v>
                </c:pt>
                <c:pt idx="88">
                  <c:v>38868</c:v>
                </c:pt>
                <c:pt idx="89">
                  <c:v>38837</c:v>
                </c:pt>
                <c:pt idx="90">
                  <c:v>38807</c:v>
                </c:pt>
                <c:pt idx="91">
                  <c:v>38776</c:v>
                </c:pt>
                <c:pt idx="92">
                  <c:v>38748</c:v>
                </c:pt>
                <c:pt idx="93">
                  <c:v>38717</c:v>
                </c:pt>
                <c:pt idx="94">
                  <c:v>38686</c:v>
                </c:pt>
                <c:pt idx="95">
                  <c:v>38656</c:v>
                </c:pt>
                <c:pt idx="96">
                  <c:v>38625</c:v>
                </c:pt>
              </c:numCache>
            </c:numRef>
          </c:cat>
          <c:val>
            <c:numRef>
              <c:f>Sheet1!$B$4:$B$100</c:f>
              <c:numCache>
                <c:formatCode>#,##0.00_ </c:formatCode>
                <c:ptCount val="97"/>
                <c:pt idx="0" formatCode="0.00_ ">
                  <c:v>50.2</c:v>
                </c:pt>
                <c:pt idx="1">
                  <c:v>50.1</c:v>
                </c:pt>
                <c:pt idx="2">
                  <c:v>47.7</c:v>
                </c:pt>
                <c:pt idx="3">
                  <c:v>48.2</c:v>
                </c:pt>
                <c:pt idx="4">
                  <c:v>49.2</c:v>
                </c:pt>
                <c:pt idx="5">
                  <c:v>50.4</c:v>
                </c:pt>
                <c:pt idx="6">
                  <c:v>51.6</c:v>
                </c:pt>
                <c:pt idx="7">
                  <c:v>50.4</c:v>
                </c:pt>
                <c:pt idx="8">
                  <c:v>52.3</c:v>
                </c:pt>
                <c:pt idx="9">
                  <c:v>51.5</c:v>
                </c:pt>
                <c:pt idx="10">
                  <c:v>50.5</c:v>
                </c:pt>
                <c:pt idx="11">
                  <c:v>49.5</c:v>
                </c:pt>
                <c:pt idx="12">
                  <c:v>47.9</c:v>
                </c:pt>
                <c:pt idx="13">
                  <c:v>47.6</c:v>
                </c:pt>
                <c:pt idx="14">
                  <c:v>49.3</c:v>
                </c:pt>
                <c:pt idx="15">
                  <c:v>48.2</c:v>
                </c:pt>
                <c:pt idx="16">
                  <c:v>48.4</c:v>
                </c:pt>
                <c:pt idx="17">
                  <c:v>49.3</c:v>
                </c:pt>
                <c:pt idx="18">
                  <c:v>48.3</c:v>
                </c:pt>
                <c:pt idx="19">
                  <c:v>49.6</c:v>
                </c:pt>
                <c:pt idx="20">
                  <c:v>48.8</c:v>
                </c:pt>
                <c:pt idx="21">
                  <c:v>48.7</c:v>
                </c:pt>
                <c:pt idx="22">
                  <c:v>47.7</c:v>
                </c:pt>
                <c:pt idx="23">
                  <c:v>51</c:v>
                </c:pt>
                <c:pt idx="24">
                  <c:v>49.9</c:v>
                </c:pt>
                <c:pt idx="25">
                  <c:v>49.9</c:v>
                </c:pt>
                <c:pt idx="26">
                  <c:v>49.3</c:v>
                </c:pt>
                <c:pt idx="27">
                  <c:v>50.1</c:v>
                </c:pt>
                <c:pt idx="28">
                  <c:v>51.6</c:v>
                </c:pt>
                <c:pt idx="29">
                  <c:v>51.8</c:v>
                </c:pt>
                <c:pt idx="30">
                  <c:v>51.8</c:v>
                </c:pt>
                <c:pt idx="31">
                  <c:v>51.7</c:v>
                </c:pt>
                <c:pt idx="32">
                  <c:v>54.5</c:v>
                </c:pt>
                <c:pt idx="33">
                  <c:v>54.4</c:v>
                </c:pt>
                <c:pt idx="34">
                  <c:v>55.3</c:v>
                </c:pt>
                <c:pt idx="35">
                  <c:v>54.8</c:v>
                </c:pt>
                <c:pt idx="36">
                  <c:v>52.9</c:v>
                </c:pt>
                <c:pt idx="37">
                  <c:v>51.9</c:v>
                </c:pt>
                <c:pt idx="38">
                  <c:v>49.4</c:v>
                </c:pt>
                <c:pt idx="39">
                  <c:v>50.4</c:v>
                </c:pt>
                <c:pt idx="40">
                  <c:v>52.7</c:v>
                </c:pt>
                <c:pt idx="41">
                  <c:v>55.2</c:v>
                </c:pt>
                <c:pt idx="42">
                  <c:v>57</c:v>
                </c:pt>
                <c:pt idx="43">
                  <c:v>55.8</c:v>
                </c:pt>
                <c:pt idx="44">
                  <c:v>57.4</c:v>
                </c:pt>
                <c:pt idx="45">
                  <c:v>56.1</c:v>
                </c:pt>
                <c:pt idx="46">
                  <c:v>55.7</c:v>
                </c:pt>
                <c:pt idx="47">
                  <c:v>55.4</c:v>
                </c:pt>
                <c:pt idx="48">
                  <c:v>55</c:v>
                </c:pt>
                <c:pt idx="49">
                  <c:v>55.1</c:v>
                </c:pt>
                <c:pt idx="50">
                  <c:v>52.8</c:v>
                </c:pt>
                <c:pt idx="51">
                  <c:v>51.8</c:v>
                </c:pt>
                <c:pt idx="52">
                  <c:v>51.2</c:v>
                </c:pt>
                <c:pt idx="53">
                  <c:v>50.1</c:v>
                </c:pt>
                <c:pt idx="54">
                  <c:v>44.8</c:v>
                </c:pt>
                <c:pt idx="55">
                  <c:v>45.1</c:v>
                </c:pt>
                <c:pt idx="56">
                  <c:v>42.2</c:v>
                </c:pt>
                <c:pt idx="57">
                  <c:v>41.2</c:v>
                </c:pt>
                <c:pt idx="58">
                  <c:v>40.9</c:v>
                </c:pt>
                <c:pt idx="59">
                  <c:v>45.2</c:v>
                </c:pt>
                <c:pt idx="60">
                  <c:v>47.7</c:v>
                </c:pt>
                <c:pt idx="61">
                  <c:v>49.2</c:v>
                </c:pt>
                <c:pt idx="62">
                  <c:v>53.3</c:v>
                </c:pt>
                <c:pt idx="63">
                  <c:v>53.3</c:v>
                </c:pt>
                <c:pt idx="64">
                  <c:v>54.7</c:v>
                </c:pt>
                <c:pt idx="65">
                  <c:v>55.4</c:v>
                </c:pt>
                <c:pt idx="66">
                  <c:v>54.4</c:v>
                </c:pt>
                <c:pt idx="67">
                  <c:v>52.8</c:v>
                </c:pt>
                <c:pt idx="68">
                  <c:v>53.2</c:v>
                </c:pt>
                <c:pt idx="69">
                  <c:v>53.3</c:v>
                </c:pt>
                <c:pt idx="70">
                  <c:v>52.8</c:v>
                </c:pt>
                <c:pt idx="71">
                  <c:v>55.2</c:v>
                </c:pt>
                <c:pt idx="72">
                  <c:v>55</c:v>
                </c:pt>
                <c:pt idx="73">
                  <c:v>53.4</c:v>
                </c:pt>
                <c:pt idx="74">
                  <c:v>53.2</c:v>
                </c:pt>
                <c:pt idx="75">
                  <c:v>55</c:v>
                </c:pt>
                <c:pt idx="76">
                  <c:v>54.1</c:v>
                </c:pt>
                <c:pt idx="77">
                  <c:v>53.3</c:v>
                </c:pt>
                <c:pt idx="78">
                  <c:v>52.3</c:v>
                </c:pt>
                <c:pt idx="79">
                  <c:v>53</c:v>
                </c:pt>
                <c:pt idx="80">
                  <c:v>52</c:v>
                </c:pt>
                <c:pt idx="81">
                  <c:v>52.4</c:v>
                </c:pt>
                <c:pt idx="82">
                  <c:v>53</c:v>
                </c:pt>
                <c:pt idx="83">
                  <c:v>52.1</c:v>
                </c:pt>
                <c:pt idx="84">
                  <c:v>52.4</c:v>
                </c:pt>
                <c:pt idx="85">
                  <c:v>52.6</c:v>
                </c:pt>
                <c:pt idx="86">
                  <c:v>53</c:v>
                </c:pt>
                <c:pt idx="87">
                  <c:v>52.9</c:v>
                </c:pt>
                <c:pt idx="88">
                  <c:v>52.8</c:v>
                </c:pt>
                <c:pt idx="89">
                  <c:v>52.7</c:v>
                </c:pt>
                <c:pt idx="90">
                  <c:v>51</c:v>
                </c:pt>
                <c:pt idx="91">
                  <c:v>50.7</c:v>
                </c:pt>
                <c:pt idx="92">
                  <c:v>50.2</c:v>
                </c:pt>
                <c:pt idx="93">
                  <c:v>50.1</c:v>
                </c:pt>
                <c:pt idx="94">
                  <c:v>49.8</c:v>
                </c:pt>
                <c:pt idx="95">
                  <c:v>50.1</c:v>
                </c:pt>
                <c:pt idx="96">
                  <c:v>50.9</c:v>
                </c:pt>
              </c:numCache>
            </c:numRef>
          </c:val>
        </c:ser>
        <c:ser>
          <c:idx val="1"/>
          <c:order val="1"/>
          <c:tx>
            <c:strRef>
              <c:f>Sheet1!$C$1:$C$3</c:f>
              <c:strCache>
                <c:ptCount val="1"/>
                <c:pt idx="0">
                  <c:v>制造业PMI 月 %</c:v>
                </c:pt>
              </c:strCache>
            </c:strRef>
          </c:tx>
          <c:marker>
            <c:symbol val="none"/>
          </c:marker>
          <c:cat>
            <c:numRef>
              <c:f>Sheet1!$A$4:$A$100</c:f>
              <c:numCache>
                <c:formatCode>yyyy\-mm;@</c:formatCode>
                <c:ptCount val="97"/>
                <c:pt idx="0">
                  <c:v>41547</c:v>
                </c:pt>
                <c:pt idx="1">
                  <c:v>41517</c:v>
                </c:pt>
                <c:pt idx="2">
                  <c:v>41486</c:v>
                </c:pt>
                <c:pt idx="3">
                  <c:v>41455</c:v>
                </c:pt>
                <c:pt idx="4">
                  <c:v>41425</c:v>
                </c:pt>
                <c:pt idx="5">
                  <c:v>41394</c:v>
                </c:pt>
                <c:pt idx="6">
                  <c:v>41364</c:v>
                </c:pt>
                <c:pt idx="7">
                  <c:v>41333</c:v>
                </c:pt>
                <c:pt idx="8">
                  <c:v>41305</c:v>
                </c:pt>
                <c:pt idx="9">
                  <c:v>41274</c:v>
                </c:pt>
                <c:pt idx="10">
                  <c:v>41243</c:v>
                </c:pt>
                <c:pt idx="11">
                  <c:v>41213</c:v>
                </c:pt>
                <c:pt idx="12">
                  <c:v>41182</c:v>
                </c:pt>
                <c:pt idx="13">
                  <c:v>41152</c:v>
                </c:pt>
                <c:pt idx="14">
                  <c:v>41121</c:v>
                </c:pt>
                <c:pt idx="15">
                  <c:v>41090</c:v>
                </c:pt>
                <c:pt idx="16">
                  <c:v>41060</c:v>
                </c:pt>
                <c:pt idx="17">
                  <c:v>41029</c:v>
                </c:pt>
                <c:pt idx="18">
                  <c:v>40999</c:v>
                </c:pt>
                <c:pt idx="19">
                  <c:v>40968</c:v>
                </c:pt>
                <c:pt idx="20">
                  <c:v>40939</c:v>
                </c:pt>
                <c:pt idx="21">
                  <c:v>40908</c:v>
                </c:pt>
                <c:pt idx="22">
                  <c:v>40877</c:v>
                </c:pt>
                <c:pt idx="23">
                  <c:v>40847</c:v>
                </c:pt>
                <c:pt idx="24">
                  <c:v>40816</c:v>
                </c:pt>
                <c:pt idx="25">
                  <c:v>40786</c:v>
                </c:pt>
                <c:pt idx="26">
                  <c:v>40755</c:v>
                </c:pt>
                <c:pt idx="27">
                  <c:v>40724</c:v>
                </c:pt>
                <c:pt idx="28">
                  <c:v>40694</c:v>
                </c:pt>
                <c:pt idx="29">
                  <c:v>40663</c:v>
                </c:pt>
                <c:pt idx="30">
                  <c:v>40633</c:v>
                </c:pt>
                <c:pt idx="31">
                  <c:v>40602</c:v>
                </c:pt>
                <c:pt idx="32">
                  <c:v>40574</c:v>
                </c:pt>
                <c:pt idx="33">
                  <c:v>40543</c:v>
                </c:pt>
                <c:pt idx="34">
                  <c:v>40512</c:v>
                </c:pt>
                <c:pt idx="35">
                  <c:v>40482</c:v>
                </c:pt>
                <c:pt idx="36">
                  <c:v>40451</c:v>
                </c:pt>
                <c:pt idx="37">
                  <c:v>40421</c:v>
                </c:pt>
                <c:pt idx="38">
                  <c:v>40390</c:v>
                </c:pt>
                <c:pt idx="39">
                  <c:v>40359</c:v>
                </c:pt>
                <c:pt idx="40">
                  <c:v>40329</c:v>
                </c:pt>
                <c:pt idx="41">
                  <c:v>40298</c:v>
                </c:pt>
                <c:pt idx="42">
                  <c:v>40268</c:v>
                </c:pt>
                <c:pt idx="43">
                  <c:v>40237</c:v>
                </c:pt>
                <c:pt idx="44">
                  <c:v>40209</c:v>
                </c:pt>
                <c:pt idx="45">
                  <c:v>40178</c:v>
                </c:pt>
                <c:pt idx="46">
                  <c:v>40147</c:v>
                </c:pt>
                <c:pt idx="47">
                  <c:v>40117</c:v>
                </c:pt>
                <c:pt idx="48">
                  <c:v>40086</c:v>
                </c:pt>
                <c:pt idx="49">
                  <c:v>40056</c:v>
                </c:pt>
                <c:pt idx="50">
                  <c:v>40025</c:v>
                </c:pt>
                <c:pt idx="51">
                  <c:v>39994</c:v>
                </c:pt>
                <c:pt idx="52">
                  <c:v>39964</c:v>
                </c:pt>
                <c:pt idx="53">
                  <c:v>39933</c:v>
                </c:pt>
                <c:pt idx="54">
                  <c:v>39903</c:v>
                </c:pt>
                <c:pt idx="55">
                  <c:v>39872</c:v>
                </c:pt>
                <c:pt idx="56">
                  <c:v>39844</c:v>
                </c:pt>
                <c:pt idx="57">
                  <c:v>39813</c:v>
                </c:pt>
                <c:pt idx="58">
                  <c:v>39782</c:v>
                </c:pt>
                <c:pt idx="59">
                  <c:v>39752</c:v>
                </c:pt>
                <c:pt idx="60">
                  <c:v>39721</c:v>
                </c:pt>
                <c:pt idx="61">
                  <c:v>39691</c:v>
                </c:pt>
                <c:pt idx="62">
                  <c:v>39660</c:v>
                </c:pt>
                <c:pt idx="63">
                  <c:v>39629</c:v>
                </c:pt>
                <c:pt idx="64">
                  <c:v>39599</c:v>
                </c:pt>
                <c:pt idx="65">
                  <c:v>39568</c:v>
                </c:pt>
                <c:pt idx="66">
                  <c:v>39538</c:v>
                </c:pt>
                <c:pt idx="67">
                  <c:v>39507</c:v>
                </c:pt>
                <c:pt idx="68">
                  <c:v>39478</c:v>
                </c:pt>
                <c:pt idx="69">
                  <c:v>39447</c:v>
                </c:pt>
                <c:pt idx="70">
                  <c:v>39416</c:v>
                </c:pt>
                <c:pt idx="71">
                  <c:v>39386</c:v>
                </c:pt>
                <c:pt idx="72">
                  <c:v>39355</c:v>
                </c:pt>
                <c:pt idx="73">
                  <c:v>39325</c:v>
                </c:pt>
                <c:pt idx="74">
                  <c:v>39294</c:v>
                </c:pt>
                <c:pt idx="75">
                  <c:v>39263</c:v>
                </c:pt>
                <c:pt idx="76">
                  <c:v>39233</c:v>
                </c:pt>
                <c:pt idx="77">
                  <c:v>39202</c:v>
                </c:pt>
                <c:pt idx="78">
                  <c:v>39172</c:v>
                </c:pt>
                <c:pt idx="79">
                  <c:v>39141</c:v>
                </c:pt>
                <c:pt idx="80">
                  <c:v>39113</c:v>
                </c:pt>
                <c:pt idx="81">
                  <c:v>39082</c:v>
                </c:pt>
                <c:pt idx="82">
                  <c:v>39051</c:v>
                </c:pt>
                <c:pt idx="83">
                  <c:v>39021</c:v>
                </c:pt>
                <c:pt idx="84">
                  <c:v>38990</c:v>
                </c:pt>
                <c:pt idx="85">
                  <c:v>38960</c:v>
                </c:pt>
                <c:pt idx="86">
                  <c:v>38929</c:v>
                </c:pt>
                <c:pt idx="87">
                  <c:v>38898</c:v>
                </c:pt>
                <c:pt idx="88">
                  <c:v>38868</c:v>
                </c:pt>
                <c:pt idx="89">
                  <c:v>38837</c:v>
                </c:pt>
                <c:pt idx="90">
                  <c:v>38807</c:v>
                </c:pt>
                <c:pt idx="91">
                  <c:v>38776</c:v>
                </c:pt>
                <c:pt idx="92">
                  <c:v>38748</c:v>
                </c:pt>
                <c:pt idx="93">
                  <c:v>38717</c:v>
                </c:pt>
                <c:pt idx="94">
                  <c:v>38686</c:v>
                </c:pt>
                <c:pt idx="95">
                  <c:v>38656</c:v>
                </c:pt>
                <c:pt idx="96">
                  <c:v>38625</c:v>
                </c:pt>
              </c:numCache>
            </c:numRef>
          </c:cat>
          <c:val>
            <c:numRef>
              <c:f>Sheet1!$C$4:$C$100</c:f>
              <c:numCache>
                <c:formatCode>#,##0.00_ </c:formatCode>
                <c:ptCount val="97"/>
                <c:pt idx="0" formatCode="0.00_ ">
                  <c:v>51.1</c:v>
                </c:pt>
                <c:pt idx="1">
                  <c:v>51</c:v>
                </c:pt>
                <c:pt idx="2">
                  <c:v>50.3</c:v>
                </c:pt>
                <c:pt idx="3">
                  <c:v>50.1</c:v>
                </c:pt>
                <c:pt idx="4">
                  <c:v>50.8</c:v>
                </c:pt>
                <c:pt idx="5">
                  <c:v>50.6</c:v>
                </c:pt>
                <c:pt idx="6">
                  <c:v>50.9</c:v>
                </c:pt>
                <c:pt idx="7">
                  <c:v>50.1</c:v>
                </c:pt>
                <c:pt idx="8">
                  <c:v>50.4</c:v>
                </c:pt>
                <c:pt idx="9">
                  <c:v>50.6</c:v>
                </c:pt>
                <c:pt idx="10">
                  <c:v>50.6</c:v>
                </c:pt>
                <c:pt idx="11">
                  <c:v>50.2</c:v>
                </c:pt>
                <c:pt idx="12">
                  <c:v>49.8</c:v>
                </c:pt>
                <c:pt idx="13">
                  <c:v>49.2</c:v>
                </c:pt>
                <c:pt idx="14">
                  <c:v>50.1</c:v>
                </c:pt>
                <c:pt idx="15">
                  <c:v>50.2</c:v>
                </c:pt>
                <c:pt idx="16">
                  <c:v>50.4</c:v>
                </c:pt>
                <c:pt idx="17">
                  <c:v>53.3</c:v>
                </c:pt>
                <c:pt idx="18">
                  <c:v>53.1</c:v>
                </c:pt>
                <c:pt idx="19">
                  <c:v>51</c:v>
                </c:pt>
                <c:pt idx="20">
                  <c:v>50.5</c:v>
                </c:pt>
                <c:pt idx="21">
                  <c:v>50.3</c:v>
                </c:pt>
                <c:pt idx="22">
                  <c:v>49</c:v>
                </c:pt>
                <c:pt idx="23">
                  <c:v>50.4</c:v>
                </c:pt>
                <c:pt idx="24">
                  <c:v>51.2</c:v>
                </c:pt>
                <c:pt idx="25">
                  <c:v>50.9</c:v>
                </c:pt>
                <c:pt idx="26">
                  <c:v>50.7</c:v>
                </c:pt>
                <c:pt idx="27">
                  <c:v>50.9</c:v>
                </c:pt>
                <c:pt idx="28">
                  <c:v>52</c:v>
                </c:pt>
                <c:pt idx="29">
                  <c:v>52.9</c:v>
                </c:pt>
                <c:pt idx="30">
                  <c:v>53.4</c:v>
                </c:pt>
                <c:pt idx="31">
                  <c:v>52.2</c:v>
                </c:pt>
                <c:pt idx="32">
                  <c:v>52.9</c:v>
                </c:pt>
                <c:pt idx="33">
                  <c:v>53.9</c:v>
                </c:pt>
                <c:pt idx="34">
                  <c:v>55.2</c:v>
                </c:pt>
                <c:pt idx="35">
                  <c:v>54.7</c:v>
                </c:pt>
                <c:pt idx="36">
                  <c:v>53.8</c:v>
                </c:pt>
                <c:pt idx="37">
                  <c:v>51.7</c:v>
                </c:pt>
                <c:pt idx="38">
                  <c:v>51.2</c:v>
                </c:pt>
                <c:pt idx="39">
                  <c:v>52.1</c:v>
                </c:pt>
                <c:pt idx="40">
                  <c:v>53.9</c:v>
                </c:pt>
                <c:pt idx="41">
                  <c:v>55.7</c:v>
                </c:pt>
                <c:pt idx="42">
                  <c:v>55.1</c:v>
                </c:pt>
                <c:pt idx="43">
                  <c:v>52</c:v>
                </c:pt>
                <c:pt idx="44">
                  <c:v>55.8</c:v>
                </c:pt>
                <c:pt idx="45">
                  <c:v>56.6</c:v>
                </c:pt>
                <c:pt idx="46">
                  <c:v>55.2</c:v>
                </c:pt>
                <c:pt idx="47">
                  <c:v>55.2</c:v>
                </c:pt>
                <c:pt idx="48">
                  <c:v>54.3</c:v>
                </c:pt>
                <c:pt idx="49">
                  <c:v>54</c:v>
                </c:pt>
                <c:pt idx="50">
                  <c:v>53.3</c:v>
                </c:pt>
                <c:pt idx="51">
                  <c:v>53.2</c:v>
                </c:pt>
                <c:pt idx="52">
                  <c:v>53.1</c:v>
                </c:pt>
                <c:pt idx="53">
                  <c:v>53.5</c:v>
                </c:pt>
                <c:pt idx="54">
                  <c:v>52.4</c:v>
                </c:pt>
                <c:pt idx="55">
                  <c:v>49</c:v>
                </c:pt>
                <c:pt idx="56">
                  <c:v>45.3</c:v>
                </c:pt>
                <c:pt idx="57">
                  <c:v>41.2</c:v>
                </c:pt>
                <c:pt idx="58">
                  <c:v>38.800000000000004</c:v>
                </c:pt>
                <c:pt idx="59">
                  <c:v>44.6</c:v>
                </c:pt>
                <c:pt idx="60">
                  <c:v>51.2</c:v>
                </c:pt>
                <c:pt idx="61">
                  <c:v>48.4</c:v>
                </c:pt>
                <c:pt idx="62">
                  <c:v>48.4</c:v>
                </c:pt>
                <c:pt idx="63">
                  <c:v>52</c:v>
                </c:pt>
                <c:pt idx="64">
                  <c:v>53.3</c:v>
                </c:pt>
                <c:pt idx="65">
                  <c:v>59.2</c:v>
                </c:pt>
                <c:pt idx="66">
                  <c:v>58.4</c:v>
                </c:pt>
                <c:pt idx="67">
                  <c:v>53.4</c:v>
                </c:pt>
                <c:pt idx="68">
                  <c:v>53</c:v>
                </c:pt>
                <c:pt idx="69">
                  <c:v>55.3</c:v>
                </c:pt>
                <c:pt idx="70">
                  <c:v>55.4</c:v>
                </c:pt>
                <c:pt idx="71">
                  <c:v>53.2</c:v>
                </c:pt>
                <c:pt idx="72">
                  <c:v>56.1</c:v>
                </c:pt>
                <c:pt idx="73">
                  <c:v>54</c:v>
                </c:pt>
                <c:pt idx="74">
                  <c:v>53.3</c:v>
                </c:pt>
                <c:pt idx="75">
                  <c:v>54.5</c:v>
                </c:pt>
                <c:pt idx="76">
                  <c:v>55.7</c:v>
                </c:pt>
                <c:pt idx="77">
                  <c:v>58.6</c:v>
                </c:pt>
                <c:pt idx="78">
                  <c:v>56.1</c:v>
                </c:pt>
                <c:pt idx="79">
                  <c:v>53.1</c:v>
                </c:pt>
                <c:pt idx="80">
                  <c:v>55.1</c:v>
                </c:pt>
                <c:pt idx="81">
                  <c:v>54.8</c:v>
                </c:pt>
                <c:pt idx="82">
                  <c:v>55.3</c:v>
                </c:pt>
                <c:pt idx="83">
                  <c:v>54.7</c:v>
                </c:pt>
                <c:pt idx="84">
                  <c:v>57</c:v>
                </c:pt>
                <c:pt idx="85">
                  <c:v>53.1</c:v>
                </c:pt>
                <c:pt idx="86">
                  <c:v>52.4</c:v>
                </c:pt>
                <c:pt idx="87">
                  <c:v>54.1</c:v>
                </c:pt>
                <c:pt idx="88">
                  <c:v>54.8</c:v>
                </c:pt>
                <c:pt idx="89">
                  <c:v>58.1</c:v>
                </c:pt>
                <c:pt idx="90">
                  <c:v>55.3</c:v>
                </c:pt>
                <c:pt idx="91">
                  <c:v>52.1</c:v>
                </c:pt>
                <c:pt idx="92">
                  <c:v>52.1</c:v>
                </c:pt>
                <c:pt idx="93">
                  <c:v>54.3</c:v>
                </c:pt>
                <c:pt idx="94">
                  <c:v>54.1</c:v>
                </c:pt>
                <c:pt idx="95">
                  <c:v>54.1</c:v>
                </c:pt>
                <c:pt idx="96">
                  <c:v>55.1</c:v>
                </c:pt>
              </c:numCache>
            </c:numRef>
          </c:val>
        </c:ser>
        <c:marker val="1"/>
        <c:axId val="331898240"/>
        <c:axId val="331906048"/>
      </c:lineChart>
      <c:dateAx>
        <c:axId val="331898240"/>
        <c:scaling>
          <c:orientation val="minMax"/>
        </c:scaling>
        <c:axPos val="b"/>
        <c:numFmt formatCode="yyyy\-mm;@" sourceLinked="1"/>
        <c:tickLblPos val="nextTo"/>
        <c:crossAx val="331906048"/>
        <c:crosses val="autoZero"/>
        <c:auto val="1"/>
        <c:lblOffset val="100"/>
      </c:dateAx>
      <c:valAx>
        <c:axId val="331906048"/>
        <c:scaling>
          <c:orientation val="minMax"/>
          <c:min val="30"/>
        </c:scaling>
        <c:axPos val="l"/>
        <c:majorGridlines/>
        <c:numFmt formatCode="0.00_ " sourceLinked="1"/>
        <c:tickLblPos val="nextTo"/>
        <c:crossAx val="331898240"/>
        <c:crosses val="autoZero"/>
        <c:crossBetween val="between"/>
      </c:valAx>
    </c:plotArea>
    <c:legend>
      <c:legendPos val="b"/>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1"/>
          <c:order val="1"/>
          <c:tx>
            <c:strRef>
              <c:f>Sheet6!$E$1</c:f>
              <c:strCache>
                <c:ptCount val="1"/>
                <c:pt idx="0">
                  <c:v>进口总值:当月同比</c:v>
                </c:pt>
              </c:strCache>
            </c:strRef>
          </c:tx>
          <c:marker>
            <c:symbol val="none"/>
          </c:marker>
          <c:cat>
            <c:numRef>
              <c:f>Sheet6!$A$4:$A$227</c:f>
              <c:numCache>
                <c:formatCode>yyyy\-mm;@</c:formatCode>
                <c:ptCount val="224"/>
                <c:pt idx="0">
                  <c:v>41517</c:v>
                </c:pt>
                <c:pt idx="1">
                  <c:v>41486</c:v>
                </c:pt>
                <c:pt idx="2">
                  <c:v>41455</c:v>
                </c:pt>
                <c:pt idx="3">
                  <c:v>41425</c:v>
                </c:pt>
                <c:pt idx="4">
                  <c:v>41394</c:v>
                </c:pt>
                <c:pt idx="5">
                  <c:v>41364</c:v>
                </c:pt>
                <c:pt idx="6">
                  <c:v>41333</c:v>
                </c:pt>
                <c:pt idx="7">
                  <c:v>41305</c:v>
                </c:pt>
                <c:pt idx="8">
                  <c:v>41274</c:v>
                </c:pt>
                <c:pt idx="9">
                  <c:v>41243</c:v>
                </c:pt>
                <c:pt idx="10">
                  <c:v>41213</c:v>
                </c:pt>
                <c:pt idx="11">
                  <c:v>41182</c:v>
                </c:pt>
                <c:pt idx="12">
                  <c:v>41152</c:v>
                </c:pt>
                <c:pt idx="13">
                  <c:v>41121</c:v>
                </c:pt>
                <c:pt idx="14">
                  <c:v>41090</c:v>
                </c:pt>
                <c:pt idx="15">
                  <c:v>41060</c:v>
                </c:pt>
                <c:pt idx="16">
                  <c:v>41029</c:v>
                </c:pt>
                <c:pt idx="17">
                  <c:v>40999</c:v>
                </c:pt>
                <c:pt idx="18">
                  <c:v>40968</c:v>
                </c:pt>
                <c:pt idx="19">
                  <c:v>40939</c:v>
                </c:pt>
                <c:pt idx="20">
                  <c:v>40908</c:v>
                </c:pt>
                <c:pt idx="21">
                  <c:v>40877</c:v>
                </c:pt>
                <c:pt idx="22">
                  <c:v>40847</c:v>
                </c:pt>
                <c:pt idx="23">
                  <c:v>40816</c:v>
                </c:pt>
                <c:pt idx="24">
                  <c:v>40786</c:v>
                </c:pt>
                <c:pt idx="25">
                  <c:v>40755</c:v>
                </c:pt>
                <c:pt idx="26">
                  <c:v>40724</c:v>
                </c:pt>
                <c:pt idx="27">
                  <c:v>40694</c:v>
                </c:pt>
                <c:pt idx="28">
                  <c:v>40663</c:v>
                </c:pt>
                <c:pt idx="29">
                  <c:v>40633</c:v>
                </c:pt>
                <c:pt idx="30">
                  <c:v>40602</c:v>
                </c:pt>
                <c:pt idx="31">
                  <c:v>40574</c:v>
                </c:pt>
                <c:pt idx="32">
                  <c:v>40543</c:v>
                </c:pt>
                <c:pt idx="33">
                  <c:v>40512</c:v>
                </c:pt>
                <c:pt idx="34">
                  <c:v>40482</c:v>
                </c:pt>
                <c:pt idx="35">
                  <c:v>40451</c:v>
                </c:pt>
                <c:pt idx="36">
                  <c:v>40421</c:v>
                </c:pt>
                <c:pt idx="37">
                  <c:v>40390</c:v>
                </c:pt>
                <c:pt idx="38">
                  <c:v>40359</c:v>
                </c:pt>
                <c:pt idx="39">
                  <c:v>40329</c:v>
                </c:pt>
                <c:pt idx="40">
                  <c:v>40298</c:v>
                </c:pt>
                <c:pt idx="41">
                  <c:v>40268</c:v>
                </c:pt>
                <c:pt idx="42">
                  <c:v>40237</c:v>
                </c:pt>
                <c:pt idx="43">
                  <c:v>40209</c:v>
                </c:pt>
                <c:pt idx="44">
                  <c:v>40178</c:v>
                </c:pt>
                <c:pt idx="45">
                  <c:v>40147</c:v>
                </c:pt>
                <c:pt idx="46">
                  <c:v>40117</c:v>
                </c:pt>
                <c:pt idx="47">
                  <c:v>40086</c:v>
                </c:pt>
                <c:pt idx="48">
                  <c:v>40056</c:v>
                </c:pt>
                <c:pt idx="49">
                  <c:v>40025</c:v>
                </c:pt>
                <c:pt idx="50">
                  <c:v>39994</c:v>
                </c:pt>
                <c:pt idx="51">
                  <c:v>39964</c:v>
                </c:pt>
                <c:pt idx="52">
                  <c:v>39933</c:v>
                </c:pt>
                <c:pt idx="53">
                  <c:v>39903</c:v>
                </c:pt>
                <c:pt idx="54">
                  <c:v>39872</c:v>
                </c:pt>
                <c:pt idx="55">
                  <c:v>39844</c:v>
                </c:pt>
                <c:pt idx="56">
                  <c:v>39813</c:v>
                </c:pt>
                <c:pt idx="57">
                  <c:v>39782</c:v>
                </c:pt>
                <c:pt idx="58">
                  <c:v>39752</c:v>
                </c:pt>
                <c:pt idx="59">
                  <c:v>39721</c:v>
                </c:pt>
                <c:pt idx="60">
                  <c:v>39691</c:v>
                </c:pt>
                <c:pt idx="61">
                  <c:v>39660</c:v>
                </c:pt>
                <c:pt idx="62">
                  <c:v>39629</c:v>
                </c:pt>
                <c:pt idx="63">
                  <c:v>39599</c:v>
                </c:pt>
                <c:pt idx="64">
                  <c:v>39568</c:v>
                </c:pt>
                <c:pt idx="65">
                  <c:v>39538</c:v>
                </c:pt>
                <c:pt idx="66">
                  <c:v>39507</c:v>
                </c:pt>
                <c:pt idx="67">
                  <c:v>39478</c:v>
                </c:pt>
                <c:pt idx="68">
                  <c:v>39447</c:v>
                </c:pt>
                <c:pt idx="69">
                  <c:v>39416</c:v>
                </c:pt>
                <c:pt idx="70">
                  <c:v>39386</c:v>
                </c:pt>
                <c:pt idx="71">
                  <c:v>39355</c:v>
                </c:pt>
                <c:pt idx="72">
                  <c:v>39325</c:v>
                </c:pt>
                <c:pt idx="73">
                  <c:v>39294</c:v>
                </c:pt>
                <c:pt idx="74">
                  <c:v>39263</c:v>
                </c:pt>
                <c:pt idx="75">
                  <c:v>39233</c:v>
                </c:pt>
                <c:pt idx="76">
                  <c:v>39202</c:v>
                </c:pt>
                <c:pt idx="77">
                  <c:v>39172</c:v>
                </c:pt>
                <c:pt idx="78">
                  <c:v>39141</c:v>
                </c:pt>
                <c:pt idx="79">
                  <c:v>39113</c:v>
                </c:pt>
                <c:pt idx="80">
                  <c:v>39082</c:v>
                </c:pt>
                <c:pt idx="81">
                  <c:v>39051</c:v>
                </c:pt>
                <c:pt idx="82">
                  <c:v>39021</c:v>
                </c:pt>
                <c:pt idx="83">
                  <c:v>38990</c:v>
                </c:pt>
                <c:pt idx="84">
                  <c:v>38960</c:v>
                </c:pt>
                <c:pt idx="85">
                  <c:v>38929</c:v>
                </c:pt>
                <c:pt idx="86">
                  <c:v>38898</c:v>
                </c:pt>
                <c:pt idx="87">
                  <c:v>38868</c:v>
                </c:pt>
                <c:pt idx="88">
                  <c:v>38837</c:v>
                </c:pt>
                <c:pt idx="89">
                  <c:v>38807</c:v>
                </c:pt>
                <c:pt idx="90">
                  <c:v>38776</c:v>
                </c:pt>
                <c:pt idx="91">
                  <c:v>38748</c:v>
                </c:pt>
                <c:pt idx="92">
                  <c:v>38717</c:v>
                </c:pt>
                <c:pt idx="93">
                  <c:v>38686</c:v>
                </c:pt>
                <c:pt idx="94">
                  <c:v>38656</c:v>
                </c:pt>
                <c:pt idx="95">
                  <c:v>38625</c:v>
                </c:pt>
                <c:pt idx="96">
                  <c:v>38595</c:v>
                </c:pt>
                <c:pt idx="97">
                  <c:v>38564</c:v>
                </c:pt>
                <c:pt idx="98">
                  <c:v>38533</c:v>
                </c:pt>
                <c:pt idx="99">
                  <c:v>38503</c:v>
                </c:pt>
                <c:pt idx="100">
                  <c:v>38472</c:v>
                </c:pt>
                <c:pt idx="101">
                  <c:v>38442</c:v>
                </c:pt>
                <c:pt idx="102">
                  <c:v>38411</c:v>
                </c:pt>
                <c:pt idx="103">
                  <c:v>38383</c:v>
                </c:pt>
                <c:pt idx="104">
                  <c:v>38352</c:v>
                </c:pt>
                <c:pt idx="105">
                  <c:v>38321</c:v>
                </c:pt>
                <c:pt idx="106">
                  <c:v>38291</c:v>
                </c:pt>
                <c:pt idx="107">
                  <c:v>38260</c:v>
                </c:pt>
                <c:pt idx="108">
                  <c:v>38230</c:v>
                </c:pt>
                <c:pt idx="109">
                  <c:v>38199</c:v>
                </c:pt>
                <c:pt idx="110">
                  <c:v>38168</c:v>
                </c:pt>
                <c:pt idx="111">
                  <c:v>38138</c:v>
                </c:pt>
                <c:pt idx="112">
                  <c:v>38107</c:v>
                </c:pt>
                <c:pt idx="113">
                  <c:v>38077</c:v>
                </c:pt>
                <c:pt idx="114">
                  <c:v>38046</c:v>
                </c:pt>
                <c:pt idx="115">
                  <c:v>38017</c:v>
                </c:pt>
                <c:pt idx="116">
                  <c:v>37986</c:v>
                </c:pt>
                <c:pt idx="117">
                  <c:v>37955</c:v>
                </c:pt>
                <c:pt idx="118">
                  <c:v>37925</c:v>
                </c:pt>
                <c:pt idx="119">
                  <c:v>37894</c:v>
                </c:pt>
                <c:pt idx="120">
                  <c:v>37864</c:v>
                </c:pt>
                <c:pt idx="121">
                  <c:v>37833</c:v>
                </c:pt>
                <c:pt idx="122">
                  <c:v>37802</c:v>
                </c:pt>
                <c:pt idx="123">
                  <c:v>37772</c:v>
                </c:pt>
                <c:pt idx="124">
                  <c:v>37741</c:v>
                </c:pt>
                <c:pt idx="125">
                  <c:v>37711</c:v>
                </c:pt>
                <c:pt idx="126">
                  <c:v>37680</c:v>
                </c:pt>
                <c:pt idx="127">
                  <c:v>37652</c:v>
                </c:pt>
                <c:pt idx="128">
                  <c:v>37621</c:v>
                </c:pt>
                <c:pt idx="129">
                  <c:v>37590</c:v>
                </c:pt>
                <c:pt idx="130">
                  <c:v>37560</c:v>
                </c:pt>
                <c:pt idx="131">
                  <c:v>37529</c:v>
                </c:pt>
                <c:pt idx="132">
                  <c:v>37499</c:v>
                </c:pt>
                <c:pt idx="133">
                  <c:v>37468</c:v>
                </c:pt>
                <c:pt idx="134">
                  <c:v>37437</c:v>
                </c:pt>
                <c:pt idx="135">
                  <c:v>37407</c:v>
                </c:pt>
                <c:pt idx="136">
                  <c:v>37376</c:v>
                </c:pt>
                <c:pt idx="137">
                  <c:v>37346</c:v>
                </c:pt>
                <c:pt idx="138">
                  <c:v>37315</c:v>
                </c:pt>
                <c:pt idx="139">
                  <c:v>37287</c:v>
                </c:pt>
                <c:pt idx="140">
                  <c:v>37256</c:v>
                </c:pt>
                <c:pt idx="141">
                  <c:v>37225</c:v>
                </c:pt>
                <c:pt idx="142">
                  <c:v>37195</c:v>
                </c:pt>
                <c:pt idx="143">
                  <c:v>37164</c:v>
                </c:pt>
                <c:pt idx="144">
                  <c:v>37134</c:v>
                </c:pt>
                <c:pt idx="145">
                  <c:v>37103</c:v>
                </c:pt>
                <c:pt idx="146">
                  <c:v>37072</c:v>
                </c:pt>
                <c:pt idx="147">
                  <c:v>37042</c:v>
                </c:pt>
                <c:pt idx="148">
                  <c:v>37011</c:v>
                </c:pt>
                <c:pt idx="149">
                  <c:v>36981</c:v>
                </c:pt>
                <c:pt idx="150">
                  <c:v>36950</c:v>
                </c:pt>
                <c:pt idx="151">
                  <c:v>36922</c:v>
                </c:pt>
                <c:pt idx="152">
                  <c:v>36891</c:v>
                </c:pt>
                <c:pt idx="153">
                  <c:v>36860</c:v>
                </c:pt>
                <c:pt idx="154">
                  <c:v>36830</c:v>
                </c:pt>
                <c:pt idx="155">
                  <c:v>36799</c:v>
                </c:pt>
                <c:pt idx="156">
                  <c:v>36769</c:v>
                </c:pt>
                <c:pt idx="157">
                  <c:v>36738</c:v>
                </c:pt>
                <c:pt idx="158">
                  <c:v>36707</c:v>
                </c:pt>
                <c:pt idx="159">
                  <c:v>36677</c:v>
                </c:pt>
                <c:pt idx="160">
                  <c:v>36646</c:v>
                </c:pt>
                <c:pt idx="161">
                  <c:v>36616</c:v>
                </c:pt>
                <c:pt idx="162">
                  <c:v>36585</c:v>
                </c:pt>
                <c:pt idx="163">
                  <c:v>36556</c:v>
                </c:pt>
                <c:pt idx="164">
                  <c:v>36525</c:v>
                </c:pt>
                <c:pt idx="165">
                  <c:v>36494</c:v>
                </c:pt>
                <c:pt idx="166">
                  <c:v>36464</c:v>
                </c:pt>
                <c:pt idx="167">
                  <c:v>36433</c:v>
                </c:pt>
                <c:pt idx="168">
                  <c:v>36403</c:v>
                </c:pt>
                <c:pt idx="169">
                  <c:v>36372</c:v>
                </c:pt>
                <c:pt idx="170">
                  <c:v>36341</c:v>
                </c:pt>
                <c:pt idx="171">
                  <c:v>36311</c:v>
                </c:pt>
                <c:pt idx="172">
                  <c:v>36280</c:v>
                </c:pt>
                <c:pt idx="173">
                  <c:v>36250</c:v>
                </c:pt>
                <c:pt idx="174">
                  <c:v>36219</c:v>
                </c:pt>
                <c:pt idx="175">
                  <c:v>36191</c:v>
                </c:pt>
                <c:pt idx="176">
                  <c:v>36160</c:v>
                </c:pt>
                <c:pt idx="177">
                  <c:v>36129</c:v>
                </c:pt>
                <c:pt idx="178">
                  <c:v>36099</c:v>
                </c:pt>
                <c:pt idx="179">
                  <c:v>36068</c:v>
                </c:pt>
                <c:pt idx="180">
                  <c:v>36038</c:v>
                </c:pt>
                <c:pt idx="181">
                  <c:v>36007</c:v>
                </c:pt>
                <c:pt idx="182">
                  <c:v>35976</c:v>
                </c:pt>
                <c:pt idx="183">
                  <c:v>35946</c:v>
                </c:pt>
                <c:pt idx="184">
                  <c:v>35915</c:v>
                </c:pt>
                <c:pt idx="185">
                  <c:v>35885</c:v>
                </c:pt>
                <c:pt idx="186">
                  <c:v>35854</c:v>
                </c:pt>
                <c:pt idx="187">
                  <c:v>35826</c:v>
                </c:pt>
                <c:pt idx="188">
                  <c:v>35795</c:v>
                </c:pt>
                <c:pt idx="189">
                  <c:v>35764</c:v>
                </c:pt>
                <c:pt idx="190">
                  <c:v>35734</c:v>
                </c:pt>
                <c:pt idx="191">
                  <c:v>35703</c:v>
                </c:pt>
                <c:pt idx="192">
                  <c:v>35673</c:v>
                </c:pt>
                <c:pt idx="193">
                  <c:v>35642</c:v>
                </c:pt>
                <c:pt idx="194">
                  <c:v>35611</c:v>
                </c:pt>
                <c:pt idx="195">
                  <c:v>35581</c:v>
                </c:pt>
                <c:pt idx="196">
                  <c:v>35550</c:v>
                </c:pt>
                <c:pt idx="197">
                  <c:v>35520</c:v>
                </c:pt>
                <c:pt idx="198">
                  <c:v>35489</c:v>
                </c:pt>
                <c:pt idx="199">
                  <c:v>35461</c:v>
                </c:pt>
                <c:pt idx="200">
                  <c:v>35430</c:v>
                </c:pt>
                <c:pt idx="201">
                  <c:v>35399</c:v>
                </c:pt>
                <c:pt idx="202">
                  <c:v>35369</c:v>
                </c:pt>
                <c:pt idx="203">
                  <c:v>35338</c:v>
                </c:pt>
                <c:pt idx="204">
                  <c:v>35308</c:v>
                </c:pt>
                <c:pt idx="205">
                  <c:v>35277</c:v>
                </c:pt>
                <c:pt idx="206">
                  <c:v>35246</c:v>
                </c:pt>
                <c:pt idx="207">
                  <c:v>35216</c:v>
                </c:pt>
                <c:pt idx="208">
                  <c:v>35185</c:v>
                </c:pt>
                <c:pt idx="209">
                  <c:v>35155</c:v>
                </c:pt>
                <c:pt idx="210">
                  <c:v>35124</c:v>
                </c:pt>
                <c:pt idx="211">
                  <c:v>35095</c:v>
                </c:pt>
                <c:pt idx="212">
                  <c:v>35064</c:v>
                </c:pt>
                <c:pt idx="213">
                  <c:v>35033</c:v>
                </c:pt>
                <c:pt idx="214">
                  <c:v>35003</c:v>
                </c:pt>
                <c:pt idx="215">
                  <c:v>34972</c:v>
                </c:pt>
                <c:pt idx="216">
                  <c:v>34942</c:v>
                </c:pt>
                <c:pt idx="217">
                  <c:v>34911</c:v>
                </c:pt>
                <c:pt idx="218">
                  <c:v>34880</c:v>
                </c:pt>
                <c:pt idx="219">
                  <c:v>34850</c:v>
                </c:pt>
                <c:pt idx="220">
                  <c:v>34819</c:v>
                </c:pt>
                <c:pt idx="221">
                  <c:v>34789</c:v>
                </c:pt>
                <c:pt idx="222">
                  <c:v>34758</c:v>
                </c:pt>
                <c:pt idx="223">
                  <c:v>34730</c:v>
                </c:pt>
              </c:numCache>
            </c:numRef>
          </c:cat>
          <c:val>
            <c:numRef>
              <c:f>Sheet6!$E$4:$E$227</c:f>
              <c:numCache>
                <c:formatCode>#,##0.00_ </c:formatCode>
                <c:ptCount val="224"/>
                <c:pt idx="0">
                  <c:v>7</c:v>
                </c:pt>
                <c:pt idx="1">
                  <c:v>10.9</c:v>
                </c:pt>
                <c:pt idx="2">
                  <c:v>-0.70000000000000062</c:v>
                </c:pt>
                <c:pt idx="3">
                  <c:v>-0.30000000000000032</c:v>
                </c:pt>
                <c:pt idx="4">
                  <c:v>16.8</c:v>
                </c:pt>
                <c:pt idx="5">
                  <c:v>14.1</c:v>
                </c:pt>
                <c:pt idx="6">
                  <c:v>-15.2</c:v>
                </c:pt>
                <c:pt idx="7">
                  <c:v>28.8</c:v>
                </c:pt>
                <c:pt idx="8">
                  <c:v>6</c:v>
                </c:pt>
                <c:pt idx="9">
                  <c:v>0</c:v>
                </c:pt>
                <c:pt idx="10">
                  <c:v>2.4</c:v>
                </c:pt>
                <c:pt idx="11">
                  <c:v>2.4</c:v>
                </c:pt>
                <c:pt idx="12">
                  <c:v>-2.6</c:v>
                </c:pt>
                <c:pt idx="13">
                  <c:v>4.7</c:v>
                </c:pt>
                <c:pt idx="14">
                  <c:v>6.3</c:v>
                </c:pt>
                <c:pt idx="15">
                  <c:v>12.7</c:v>
                </c:pt>
                <c:pt idx="16">
                  <c:v>0.30000000000000032</c:v>
                </c:pt>
                <c:pt idx="17">
                  <c:v>5.3</c:v>
                </c:pt>
                <c:pt idx="18">
                  <c:v>39.6</c:v>
                </c:pt>
                <c:pt idx="19">
                  <c:v>-15.3</c:v>
                </c:pt>
                <c:pt idx="20">
                  <c:v>11.8</c:v>
                </c:pt>
                <c:pt idx="21">
                  <c:v>22.1</c:v>
                </c:pt>
                <c:pt idx="22">
                  <c:v>28.7</c:v>
                </c:pt>
                <c:pt idx="23">
                  <c:v>20.9</c:v>
                </c:pt>
                <c:pt idx="24">
                  <c:v>30.2</c:v>
                </c:pt>
                <c:pt idx="25">
                  <c:v>22.9</c:v>
                </c:pt>
                <c:pt idx="26">
                  <c:v>19.3</c:v>
                </c:pt>
                <c:pt idx="27">
                  <c:v>28.4</c:v>
                </c:pt>
                <c:pt idx="28">
                  <c:v>21.8</c:v>
                </c:pt>
                <c:pt idx="29">
                  <c:v>27.3</c:v>
                </c:pt>
                <c:pt idx="30">
                  <c:v>19.399999999999999</c:v>
                </c:pt>
                <c:pt idx="31">
                  <c:v>51</c:v>
                </c:pt>
                <c:pt idx="32">
                  <c:v>25.6</c:v>
                </c:pt>
                <c:pt idx="33">
                  <c:v>37.700000000000003</c:v>
                </c:pt>
                <c:pt idx="34">
                  <c:v>25.3</c:v>
                </c:pt>
                <c:pt idx="35">
                  <c:v>24.1</c:v>
                </c:pt>
                <c:pt idx="36">
                  <c:v>35.200000000000003</c:v>
                </c:pt>
                <c:pt idx="37">
                  <c:v>22.7</c:v>
                </c:pt>
                <c:pt idx="38">
                  <c:v>34.1</c:v>
                </c:pt>
                <c:pt idx="39">
                  <c:v>48.3</c:v>
                </c:pt>
                <c:pt idx="40">
                  <c:v>49.7</c:v>
                </c:pt>
                <c:pt idx="41">
                  <c:v>66</c:v>
                </c:pt>
                <c:pt idx="42">
                  <c:v>44.7</c:v>
                </c:pt>
                <c:pt idx="43">
                  <c:v>85.5</c:v>
                </c:pt>
                <c:pt idx="44">
                  <c:v>55.9</c:v>
                </c:pt>
                <c:pt idx="45">
                  <c:v>26.7</c:v>
                </c:pt>
                <c:pt idx="46">
                  <c:v>-6.4</c:v>
                </c:pt>
                <c:pt idx="47">
                  <c:v>-3.5</c:v>
                </c:pt>
                <c:pt idx="48">
                  <c:v>-17</c:v>
                </c:pt>
                <c:pt idx="49">
                  <c:v>-14.9</c:v>
                </c:pt>
                <c:pt idx="50">
                  <c:v>-13.2</c:v>
                </c:pt>
                <c:pt idx="51">
                  <c:v>-25.2</c:v>
                </c:pt>
                <c:pt idx="52">
                  <c:v>-23</c:v>
                </c:pt>
                <c:pt idx="53">
                  <c:v>-25.1</c:v>
                </c:pt>
                <c:pt idx="54">
                  <c:v>-24.1</c:v>
                </c:pt>
                <c:pt idx="55">
                  <c:v>-43.1</c:v>
                </c:pt>
                <c:pt idx="56">
                  <c:v>-21.3</c:v>
                </c:pt>
                <c:pt idx="57">
                  <c:v>-17.899999999999999</c:v>
                </c:pt>
                <c:pt idx="58">
                  <c:v>15.6</c:v>
                </c:pt>
                <c:pt idx="59">
                  <c:v>21.3</c:v>
                </c:pt>
                <c:pt idx="60">
                  <c:v>23.1</c:v>
                </c:pt>
                <c:pt idx="61">
                  <c:v>33.700000000000003</c:v>
                </c:pt>
                <c:pt idx="62">
                  <c:v>31</c:v>
                </c:pt>
                <c:pt idx="63">
                  <c:v>40</c:v>
                </c:pt>
                <c:pt idx="64">
                  <c:v>26.3</c:v>
                </c:pt>
                <c:pt idx="65">
                  <c:v>24.6</c:v>
                </c:pt>
                <c:pt idx="66">
                  <c:v>35.1</c:v>
                </c:pt>
                <c:pt idx="67">
                  <c:v>27.6</c:v>
                </c:pt>
                <c:pt idx="68">
                  <c:v>25.7</c:v>
                </c:pt>
                <c:pt idx="69">
                  <c:v>25.3</c:v>
                </c:pt>
                <c:pt idx="70">
                  <c:v>25.5</c:v>
                </c:pt>
                <c:pt idx="71">
                  <c:v>16.100000000000001</c:v>
                </c:pt>
                <c:pt idx="72">
                  <c:v>20.100000000000001</c:v>
                </c:pt>
                <c:pt idx="73">
                  <c:v>26.9</c:v>
                </c:pt>
                <c:pt idx="74">
                  <c:v>14.2</c:v>
                </c:pt>
                <c:pt idx="75">
                  <c:v>19.100000000000001</c:v>
                </c:pt>
                <c:pt idx="76">
                  <c:v>21.3</c:v>
                </c:pt>
                <c:pt idx="77">
                  <c:v>14.5</c:v>
                </c:pt>
                <c:pt idx="78">
                  <c:v>13.1</c:v>
                </c:pt>
                <c:pt idx="79">
                  <c:v>27.5</c:v>
                </c:pt>
                <c:pt idx="80">
                  <c:v>13.5</c:v>
                </c:pt>
                <c:pt idx="81">
                  <c:v>18.3</c:v>
                </c:pt>
                <c:pt idx="82">
                  <c:v>14.7</c:v>
                </c:pt>
                <c:pt idx="83">
                  <c:v>22</c:v>
                </c:pt>
                <c:pt idx="84">
                  <c:v>24.6</c:v>
                </c:pt>
                <c:pt idx="85">
                  <c:v>19.399999999999999</c:v>
                </c:pt>
                <c:pt idx="86">
                  <c:v>18.7</c:v>
                </c:pt>
                <c:pt idx="87">
                  <c:v>21.58</c:v>
                </c:pt>
                <c:pt idx="88">
                  <c:v>15.52</c:v>
                </c:pt>
                <c:pt idx="89">
                  <c:v>21.259999999999987</c:v>
                </c:pt>
                <c:pt idx="90">
                  <c:v>29.479999999999986</c:v>
                </c:pt>
                <c:pt idx="91">
                  <c:v>25.38</c:v>
                </c:pt>
                <c:pt idx="92">
                  <c:v>22.17</c:v>
                </c:pt>
                <c:pt idx="93">
                  <c:v>20.88</c:v>
                </c:pt>
                <c:pt idx="94">
                  <c:v>23.419999999999987</c:v>
                </c:pt>
                <c:pt idx="95">
                  <c:v>23.25</c:v>
                </c:pt>
                <c:pt idx="96">
                  <c:v>23.23</c:v>
                </c:pt>
                <c:pt idx="97">
                  <c:v>12.39</c:v>
                </c:pt>
                <c:pt idx="98">
                  <c:v>15.68</c:v>
                </c:pt>
                <c:pt idx="99">
                  <c:v>15.61</c:v>
                </c:pt>
                <c:pt idx="100">
                  <c:v>16.579999999999988</c:v>
                </c:pt>
                <c:pt idx="101">
                  <c:v>18.86</c:v>
                </c:pt>
                <c:pt idx="102">
                  <c:v>-5.03</c:v>
                </c:pt>
                <c:pt idx="103">
                  <c:v>23.85</c:v>
                </c:pt>
                <c:pt idx="104">
                  <c:v>24.5</c:v>
                </c:pt>
                <c:pt idx="105">
                  <c:v>38.32</c:v>
                </c:pt>
                <c:pt idx="106">
                  <c:v>29.1</c:v>
                </c:pt>
                <c:pt idx="107">
                  <c:v>21.99</c:v>
                </c:pt>
                <c:pt idx="108">
                  <c:v>35.5</c:v>
                </c:pt>
                <c:pt idx="109">
                  <c:v>34.120000000000012</c:v>
                </c:pt>
                <c:pt idx="110">
                  <c:v>50.46</c:v>
                </c:pt>
                <c:pt idx="111">
                  <c:v>35.309999999999995</c:v>
                </c:pt>
                <c:pt idx="112">
                  <c:v>42.690000000000012</c:v>
                </c:pt>
                <c:pt idx="113">
                  <c:v>42.52</c:v>
                </c:pt>
                <c:pt idx="114">
                  <c:v>76.75</c:v>
                </c:pt>
                <c:pt idx="115">
                  <c:v>15.219999999999999</c:v>
                </c:pt>
                <c:pt idx="116">
                  <c:v>47.349999999999994</c:v>
                </c:pt>
                <c:pt idx="117">
                  <c:v>28.39</c:v>
                </c:pt>
                <c:pt idx="118">
                  <c:v>39.67</c:v>
                </c:pt>
                <c:pt idx="119">
                  <c:v>39.800000000000004</c:v>
                </c:pt>
                <c:pt idx="120">
                  <c:v>27.259999999999987</c:v>
                </c:pt>
                <c:pt idx="121">
                  <c:v>35.300000000000004</c:v>
                </c:pt>
                <c:pt idx="122">
                  <c:v>40.020000000000003</c:v>
                </c:pt>
                <c:pt idx="123">
                  <c:v>40.879999999999995</c:v>
                </c:pt>
                <c:pt idx="124">
                  <c:v>34.36</c:v>
                </c:pt>
                <c:pt idx="125">
                  <c:v>44.760000000000012</c:v>
                </c:pt>
                <c:pt idx="126">
                  <c:v>49.379999999999995</c:v>
                </c:pt>
                <c:pt idx="127">
                  <c:v>63.5</c:v>
                </c:pt>
                <c:pt idx="128">
                  <c:v>28.330000000000005</c:v>
                </c:pt>
                <c:pt idx="129">
                  <c:v>37.849999999999994</c:v>
                </c:pt>
                <c:pt idx="130">
                  <c:v>33.300000000000004</c:v>
                </c:pt>
                <c:pt idx="131">
                  <c:v>36.349999999999994</c:v>
                </c:pt>
                <c:pt idx="132">
                  <c:v>22.759999999999987</c:v>
                </c:pt>
                <c:pt idx="133">
                  <c:v>28.79</c:v>
                </c:pt>
                <c:pt idx="134">
                  <c:v>8.67</c:v>
                </c:pt>
                <c:pt idx="135">
                  <c:v>19.27</c:v>
                </c:pt>
                <c:pt idx="136">
                  <c:v>17.809999999999999</c:v>
                </c:pt>
                <c:pt idx="137">
                  <c:v>8.2399999999999984</c:v>
                </c:pt>
                <c:pt idx="138">
                  <c:v>-12.66</c:v>
                </c:pt>
                <c:pt idx="139">
                  <c:v>22.04</c:v>
                </c:pt>
                <c:pt idx="140">
                  <c:v>4.5599999999999996</c:v>
                </c:pt>
                <c:pt idx="141">
                  <c:v>-3.68</c:v>
                </c:pt>
                <c:pt idx="142">
                  <c:v>-8.0000000000000043E-2</c:v>
                </c:pt>
                <c:pt idx="143">
                  <c:v>5.48</c:v>
                </c:pt>
                <c:pt idx="144">
                  <c:v>6.6099999999999985</c:v>
                </c:pt>
                <c:pt idx="145">
                  <c:v>7.51</c:v>
                </c:pt>
                <c:pt idx="146">
                  <c:v>4.68</c:v>
                </c:pt>
                <c:pt idx="147">
                  <c:v>10.860000000000024</c:v>
                </c:pt>
                <c:pt idx="148">
                  <c:v>19.05</c:v>
                </c:pt>
                <c:pt idx="149">
                  <c:v>16.610000000000031</c:v>
                </c:pt>
                <c:pt idx="150">
                  <c:v>35.720000000000013</c:v>
                </c:pt>
                <c:pt idx="151">
                  <c:v>1.8800000000000001</c:v>
                </c:pt>
                <c:pt idx="152">
                  <c:v>22.91</c:v>
                </c:pt>
                <c:pt idx="153">
                  <c:v>27.99</c:v>
                </c:pt>
                <c:pt idx="154">
                  <c:v>37.15</c:v>
                </c:pt>
                <c:pt idx="155">
                  <c:v>35.68</c:v>
                </c:pt>
                <c:pt idx="156">
                  <c:v>54.6</c:v>
                </c:pt>
                <c:pt idx="157">
                  <c:v>40.01</c:v>
                </c:pt>
                <c:pt idx="158">
                  <c:v>39.790000000000013</c:v>
                </c:pt>
                <c:pt idx="159">
                  <c:v>24.23</c:v>
                </c:pt>
                <c:pt idx="160">
                  <c:v>32.690000000000012</c:v>
                </c:pt>
                <c:pt idx="161">
                  <c:v>23.89</c:v>
                </c:pt>
                <c:pt idx="162">
                  <c:v>53.96</c:v>
                </c:pt>
                <c:pt idx="163">
                  <c:v>54.07</c:v>
                </c:pt>
                <c:pt idx="164">
                  <c:v>-1.45</c:v>
                </c:pt>
                <c:pt idx="165">
                  <c:v>36.96</c:v>
                </c:pt>
                <c:pt idx="166">
                  <c:v>18.37</c:v>
                </c:pt>
                <c:pt idx="167">
                  <c:v>32.270000000000003</c:v>
                </c:pt>
                <c:pt idx="168">
                  <c:v>23.6</c:v>
                </c:pt>
                <c:pt idx="169">
                  <c:v>16.36</c:v>
                </c:pt>
                <c:pt idx="170">
                  <c:v>22.49</c:v>
                </c:pt>
                <c:pt idx="171">
                  <c:v>20.959999999999987</c:v>
                </c:pt>
                <c:pt idx="172">
                  <c:v>18.41</c:v>
                </c:pt>
                <c:pt idx="173">
                  <c:v>21.830000000000005</c:v>
                </c:pt>
                <c:pt idx="174">
                  <c:v>-3.01</c:v>
                </c:pt>
                <c:pt idx="175">
                  <c:v>13.9</c:v>
                </c:pt>
                <c:pt idx="176">
                  <c:v>-7.34</c:v>
                </c:pt>
                <c:pt idx="177">
                  <c:v>2.06</c:v>
                </c:pt>
                <c:pt idx="178">
                  <c:v>-9.26</c:v>
                </c:pt>
                <c:pt idx="179">
                  <c:v>0.54</c:v>
                </c:pt>
                <c:pt idx="180">
                  <c:v>-1.73</c:v>
                </c:pt>
                <c:pt idx="181">
                  <c:v>-6.4700000000000024</c:v>
                </c:pt>
                <c:pt idx="182">
                  <c:v>5.67</c:v>
                </c:pt>
                <c:pt idx="183">
                  <c:v>-2.3099999999999987</c:v>
                </c:pt>
                <c:pt idx="184">
                  <c:v>4.1499999999999995</c:v>
                </c:pt>
                <c:pt idx="185">
                  <c:v>6.35</c:v>
                </c:pt>
                <c:pt idx="186">
                  <c:v>16.350000000000001</c:v>
                </c:pt>
                <c:pt idx="187">
                  <c:v>-12.850000000000026</c:v>
                </c:pt>
                <c:pt idx="188">
                  <c:v>-4.74</c:v>
                </c:pt>
                <c:pt idx="189">
                  <c:v>4.09</c:v>
                </c:pt>
                <c:pt idx="190">
                  <c:v>13.56</c:v>
                </c:pt>
                <c:pt idx="191">
                  <c:v>11.52</c:v>
                </c:pt>
                <c:pt idx="192">
                  <c:v>-0.62000000000000255</c:v>
                </c:pt>
                <c:pt idx="193">
                  <c:v>13.15</c:v>
                </c:pt>
                <c:pt idx="194">
                  <c:v>2.8499999999999988</c:v>
                </c:pt>
                <c:pt idx="195">
                  <c:v>-3.7600000000000002</c:v>
                </c:pt>
                <c:pt idx="196">
                  <c:v>2.69</c:v>
                </c:pt>
                <c:pt idx="197">
                  <c:v>-0.33000000000000163</c:v>
                </c:pt>
                <c:pt idx="198">
                  <c:v>-5.0199999999999996</c:v>
                </c:pt>
                <c:pt idx="199">
                  <c:v>-1.53</c:v>
                </c:pt>
                <c:pt idx="200">
                  <c:v>8.41</c:v>
                </c:pt>
                <c:pt idx="201">
                  <c:v>-3.53</c:v>
                </c:pt>
                <c:pt idx="202">
                  <c:v>3.03</c:v>
                </c:pt>
                <c:pt idx="203">
                  <c:v>-8.89</c:v>
                </c:pt>
                <c:pt idx="204">
                  <c:v>-3.8699999999999997</c:v>
                </c:pt>
                <c:pt idx="205">
                  <c:v>1.57</c:v>
                </c:pt>
                <c:pt idx="206">
                  <c:v>-0.44</c:v>
                </c:pt>
                <c:pt idx="207">
                  <c:v>4.46</c:v>
                </c:pt>
                <c:pt idx="208">
                  <c:v>6.08</c:v>
                </c:pt>
                <c:pt idx="209">
                  <c:v>8.68</c:v>
                </c:pt>
                <c:pt idx="210">
                  <c:v>13.97</c:v>
                </c:pt>
                <c:pt idx="211">
                  <c:v>56.11</c:v>
                </c:pt>
                <c:pt idx="212">
                  <c:v>3.1</c:v>
                </c:pt>
                <c:pt idx="213">
                  <c:v>16.8</c:v>
                </c:pt>
                <c:pt idx="214">
                  <c:v>16.600000000000001</c:v>
                </c:pt>
                <c:pt idx="215">
                  <c:v>22.6</c:v>
                </c:pt>
                <c:pt idx="216">
                  <c:v>15.4</c:v>
                </c:pt>
                <c:pt idx="217">
                  <c:v>15.6</c:v>
                </c:pt>
                <c:pt idx="218">
                  <c:v>11.1</c:v>
                </c:pt>
                <c:pt idx="219">
                  <c:v>21.7</c:v>
                </c:pt>
                <c:pt idx="220">
                  <c:v>9.1</c:v>
                </c:pt>
                <c:pt idx="221">
                  <c:v>17.399999999999999</c:v>
                </c:pt>
                <c:pt idx="222">
                  <c:v>19.600000000000001</c:v>
                </c:pt>
                <c:pt idx="223">
                  <c:v>13.7</c:v>
                </c:pt>
              </c:numCache>
            </c:numRef>
          </c:val>
        </c:ser>
        <c:marker val="1"/>
        <c:axId val="330513408"/>
        <c:axId val="330515200"/>
      </c:lineChart>
      <c:lineChart>
        <c:grouping val="standard"/>
        <c:ser>
          <c:idx val="0"/>
          <c:order val="0"/>
          <c:tx>
            <c:strRef>
              <c:f>Sheet6!$D$1</c:f>
              <c:strCache>
                <c:ptCount val="1"/>
                <c:pt idx="0">
                  <c:v>进口总值:当月值</c:v>
                </c:pt>
              </c:strCache>
            </c:strRef>
          </c:tx>
          <c:marker>
            <c:symbol val="none"/>
          </c:marker>
          <c:val>
            <c:numRef>
              <c:f>Sheet6!$D$4:$D$227</c:f>
              <c:numCache>
                <c:formatCode>#,##0.00_ </c:formatCode>
                <c:ptCount val="224"/>
                <c:pt idx="0">
                  <c:v>1620.9</c:v>
                </c:pt>
                <c:pt idx="1">
                  <c:v>1681.73</c:v>
                </c:pt>
                <c:pt idx="2">
                  <c:v>1471.91</c:v>
                </c:pt>
                <c:pt idx="3">
                  <c:v>1623.41</c:v>
                </c:pt>
                <c:pt idx="4">
                  <c:v>1689</c:v>
                </c:pt>
                <c:pt idx="5">
                  <c:v>1830.1299999999999</c:v>
                </c:pt>
                <c:pt idx="6">
                  <c:v>1241.42</c:v>
                </c:pt>
                <c:pt idx="7">
                  <c:v>1582.1899999999998</c:v>
                </c:pt>
                <c:pt idx="8">
                  <c:v>1676.11</c:v>
                </c:pt>
                <c:pt idx="9">
                  <c:v>1597.47</c:v>
                </c:pt>
                <c:pt idx="10">
                  <c:v>1435.24</c:v>
                </c:pt>
                <c:pt idx="11">
                  <c:v>1586.8</c:v>
                </c:pt>
                <c:pt idx="12">
                  <c:v>1513.1299999999999</c:v>
                </c:pt>
                <c:pt idx="13">
                  <c:v>1517.93</c:v>
                </c:pt>
                <c:pt idx="14">
                  <c:v>1484.82</c:v>
                </c:pt>
                <c:pt idx="15">
                  <c:v>1624.41</c:v>
                </c:pt>
                <c:pt idx="16">
                  <c:v>1448.25</c:v>
                </c:pt>
                <c:pt idx="17">
                  <c:v>1603.11</c:v>
                </c:pt>
                <c:pt idx="18">
                  <c:v>1459.54</c:v>
                </c:pt>
                <c:pt idx="19">
                  <c:v>1226.6099999999999</c:v>
                </c:pt>
                <c:pt idx="20">
                  <c:v>1581.97</c:v>
                </c:pt>
                <c:pt idx="21">
                  <c:v>1599.36</c:v>
                </c:pt>
                <c:pt idx="22">
                  <c:v>1404.58</c:v>
                </c:pt>
                <c:pt idx="23">
                  <c:v>1551.59</c:v>
                </c:pt>
                <c:pt idx="24">
                  <c:v>1555.57</c:v>
                </c:pt>
                <c:pt idx="25">
                  <c:v>1436.44</c:v>
                </c:pt>
                <c:pt idx="26">
                  <c:v>1397.08</c:v>
                </c:pt>
                <c:pt idx="27">
                  <c:v>1441.1</c:v>
                </c:pt>
                <c:pt idx="28">
                  <c:v>1442.6299999999999</c:v>
                </c:pt>
                <c:pt idx="29">
                  <c:v>1520.6</c:v>
                </c:pt>
                <c:pt idx="30">
                  <c:v>1040.6399999999999</c:v>
                </c:pt>
                <c:pt idx="31">
                  <c:v>1442.73</c:v>
                </c:pt>
                <c:pt idx="32">
                  <c:v>1410.6899999999998</c:v>
                </c:pt>
                <c:pt idx="33">
                  <c:v>1304.3599999999999</c:v>
                </c:pt>
                <c:pt idx="34">
                  <c:v>1088.33</c:v>
                </c:pt>
                <c:pt idx="35">
                  <c:v>1281.0999999999999</c:v>
                </c:pt>
                <c:pt idx="36">
                  <c:v>1192.6599999999999</c:v>
                </c:pt>
                <c:pt idx="37">
                  <c:v>1167.8899999999999</c:v>
                </c:pt>
                <c:pt idx="38">
                  <c:v>1173.74</c:v>
                </c:pt>
                <c:pt idx="39">
                  <c:v>1122.28</c:v>
                </c:pt>
                <c:pt idx="40">
                  <c:v>1182.3899999999999</c:v>
                </c:pt>
                <c:pt idx="41">
                  <c:v>1193.48</c:v>
                </c:pt>
                <c:pt idx="42">
                  <c:v>869.1</c:v>
                </c:pt>
                <c:pt idx="43">
                  <c:v>953.07</c:v>
                </c:pt>
                <c:pt idx="44">
                  <c:v>1122.94</c:v>
                </c:pt>
                <c:pt idx="45">
                  <c:v>945.6</c:v>
                </c:pt>
                <c:pt idx="46">
                  <c:v>867.75</c:v>
                </c:pt>
                <c:pt idx="47">
                  <c:v>1030.06</c:v>
                </c:pt>
                <c:pt idx="48">
                  <c:v>879.94999999999948</c:v>
                </c:pt>
                <c:pt idx="49">
                  <c:v>947.91</c:v>
                </c:pt>
                <c:pt idx="50">
                  <c:v>871.6</c:v>
                </c:pt>
                <c:pt idx="51">
                  <c:v>753.69</c:v>
                </c:pt>
                <c:pt idx="52">
                  <c:v>788</c:v>
                </c:pt>
                <c:pt idx="53">
                  <c:v>717.29000000000053</c:v>
                </c:pt>
                <c:pt idx="54">
                  <c:v>600.54</c:v>
                </c:pt>
                <c:pt idx="55">
                  <c:v>513.43999999999949</c:v>
                </c:pt>
                <c:pt idx="56">
                  <c:v>721.77000000000055</c:v>
                </c:pt>
                <c:pt idx="57">
                  <c:v>748.97</c:v>
                </c:pt>
                <c:pt idx="58">
                  <c:v>930.88</c:v>
                </c:pt>
                <c:pt idx="59">
                  <c:v>1070.6499999999999</c:v>
                </c:pt>
                <c:pt idx="60">
                  <c:v>1061.78</c:v>
                </c:pt>
                <c:pt idx="61">
                  <c:v>1113.97</c:v>
                </c:pt>
                <c:pt idx="62">
                  <c:v>1001.8</c:v>
                </c:pt>
                <c:pt idx="63">
                  <c:v>1002.8599999999979</c:v>
                </c:pt>
                <c:pt idx="64">
                  <c:v>1021.03</c:v>
                </c:pt>
                <c:pt idx="65">
                  <c:v>955.56</c:v>
                </c:pt>
                <c:pt idx="66">
                  <c:v>788.13</c:v>
                </c:pt>
                <c:pt idx="67">
                  <c:v>901.74</c:v>
                </c:pt>
                <c:pt idx="68">
                  <c:v>917.29000000000053</c:v>
                </c:pt>
                <c:pt idx="69">
                  <c:v>913.4</c:v>
                </c:pt>
                <c:pt idx="70">
                  <c:v>806.73</c:v>
                </c:pt>
                <c:pt idx="71">
                  <c:v>885.67000000000053</c:v>
                </c:pt>
                <c:pt idx="72">
                  <c:v>863.81</c:v>
                </c:pt>
                <c:pt idx="73">
                  <c:v>833.87</c:v>
                </c:pt>
                <c:pt idx="74">
                  <c:v>763.58</c:v>
                </c:pt>
                <c:pt idx="75">
                  <c:v>715.91</c:v>
                </c:pt>
                <c:pt idx="76">
                  <c:v>806.04</c:v>
                </c:pt>
                <c:pt idx="77">
                  <c:v>765.53</c:v>
                </c:pt>
                <c:pt idx="78">
                  <c:v>583.39</c:v>
                </c:pt>
                <c:pt idx="79">
                  <c:v>707.39</c:v>
                </c:pt>
                <c:pt idx="80">
                  <c:v>730.97</c:v>
                </c:pt>
                <c:pt idx="81">
                  <c:v>729.26</c:v>
                </c:pt>
                <c:pt idx="82">
                  <c:v>642.98</c:v>
                </c:pt>
                <c:pt idx="83">
                  <c:v>763.42</c:v>
                </c:pt>
                <c:pt idx="84">
                  <c:v>719.7</c:v>
                </c:pt>
                <c:pt idx="85">
                  <c:v>657.14</c:v>
                </c:pt>
                <c:pt idx="86">
                  <c:v>668.08</c:v>
                </c:pt>
                <c:pt idx="87">
                  <c:v>601.1</c:v>
                </c:pt>
                <c:pt idx="88">
                  <c:v>664.91</c:v>
                </c:pt>
                <c:pt idx="89">
                  <c:v>668.57</c:v>
                </c:pt>
                <c:pt idx="90">
                  <c:v>516.83999999999946</c:v>
                </c:pt>
                <c:pt idx="91">
                  <c:v>554.97</c:v>
                </c:pt>
                <c:pt idx="92">
                  <c:v>643.95999999999947</c:v>
                </c:pt>
                <c:pt idx="93">
                  <c:v>616.87</c:v>
                </c:pt>
                <c:pt idx="94">
                  <c:v>560.76</c:v>
                </c:pt>
                <c:pt idx="95">
                  <c:v>626.23</c:v>
                </c:pt>
                <c:pt idx="96">
                  <c:v>578.07000000000005</c:v>
                </c:pt>
                <c:pt idx="97">
                  <c:v>550.39</c:v>
                </c:pt>
                <c:pt idx="98">
                  <c:v>562.81999999999948</c:v>
                </c:pt>
                <c:pt idx="99">
                  <c:v>494.39</c:v>
                </c:pt>
                <c:pt idx="100">
                  <c:v>575.6</c:v>
                </c:pt>
                <c:pt idx="101">
                  <c:v>551.35999999999797</c:v>
                </c:pt>
                <c:pt idx="102">
                  <c:v>399.16</c:v>
                </c:pt>
                <c:pt idx="103">
                  <c:v>442.61</c:v>
                </c:pt>
                <c:pt idx="104">
                  <c:v>527.08000000000004</c:v>
                </c:pt>
                <c:pt idx="105">
                  <c:v>510.3</c:v>
                </c:pt>
                <c:pt idx="106">
                  <c:v>454.34000000000032</c:v>
                </c:pt>
                <c:pt idx="107">
                  <c:v>508.11</c:v>
                </c:pt>
                <c:pt idx="108">
                  <c:v>469.11</c:v>
                </c:pt>
                <c:pt idx="109">
                  <c:v>489.71999999999969</c:v>
                </c:pt>
                <c:pt idx="110">
                  <c:v>486.53</c:v>
                </c:pt>
                <c:pt idx="111">
                  <c:v>427.65000000000032</c:v>
                </c:pt>
                <c:pt idx="112">
                  <c:v>493.74</c:v>
                </c:pt>
                <c:pt idx="113">
                  <c:v>463.88</c:v>
                </c:pt>
                <c:pt idx="114">
                  <c:v>420.3</c:v>
                </c:pt>
                <c:pt idx="115">
                  <c:v>357.37</c:v>
                </c:pt>
                <c:pt idx="116">
                  <c:v>423.36</c:v>
                </c:pt>
                <c:pt idx="117">
                  <c:v>368.92999999999893</c:v>
                </c:pt>
                <c:pt idx="118">
                  <c:v>351.92999999999893</c:v>
                </c:pt>
                <c:pt idx="119">
                  <c:v>416.52</c:v>
                </c:pt>
                <c:pt idx="120">
                  <c:v>346.21</c:v>
                </c:pt>
                <c:pt idx="121">
                  <c:v>365.14000000000038</c:v>
                </c:pt>
                <c:pt idx="122">
                  <c:v>323.36</c:v>
                </c:pt>
                <c:pt idx="123">
                  <c:v>316.04000000000002</c:v>
                </c:pt>
                <c:pt idx="124">
                  <c:v>346.01</c:v>
                </c:pt>
                <c:pt idx="125">
                  <c:v>325.48999999999899</c:v>
                </c:pt>
                <c:pt idx="126">
                  <c:v>237.8</c:v>
                </c:pt>
                <c:pt idx="127">
                  <c:v>310.16000000000008</c:v>
                </c:pt>
                <c:pt idx="128">
                  <c:v>287.33</c:v>
                </c:pt>
                <c:pt idx="129">
                  <c:v>287.35000000000002</c:v>
                </c:pt>
                <c:pt idx="130">
                  <c:v>251.97</c:v>
                </c:pt>
                <c:pt idx="131">
                  <c:v>297.94</c:v>
                </c:pt>
                <c:pt idx="132">
                  <c:v>272.05</c:v>
                </c:pt>
                <c:pt idx="133">
                  <c:v>269.88</c:v>
                </c:pt>
                <c:pt idx="134">
                  <c:v>230.94</c:v>
                </c:pt>
                <c:pt idx="135">
                  <c:v>224.33</c:v>
                </c:pt>
                <c:pt idx="136">
                  <c:v>257.52</c:v>
                </c:pt>
                <c:pt idx="137">
                  <c:v>224.84</c:v>
                </c:pt>
                <c:pt idx="138">
                  <c:v>159.18</c:v>
                </c:pt>
                <c:pt idx="139">
                  <c:v>189.7</c:v>
                </c:pt>
                <c:pt idx="140">
                  <c:v>223.9</c:v>
                </c:pt>
                <c:pt idx="141">
                  <c:v>208.45000000000007</c:v>
                </c:pt>
                <c:pt idx="142">
                  <c:v>189.02</c:v>
                </c:pt>
                <c:pt idx="143">
                  <c:v>218.51</c:v>
                </c:pt>
                <c:pt idx="144">
                  <c:v>221.62</c:v>
                </c:pt>
                <c:pt idx="145">
                  <c:v>209.56</c:v>
                </c:pt>
                <c:pt idx="146">
                  <c:v>212.52</c:v>
                </c:pt>
                <c:pt idx="147">
                  <c:v>188.09</c:v>
                </c:pt>
                <c:pt idx="148">
                  <c:v>218.59</c:v>
                </c:pt>
                <c:pt idx="149">
                  <c:v>207.73</c:v>
                </c:pt>
                <c:pt idx="150">
                  <c:v>182.26</c:v>
                </c:pt>
                <c:pt idx="151">
                  <c:v>155.44999999999999</c:v>
                </c:pt>
                <c:pt idx="152">
                  <c:v>214.14</c:v>
                </c:pt>
                <c:pt idx="153">
                  <c:v>216.41</c:v>
                </c:pt>
                <c:pt idx="154">
                  <c:v>189.16</c:v>
                </c:pt>
                <c:pt idx="155">
                  <c:v>207.15</c:v>
                </c:pt>
                <c:pt idx="156">
                  <c:v>207.88000000000065</c:v>
                </c:pt>
                <c:pt idx="157">
                  <c:v>194.92000000000004</c:v>
                </c:pt>
                <c:pt idx="158">
                  <c:v>203.01</c:v>
                </c:pt>
                <c:pt idx="159">
                  <c:v>169.66</c:v>
                </c:pt>
                <c:pt idx="160">
                  <c:v>183.60999999999999</c:v>
                </c:pt>
                <c:pt idx="161">
                  <c:v>178.14</c:v>
                </c:pt>
                <c:pt idx="162">
                  <c:v>134.29</c:v>
                </c:pt>
                <c:pt idx="163">
                  <c:v>152.58000000000001</c:v>
                </c:pt>
                <c:pt idx="164">
                  <c:v>174.22</c:v>
                </c:pt>
                <c:pt idx="165">
                  <c:v>169.09</c:v>
                </c:pt>
                <c:pt idx="166">
                  <c:v>137.93</c:v>
                </c:pt>
                <c:pt idx="167">
                  <c:v>152.68</c:v>
                </c:pt>
                <c:pt idx="168">
                  <c:v>134.46</c:v>
                </c:pt>
                <c:pt idx="169">
                  <c:v>139.20999999999998</c:v>
                </c:pt>
                <c:pt idx="170">
                  <c:v>145.22999999999999</c:v>
                </c:pt>
                <c:pt idx="171">
                  <c:v>136.57</c:v>
                </c:pt>
                <c:pt idx="172">
                  <c:v>138.37</c:v>
                </c:pt>
                <c:pt idx="173">
                  <c:v>143.78</c:v>
                </c:pt>
                <c:pt idx="174">
                  <c:v>87.22</c:v>
                </c:pt>
                <c:pt idx="175">
                  <c:v>99.03</c:v>
                </c:pt>
                <c:pt idx="176">
                  <c:v>176.79</c:v>
                </c:pt>
                <c:pt idx="177">
                  <c:v>123.46000000000002</c:v>
                </c:pt>
                <c:pt idx="178">
                  <c:v>116.53</c:v>
                </c:pt>
                <c:pt idx="179">
                  <c:v>115.43</c:v>
                </c:pt>
                <c:pt idx="180">
                  <c:v>108.79</c:v>
                </c:pt>
                <c:pt idx="181">
                  <c:v>119.64</c:v>
                </c:pt>
                <c:pt idx="182">
                  <c:v>118.56</c:v>
                </c:pt>
                <c:pt idx="183">
                  <c:v>112.91000000000012</c:v>
                </c:pt>
                <c:pt idx="184">
                  <c:v>116.86</c:v>
                </c:pt>
                <c:pt idx="185">
                  <c:v>118.02</c:v>
                </c:pt>
                <c:pt idx="186">
                  <c:v>89.93</c:v>
                </c:pt>
                <c:pt idx="187">
                  <c:v>86.95</c:v>
                </c:pt>
                <c:pt idx="188">
                  <c:v>190.78</c:v>
                </c:pt>
                <c:pt idx="189">
                  <c:v>120.97</c:v>
                </c:pt>
                <c:pt idx="190">
                  <c:v>128.41999999999999</c:v>
                </c:pt>
                <c:pt idx="191">
                  <c:v>114.8</c:v>
                </c:pt>
                <c:pt idx="192">
                  <c:v>110.7</c:v>
                </c:pt>
                <c:pt idx="193">
                  <c:v>127.91000000000012</c:v>
                </c:pt>
                <c:pt idx="194">
                  <c:v>112.2</c:v>
                </c:pt>
                <c:pt idx="195">
                  <c:v>115.58</c:v>
                </c:pt>
                <c:pt idx="196">
                  <c:v>112.2</c:v>
                </c:pt>
                <c:pt idx="197">
                  <c:v>110.98</c:v>
                </c:pt>
                <c:pt idx="198">
                  <c:v>77.290000000000006</c:v>
                </c:pt>
                <c:pt idx="199">
                  <c:v>99.77</c:v>
                </c:pt>
                <c:pt idx="200">
                  <c:v>200.28</c:v>
                </c:pt>
                <c:pt idx="201">
                  <c:v>116.22</c:v>
                </c:pt>
                <c:pt idx="202">
                  <c:v>113.09</c:v>
                </c:pt>
                <c:pt idx="203">
                  <c:v>102.94000000000032</c:v>
                </c:pt>
                <c:pt idx="204">
                  <c:v>111.39</c:v>
                </c:pt>
                <c:pt idx="205">
                  <c:v>113.05</c:v>
                </c:pt>
                <c:pt idx="206">
                  <c:v>109.09</c:v>
                </c:pt>
                <c:pt idx="207">
                  <c:v>120.1</c:v>
                </c:pt>
                <c:pt idx="208">
                  <c:v>109.26</c:v>
                </c:pt>
                <c:pt idx="209">
                  <c:v>111.35</c:v>
                </c:pt>
                <c:pt idx="210">
                  <c:v>81.36999999999999</c:v>
                </c:pt>
                <c:pt idx="211">
                  <c:v>101.32</c:v>
                </c:pt>
                <c:pt idx="212">
                  <c:v>184.73999999999998</c:v>
                </c:pt>
                <c:pt idx="213">
                  <c:v>120.47</c:v>
                </c:pt>
                <c:pt idx="214">
                  <c:v>109.76</c:v>
                </c:pt>
                <c:pt idx="215">
                  <c:v>112.99000000000002</c:v>
                </c:pt>
                <c:pt idx="216">
                  <c:v>115.88</c:v>
                </c:pt>
                <c:pt idx="217">
                  <c:v>111.3</c:v>
                </c:pt>
                <c:pt idx="218">
                  <c:v>109.57</c:v>
                </c:pt>
                <c:pt idx="219">
                  <c:v>114.97</c:v>
                </c:pt>
                <c:pt idx="220">
                  <c:v>103</c:v>
                </c:pt>
                <c:pt idx="221">
                  <c:v>102.46000000000002</c:v>
                </c:pt>
                <c:pt idx="222">
                  <c:v>71.400000000000006</c:v>
                </c:pt>
                <c:pt idx="223">
                  <c:v>64.900000000000006</c:v>
                </c:pt>
              </c:numCache>
            </c:numRef>
          </c:val>
        </c:ser>
        <c:marker val="1"/>
        <c:axId val="330522624"/>
        <c:axId val="330516736"/>
      </c:lineChart>
      <c:dateAx>
        <c:axId val="330513408"/>
        <c:scaling>
          <c:orientation val="minMax"/>
        </c:scaling>
        <c:axPos val="b"/>
        <c:numFmt formatCode="yyyy\-mm;@" sourceLinked="1"/>
        <c:tickLblPos val="low"/>
        <c:crossAx val="330515200"/>
        <c:crosses val="autoZero"/>
        <c:auto val="1"/>
        <c:lblOffset val="100"/>
        <c:majorUnit val="24"/>
        <c:majorTimeUnit val="months"/>
      </c:dateAx>
      <c:valAx>
        <c:axId val="330515200"/>
        <c:scaling>
          <c:orientation val="minMax"/>
        </c:scaling>
        <c:axPos val="l"/>
        <c:majorGridlines/>
        <c:numFmt formatCode="#,##0.00_ " sourceLinked="1"/>
        <c:tickLblPos val="nextTo"/>
        <c:crossAx val="330513408"/>
        <c:crosses val="autoZero"/>
        <c:crossBetween val="between"/>
      </c:valAx>
      <c:valAx>
        <c:axId val="330516736"/>
        <c:scaling>
          <c:orientation val="minMax"/>
        </c:scaling>
        <c:axPos val="r"/>
        <c:numFmt formatCode="#,##0.00_ " sourceLinked="1"/>
        <c:tickLblPos val="nextTo"/>
        <c:crossAx val="330522624"/>
        <c:crosses val="max"/>
        <c:crossBetween val="between"/>
      </c:valAx>
      <c:catAx>
        <c:axId val="330522624"/>
        <c:scaling>
          <c:orientation val="minMax"/>
        </c:scaling>
        <c:delete val="1"/>
        <c:axPos val="b"/>
        <c:tickLblPos val="none"/>
        <c:crossAx val="330516736"/>
        <c:crosses val="autoZero"/>
        <c:auto val="1"/>
        <c:lblAlgn val="ctr"/>
        <c:lblOffset val="100"/>
      </c:catAx>
    </c:plotArea>
    <c:legend>
      <c:legendPos val="b"/>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strRef>
              <c:f>Sheet1!$B$1:$B$2</c:f>
              <c:strCache>
                <c:ptCount val="1"/>
                <c:pt idx="0">
                  <c:v>社会融资总量:新增人民币贷款:当月值 月</c:v>
                </c:pt>
              </c:strCache>
            </c:strRef>
          </c:tx>
          <c:marker>
            <c:symbol val="none"/>
          </c:marker>
          <c:cat>
            <c:numRef>
              <c:f>Sheet1!$A$3:$A$17</c:f>
              <c:numCache>
                <c:formatCode>yyyy\-mm;@</c:formatCode>
                <c:ptCount val="15"/>
                <c:pt idx="0">
                  <c:v>41547</c:v>
                </c:pt>
                <c:pt idx="1">
                  <c:v>41517</c:v>
                </c:pt>
                <c:pt idx="2">
                  <c:v>41486</c:v>
                </c:pt>
                <c:pt idx="3">
                  <c:v>41455</c:v>
                </c:pt>
                <c:pt idx="4">
                  <c:v>41425</c:v>
                </c:pt>
                <c:pt idx="5">
                  <c:v>41394</c:v>
                </c:pt>
                <c:pt idx="6">
                  <c:v>41364</c:v>
                </c:pt>
                <c:pt idx="7">
                  <c:v>41333</c:v>
                </c:pt>
                <c:pt idx="8">
                  <c:v>41305</c:v>
                </c:pt>
                <c:pt idx="9">
                  <c:v>41274</c:v>
                </c:pt>
                <c:pt idx="10">
                  <c:v>41243</c:v>
                </c:pt>
                <c:pt idx="11">
                  <c:v>41213</c:v>
                </c:pt>
                <c:pt idx="12">
                  <c:v>41182</c:v>
                </c:pt>
                <c:pt idx="13">
                  <c:v>41152</c:v>
                </c:pt>
                <c:pt idx="14">
                  <c:v>41121</c:v>
                </c:pt>
              </c:numCache>
            </c:numRef>
          </c:cat>
          <c:val>
            <c:numRef>
              <c:f>Sheet1!$B$3:$B$17</c:f>
              <c:numCache>
                <c:formatCode>###,###,###,###,##0.00_ </c:formatCode>
                <c:ptCount val="15"/>
                <c:pt idx="0">
                  <c:v>7870</c:v>
                </c:pt>
                <c:pt idx="1">
                  <c:v>7113.48</c:v>
                </c:pt>
                <c:pt idx="2">
                  <c:v>6997.33</c:v>
                </c:pt>
                <c:pt idx="3">
                  <c:v>8628.2000000000007</c:v>
                </c:pt>
                <c:pt idx="4">
                  <c:v>6694.1900000000014</c:v>
                </c:pt>
                <c:pt idx="5">
                  <c:v>7922.96</c:v>
                </c:pt>
                <c:pt idx="6">
                  <c:v>10625.42</c:v>
                </c:pt>
                <c:pt idx="7">
                  <c:v>6199.89</c:v>
                </c:pt>
                <c:pt idx="8">
                  <c:v>10721.28</c:v>
                </c:pt>
                <c:pt idx="9">
                  <c:v>4546</c:v>
                </c:pt>
                <c:pt idx="10">
                  <c:v>5220</c:v>
                </c:pt>
                <c:pt idx="11">
                  <c:v>5054</c:v>
                </c:pt>
                <c:pt idx="12">
                  <c:v>6226</c:v>
                </c:pt>
                <c:pt idx="13">
                  <c:v>7039</c:v>
                </c:pt>
                <c:pt idx="14">
                  <c:v>5401</c:v>
                </c:pt>
              </c:numCache>
            </c:numRef>
          </c:val>
        </c:ser>
        <c:ser>
          <c:idx val="1"/>
          <c:order val="1"/>
          <c:tx>
            <c:strRef>
              <c:f>Sheet1!$C$1:$C$2</c:f>
              <c:strCache>
                <c:ptCount val="1"/>
                <c:pt idx="0">
                  <c:v>社会融资总量:新增外币贷款:当月值 月</c:v>
                </c:pt>
              </c:strCache>
            </c:strRef>
          </c:tx>
          <c:marker>
            <c:symbol val="none"/>
          </c:marker>
          <c:cat>
            <c:numRef>
              <c:f>Sheet1!$A$3:$A$17</c:f>
              <c:numCache>
                <c:formatCode>yyyy\-mm;@</c:formatCode>
                <c:ptCount val="15"/>
                <c:pt idx="0">
                  <c:v>41547</c:v>
                </c:pt>
                <c:pt idx="1">
                  <c:v>41517</c:v>
                </c:pt>
                <c:pt idx="2">
                  <c:v>41486</c:v>
                </c:pt>
                <c:pt idx="3">
                  <c:v>41455</c:v>
                </c:pt>
                <c:pt idx="4">
                  <c:v>41425</c:v>
                </c:pt>
                <c:pt idx="5">
                  <c:v>41394</c:v>
                </c:pt>
                <c:pt idx="6">
                  <c:v>41364</c:v>
                </c:pt>
                <c:pt idx="7">
                  <c:v>41333</c:v>
                </c:pt>
                <c:pt idx="8">
                  <c:v>41305</c:v>
                </c:pt>
                <c:pt idx="9">
                  <c:v>41274</c:v>
                </c:pt>
                <c:pt idx="10">
                  <c:v>41243</c:v>
                </c:pt>
                <c:pt idx="11">
                  <c:v>41213</c:v>
                </c:pt>
                <c:pt idx="12">
                  <c:v>41182</c:v>
                </c:pt>
                <c:pt idx="13">
                  <c:v>41152</c:v>
                </c:pt>
                <c:pt idx="14">
                  <c:v>41121</c:v>
                </c:pt>
              </c:numCache>
            </c:numRef>
          </c:cat>
          <c:val>
            <c:numRef>
              <c:f>Sheet1!$C$3:$C$17</c:f>
              <c:numCache>
                <c:formatCode>###,###,###,###,##0.00_ </c:formatCode>
                <c:ptCount val="15"/>
                <c:pt idx="0">
                  <c:v>891</c:v>
                </c:pt>
                <c:pt idx="1">
                  <c:v>-359.96999999999969</c:v>
                </c:pt>
                <c:pt idx="2">
                  <c:v>-1156.74</c:v>
                </c:pt>
                <c:pt idx="3">
                  <c:v>133.16</c:v>
                </c:pt>
                <c:pt idx="4">
                  <c:v>356.87</c:v>
                </c:pt>
                <c:pt idx="5">
                  <c:v>847.19</c:v>
                </c:pt>
                <c:pt idx="6">
                  <c:v>1509.21</c:v>
                </c:pt>
                <c:pt idx="7">
                  <c:v>1148.8599999999999</c:v>
                </c:pt>
                <c:pt idx="8">
                  <c:v>1795.42</c:v>
                </c:pt>
                <c:pt idx="9">
                  <c:v>1486</c:v>
                </c:pt>
                <c:pt idx="10">
                  <c:v>1045</c:v>
                </c:pt>
                <c:pt idx="11">
                  <c:v>1290</c:v>
                </c:pt>
                <c:pt idx="12">
                  <c:v>1764</c:v>
                </c:pt>
                <c:pt idx="13">
                  <c:v>743</c:v>
                </c:pt>
                <c:pt idx="14">
                  <c:v>70</c:v>
                </c:pt>
              </c:numCache>
            </c:numRef>
          </c:val>
        </c:ser>
        <c:ser>
          <c:idx val="2"/>
          <c:order val="2"/>
          <c:tx>
            <c:strRef>
              <c:f>Sheet1!$D$1:$D$2</c:f>
              <c:strCache>
                <c:ptCount val="1"/>
                <c:pt idx="0">
                  <c:v>社会融资总量:新增委托贷款:当月值 月</c:v>
                </c:pt>
              </c:strCache>
            </c:strRef>
          </c:tx>
          <c:marker>
            <c:symbol val="none"/>
          </c:marker>
          <c:cat>
            <c:numRef>
              <c:f>Sheet1!$A$3:$A$17</c:f>
              <c:numCache>
                <c:formatCode>yyyy\-mm;@</c:formatCode>
                <c:ptCount val="15"/>
                <c:pt idx="0">
                  <c:v>41547</c:v>
                </c:pt>
                <c:pt idx="1">
                  <c:v>41517</c:v>
                </c:pt>
                <c:pt idx="2">
                  <c:v>41486</c:v>
                </c:pt>
                <c:pt idx="3">
                  <c:v>41455</c:v>
                </c:pt>
                <c:pt idx="4">
                  <c:v>41425</c:v>
                </c:pt>
                <c:pt idx="5">
                  <c:v>41394</c:v>
                </c:pt>
                <c:pt idx="6">
                  <c:v>41364</c:v>
                </c:pt>
                <c:pt idx="7">
                  <c:v>41333</c:v>
                </c:pt>
                <c:pt idx="8">
                  <c:v>41305</c:v>
                </c:pt>
                <c:pt idx="9">
                  <c:v>41274</c:v>
                </c:pt>
                <c:pt idx="10">
                  <c:v>41243</c:v>
                </c:pt>
                <c:pt idx="11">
                  <c:v>41213</c:v>
                </c:pt>
                <c:pt idx="12">
                  <c:v>41182</c:v>
                </c:pt>
                <c:pt idx="13">
                  <c:v>41152</c:v>
                </c:pt>
                <c:pt idx="14">
                  <c:v>41121</c:v>
                </c:pt>
              </c:numCache>
            </c:numRef>
          </c:cat>
          <c:val>
            <c:numRef>
              <c:f>Sheet1!$D$3:$D$17</c:f>
              <c:numCache>
                <c:formatCode>###,###,###,###,##0.00_ </c:formatCode>
                <c:ptCount val="15"/>
                <c:pt idx="0">
                  <c:v>2217.1</c:v>
                </c:pt>
                <c:pt idx="1">
                  <c:v>2937.79</c:v>
                </c:pt>
                <c:pt idx="2">
                  <c:v>1926.84</c:v>
                </c:pt>
                <c:pt idx="3">
                  <c:v>1990.1799999999998</c:v>
                </c:pt>
                <c:pt idx="4">
                  <c:v>1966.84</c:v>
                </c:pt>
                <c:pt idx="5">
                  <c:v>1925.9</c:v>
                </c:pt>
                <c:pt idx="6">
                  <c:v>1748.04</c:v>
                </c:pt>
                <c:pt idx="7">
                  <c:v>1425.8799999999999</c:v>
                </c:pt>
                <c:pt idx="8">
                  <c:v>2061.4299999999998</c:v>
                </c:pt>
                <c:pt idx="9">
                  <c:v>2079</c:v>
                </c:pt>
                <c:pt idx="10">
                  <c:v>1218</c:v>
                </c:pt>
                <c:pt idx="11">
                  <c:v>941</c:v>
                </c:pt>
                <c:pt idx="12">
                  <c:v>1449</c:v>
                </c:pt>
                <c:pt idx="13">
                  <c:v>1046</c:v>
                </c:pt>
                <c:pt idx="14">
                  <c:v>1279</c:v>
                </c:pt>
              </c:numCache>
            </c:numRef>
          </c:val>
        </c:ser>
        <c:ser>
          <c:idx val="3"/>
          <c:order val="3"/>
          <c:tx>
            <c:strRef>
              <c:f>Sheet1!$E$1:$E$2</c:f>
              <c:strCache>
                <c:ptCount val="1"/>
                <c:pt idx="0">
                  <c:v>社会融资总量:新增信托贷款:当月值 月</c:v>
                </c:pt>
              </c:strCache>
            </c:strRef>
          </c:tx>
          <c:marker>
            <c:symbol val="none"/>
          </c:marker>
          <c:cat>
            <c:numRef>
              <c:f>Sheet1!$A$3:$A$17</c:f>
              <c:numCache>
                <c:formatCode>yyyy\-mm;@</c:formatCode>
                <c:ptCount val="15"/>
                <c:pt idx="0">
                  <c:v>41547</c:v>
                </c:pt>
                <c:pt idx="1">
                  <c:v>41517</c:v>
                </c:pt>
                <c:pt idx="2">
                  <c:v>41486</c:v>
                </c:pt>
                <c:pt idx="3">
                  <c:v>41455</c:v>
                </c:pt>
                <c:pt idx="4">
                  <c:v>41425</c:v>
                </c:pt>
                <c:pt idx="5">
                  <c:v>41394</c:v>
                </c:pt>
                <c:pt idx="6">
                  <c:v>41364</c:v>
                </c:pt>
                <c:pt idx="7">
                  <c:v>41333</c:v>
                </c:pt>
                <c:pt idx="8">
                  <c:v>41305</c:v>
                </c:pt>
                <c:pt idx="9">
                  <c:v>41274</c:v>
                </c:pt>
                <c:pt idx="10">
                  <c:v>41243</c:v>
                </c:pt>
                <c:pt idx="11">
                  <c:v>41213</c:v>
                </c:pt>
                <c:pt idx="12">
                  <c:v>41182</c:v>
                </c:pt>
                <c:pt idx="13">
                  <c:v>41152</c:v>
                </c:pt>
                <c:pt idx="14">
                  <c:v>41121</c:v>
                </c:pt>
              </c:numCache>
            </c:numRef>
          </c:cat>
          <c:val>
            <c:numRef>
              <c:f>Sheet1!$E$3:$E$17</c:f>
              <c:numCache>
                <c:formatCode>###,###,###,###,##0.00_ </c:formatCode>
                <c:ptCount val="15"/>
                <c:pt idx="0">
                  <c:v>1204.58</c:v>
                </c:pt>
                <c:pt idx="1">
                  <c:v>1079.26</c:v>
                </c:pt>
                <c:pt idx="2">
                  <c:v>1150.8899999999999</c:v>
                </c:pt>
                <c:pt idx="3">
                  <c:v>1207.79</c:v>
                </c:pt>
                <c:pt idx="4">
                  <c:v>971.19</c:v>
                </c:pt>
                <c:pt idx="5">
                  <c:v>1941.98</c:v>
                </c:pt>
                <c:pt idx="6">
                  <c:v>4311.99</c:v>
                </c:pt>
                <c:pt idx="7">
                  <c:v>1824.55</c:v>
                </c:pt>
                <c:pt idx="8">
                  <c:v>2107.77</c:v>
                </c:pt>
                <c:pt idx="9">
                  <c:v>2598</c:v>
                </c:pt>
                <c:pt idx="10">
                  <c:v>1802</c:v>
                </c:pt>
                <c:pt idx="11">
                  <c:v>1444</c:v>
                </c:pt>
                <c:pt idx="12">
                  <c:v>2012</c:v>
                </c:pt>
                <c:pt idx="13">
                  <c:v>1238</c:v>
                </c:pt>
                <c:pt idx="14">
                  <c:v>384</c:v>
                </c:pt>
              </c:numCache>
            </c:numRef>
          </c:val>
        </c:ser>
        <c:ser>
          <c:idx val="4"/>
          <c:order val="4"/>
          <c:tx>
            <c:strRef>
              <c:f>Sheet1!$F$1:$F$2</c:f>
              <c:strCache>
                <c:ptCount val="1"/>
                <c:pt idx="0">
                  <c:v>社会融资总量:新增未贴现银行承兑汇票:当月值 月</c:v>
                </c:pt>
              </c:strCache>
            </c:strRef>
          </c:tx>
          <c:marker>
            <c:symbol val="none"/>
          </c:marker>
          <c:cat>
            <c:numRef>
              <c:f>Sheet1!$A$3:$A$17</c:f>
              <c:numCache>
                <c:formatCode>yyyy\-mm;@</c:formatCode>
                <c:ptCount val="15"/>
                <c:pt idx="0">
                  <c:v>41547</c:v>
                </c:pt>
                <c:pt idx="1">
                  <c:v>41517</c:v>
                </c:pt>
                <c:pt idx="2">
                  <c:v>41486</c:v>
                </c:pt>
                <c:pt idx="3">
                  <c:v>41455</c:v>
                </c:pt>
                <c:pt idx="4">
                  <c:v>41425</c:v>
                </c:pt>
                <c:pt idx="5">
                  <c:v>41394</c:v>
                </c:pt>
                <c:pt idx="6">
                  <c:v>41364</c:v>
                </c:pt>
                <c:pt idx="7">
                  <c:v>41333</c:v>
                </c:pt>
                <c:pt idx="8">
                  <c:v>41305</c:v>
                </c:pt>
                <c:pt idx="9">
                  <c:v>41274</c:v>
                </c:pt>
                <c:pt idx="10">
                  <c:v>41243</c:v>
                </c:pt>
                <c:pt idx="11">
                  <c:v>41213</c:v>
                </c:pt>
                <c:pt idx="12">
                  <c:v>41182</c:v>
                </c:pt>
                <c:pt idx="13">
                  <c:v>41152</c:v>
                </c:pt>
                <c:pt idx="14">
                  <c:v>41121</c:v>
                </c:pt>
              </c:numCache>
            </c:numRef>
          </c:cat>
          <c:val>
            <c:numRef>
              <c:f>Sheet1!$F$3:$F$17</c:f>
              <c:numCache>
                <c:formatCode>###,###,###,###,##0.00_ </c:formatCode>
                <c:ptCount val="15"/>
                <c:pt idx="0">
                  <c:v>-77.36</c:v>
                </c:pt>
                <c:pt idx="1">
                  <c:v>3045.04</c:v>
                </c:pt>
                <c:pt idx="2">
                  <c:v>-1777.4</c:v>
                </c:pt>
                <c:pt idx="3">
                  <c:v>-2614.5500000000002</c:v>
                </c:pt>
                <c:pt idx="4">
                  <c:v>-1140.6399999999999</c:v>
                </c:pt>
                <c:pt idx="5">
                  <c:v>2217.5100000000002</c:v>
                </c:pt>
                <c:pt idx="6">
                  <c:v>2731.3100000000022</c:v>
                </c:pt>
                <c:pt idx="7">
                  <c:v>-1823.1699999999998</c:v>
                </c:pt>
                <c:pt idx="8">
                  <c:v>5798.26</c:v>
                </c:pt>
                <c:pt idx="9">
                  <c:v>2637</c:v>
                </c:pt>
                <c:pt idx="10">
                  <c:v>-489</c:v>
                </c:pt>
                <c:pt idx="11">
                  <c:v>729</c:v>
                </c:pt>
                <c:pt idx="12">
                  <c:v>2155</c:v>
                </c:pt>
                <c:pt idx="13">
                  <c:v>-846</c:v>
                </c:pt>
                <c:pt idx="14">
                  <c:v>218</c:v>
                </c:pt>
              </c:numCache>
            </c:numRef>
          </c:val>
        </c:ser>
        <c:ser>
          <c:idx val="5"/>
          <c:order val="5"/>
          <c:tx>
            <c:strRef>
              <c:f>Sheet1!$G$1:$G$2</c:f>
              <c:strCache>
                <c:ptCount val="1"/>
                <c:pt idx="0">
                  <c:v>社会融资总量:企业债券融资:当月值 月</c:v>
                </c:pt>
              </c:strCache>
            </c:strRef>
          </c:tx>
          <c:marker>
            <c:symbol val="none"/>
          </c:marker>
          <c:cat>
            <c:numRef>
              <c:f>Sheet1!$A$3:$A$17</c:f>
              <c:numCache>
                <c:formatCode>yyyy\-mm;@</c:formatCode>
                <c:ptCount val="15"/>
                <c:pt idx="0">
                  <c:v>41547</c:v>
                </c:pt>
                <c:pt idx="1">
                  <c:v>41517</c:v>
                </c:pt>
                <c:pt idx="2">
                  <c:v>41486</c:v>
                </c:pt>
                <c:pt idx="3">
                  <c:v>41455</c:v>
                </c:pt>
                <c:pt idx="4">
                  <c:v>41425</c:v>
                </c:pt>
                <c:pt idx="5">
                  <c:v>41394</c:v>
                </c:pt>
                <c:pt idx="6">
                  <c:v>41364</c:v>
                </c:pt>
                <c:pt idx="7">
                  <c:v>41333</c:v>
                </c:pt>
                <c:pt idx="8">
                  <c:v>41305</c:v>
                </c:pt>
                <c:pt idx="9">
                  <c:v>41274</c:v>
                </c:pt>
                <c:pt idx="10">
                  <c:v>41243</c:v>
                </c:pt>
                <c:pt idx="11">
                  <c:v>41213</c:v>
                </c:pt>
                <c:pt idx="12">
                  <c:v>41182</c:v>
                </c:pt>
                <c:pt idx="13">
                  <c:v>41152</c:v>
                </c:pt>
                <c:pt idx="14">
                  <c:v>41121</c:v>
                </c:pt>
              </c:numCache>
            </c:numRef>
          </c:cat>
          <c:val>
            <c:numRef>
              <c:f>Sheet1!$G$3:$G$17</c:f>
              <c:numCache>
                <c:formatCode>###,###,###,###,##0.00_ </c:formatCode>
                <c:ptCount val="15"/>
                <c:pt idx="0">
                  <c:v>1447.1</c:v>
                </c:pt>
                <c:pt idx="1">
                  <c:v>1226.8899999999999</c:v>
                </c:pt>
                <c:pt idx="2">
                  <c:v>467.84000000000032</c:v>
                </c:pt>
                <c:pt idx="3">
                  <c:v>321.41999999999899</c:v>
                </c:pt>
                <c:pt idx="4">
                  <c:v>2226.4299999999998</c:v>
                </c:pt>
                <c:pt idx="5">
                  <c:v>2037.58</c:v>
                </c:pt>
                <c:pt idx="6">
                  <c:v>3870.02</c:v>
                </c:pt>
                <c:pt idx="7">
                  <c:v>1454.24</c:v>
                </c:pt>
                <c:pt idx="8">
                  <c:v>2248.48</c:v>
                </c:pt>
                <c:pt idx="9">
                  <c:v>2126</c:v>
                </c:pt>
                <c:pt idx="10">
                  <c:v>1820</c:v>
                </c:pt>
                <c:pt idx="11">
                  <c:v>2992</c:v>
                </c:pt>
                <c:pt idx="12">
                  <c:v>2278</c:v>
                </c:pt>
                <c:pt idx="13">
                  <c:v>2579</c:v>
                </c:pt>
                <c:pt idx="14">
                  <c:v>2486</c:v>
                </c:pt>
              </c:numCache>
            </c:numRef>
          </c:val>
        </c:ser>
        <c:marker val="1"/>
        <c:axId val="331656192"/>
        <c:axId val="331674368"/>
      </c:lineChart>
      <c:dateAx>
        <c:axId val="331656192"/>
        <c:scaling>
          <c:orientation val="minMax"/>
        </c:scaling>
        <c:axPos val="b"/>
        <c:numFmt formatCode="yyyy\-mm;@" sourceLinked="1"/>
        <c:tickLblPos val="low"/>
        <c:crossAx val="331674368"/>
        <c:crosses val="autoZero"/>
        <c:auto val="1"/>
        <c:lblOffset val="100"/>
        <c:majorUnit val="2"/>
        <c:majorTimeUnit val="months"/>
      </c:dateAx>
      <c:valAx>
        <c:axId val="331674368"/>
        <c:scaling>
          <c:orientation val="minMax"/>
        </c:scaling>
        <c:axPos val="l"/>
        <c:majorGridlines/>
        <c:numFmt formatCode="###,###,###,###,##0.00_ " sourceLinked="1"/>
        <c:tickLblPos val="nextTo"/>
        <c:crossAx val="331656192"/>
        <c:crosses val="autoZero"/>
        <c:crossBetween val="between"/>
      </c:valAx>
    </c:plotArea>
    <c:legend>
      <c:legendPos val="b"/>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strRef>
              <c:f>Sheet1!$B$1:$B$2</c:f>
              <c:strCache>
                <c:ptCount val="1"/>
                <c:pt idx="0">
                  <c:v>M0:同比 月</c:v>
                </c:pt>
              </c:strCache>
            </c:strRef>
          </c:tx>
          <c:marker>
            <c:symbol val="none"/>
          </c:marker>
          <c:cat>
            <c:numRef>
              <c:f>Sheet1!$A$3:$A$95</c:f>
              <c:numCache>
                <c:formatCode>yyyy\-mm;@</c:formatCode>
                <c:ptCount val="93"/>
                <c:pt idx="0">
                  <c:v>41547</c:v>
                </c:pt>
                <c:pt idx="1">
                  <c:v>41517</c:v>
                </c:pt>
                <c:pt idx="2">
                  <c:v>41486</c:v>
                </c:pt>
                <c:pt idx="3">
                  <c:v>41455</c:v>
                </c:pt>
                <c:pt idx="4">
                  <c:v>41425</c:v>
                </c:pt>
                <c:pt idx="5">
                  <c:v>41394</c:v>
                </c:pt>
                <c:pt idx="6">
                  <c:v>41364</c:v>
                </c:pt>
                <c:pt idx="7">
                  <c:v>41333</c:v>
                </c:pt>
                <c:pt idx="8">
                  <c:v>41305</c:v>
                </c:pt>
                <c:pt idx="9">
                  <c:v>41274</c:v>
                </c:pt>
                <c:pt idx="10">
                  <c:v>41243</c:v>
                </c:pt>
                <c:pt idx="11">
                  <c:v>41213</c:v>
                </c:pt>
                <c:pt idx="12">
                  <c:v>41182</c:v>
                </c:pt>
                <c:pt idx="13">
                  <c:v>41152</c:v>
                </c:pt>
                <c:pt idx="14">
                  <c:v>41121</c:v>
                </c:pt>
                <c:pt idx="15">
                  <c:v>41090</c:v>
                </c:pt>
                <c:pt idx="16">
                  <c:v>41060</c:v>
                </c:pt>
                <c:pt idx="17">
                  <c:v>41029</c:v>
                </c:pt>
                <c:pt idx="18">
                  <c:v>40999</c:v>
                </c:pt>
                <c:pt idx="19">
                  <c:v>40968</c:v>
                </c:pt>
                <c:pt idx="20">
                  <c:v>40939</c:v>
                </c:pt>
                <c:pt idx="21">
                  <c:v>40908</c:v>
                </c:pt>
                <c:pt idx="22">
                  <c:v>40877</c:v>
                </c:pt>
                <c:pt idx="23">
                  <c:v>40847</c:v>
                </c:pt>
                <c:pt idx="24">
                  <c:v>40816</c:v>
                </c:pt>
                <c:pt idx="25">
                  <c:v>40786</c:v>
                </c:pt>
                <c:pt idx="26">
                  <c:v>40755</c:v>
                </c:pt>
                <c:pt idx="27">
                  <c:v>40724</c:v>
                </c:pt>
                <c:pt idx="28">
                  <c:v>40694</c:v>
                </c:pt>
                <c:pt idx="29">
                  <c:v>40663</c:v>
                </c:pt>
                <c:pt idx="30">
                  <c:v>40633</c:v>
                </c:pt>
                <c:pt idx="31">
                  <c:v>40602</c:v>
                </c:pt>
                <c:pt idx="32">
                  <c:v>40574</c:v>
                </c:pt>
                <c:pt idx="33">
                  <c:v>40543</c:v>
                </c:pt>
                <c:pt idx="34">
                  <c:v>40512</c:v>
                </c:pt>
                <c:pt idx="35">
                  <c:v>40482</c:v>
                </c:pt>
                <c:pt idx="36">
                  <c:v>40451</c:v>
                </c:pt>
                <c:pt idx="37">
                  <c:v>40421</c:v>
                </c:pt>
                <c:pt idx="38">
                  <c:v>40390</c:v>
                </c:pt>
                <c:pt idx="39">
                  <c:v>40359</c:v>
                </c:pt>
                <c:pt idx="40">
                  <c:v>40329</c:v>
                </c:pt>
                <c:pt idx="41">
                  <c:v>40298</c:v>
                </c:pt>
                <c:pt idx="42">
                  <c:v>40268</c:v>
                </c:pt>
                <c:pt idx="43">
                  <c:v>40237</c:v>
                </c:pt>
                <c:pt idx="44">
                  <c:v>40209</c:v>
                </c:pt>
                <c:pt idx="45">
                  <c:v>40178</c:v>
                </c:pt>
                <c:pt idx="46">
                  <c:v>40147</c:v>
                </c:pt>
                <c:pt idx="47">
                  <c:v>40117</c:v>
                </c:pt>
                <c:pt idx="48">
                  <c:v>40086</c:v>
                </c:pt>
                <c:pt idx="49">
                  <c:v>40056</c:v>
                </c:pt>
                <c:pt idx="50">
                  <c:v>40025</c:v>
                </c:pt>
                <c:pt idx="51">
                  <c:v>39994</c:v>
                </c:pt>
                <c:pt idx="52">
                  <c:v>39964</c:v>
                </c:pt>
                <c:pt idx="53">
                  <c:v>39933</c:v>
                </c:pt>
                <c:pt idx="54">
                  <c:v>39903</c:v>
                </c:pt>
                <c:pt idx="55">
                  <c:v>39872</c:v>
                </c:pt>
                <c:pt idx="56">
                  <c:v>39844</c:v>
                </c:pt>
                <c:pt idx="57">
                  <c:v>39813</c:v>
                </c:pt>
                <c:pt idx="58">
                  <c:v>39782</c:v>
                </c:pt>
                <c:pt idx="59">
                  <c:v>39752</c:v>
                </c:pt>
                <c:pt idx="60">
                  <c:v>39721</c:v>
                </c:pt>
                <c:pt idx="61">
                  <c:v>39691</c:v>
                </c:pt>
                <c:pt idx="62">
                  <c:v>39660</c:v>
                </c:pt>
                <c:pt idx="63">
                  <c:v>39629</c:v>
                </c:pt>
                <c:pt idx="64">
                  <c:v>39599</c:v>
                </c:pt>
                <c:pt idx="65">
                  <c:v>39568</c:v>
                </c:pt>
                <c:pt idx="66">
                  <c:v>39538</c:v>
                </c:pt>
                <c:pt idx="67">
                  <c:v>39507</c:v>
                </c:pt>
                <c:pt idx="68">
                  <c:v>39478</c:v>
                </c:pt>
                <c:pt idx="69">
                  <c:v>39447</c:v>
                </c:pt>
                <c:pt idx="70">
                  <c:v>39416</c:v>
                </c:pt>
                <c:pt idx="71">
                  <c:v>39386</c:v>
                </c:pt>
                <c:pt idx="72">
                  <c:v>39355</c:v>
                </c:pt>
                <c:pt idx="73">
                  <c:v>39325</c:v>
                </c:pt>
                <c:pt idx="74">
                  <c:v>39294</c:v>
                </c:pt>
                <c:pt idx="75">
                  <c:v>39263</c:v>
                </c:pt>
                <c:pt idx="76">
                  <c:v>39233</c:v>
                </c:pt>
                <c:pt idx="77">
                  <c:v>39202</c:v>
                </c:pt>
                <c:pt idx="78">
                  <c:v>39172</c:v>
                </c:pt>
                <c:pt idx="79">
                  <c:v>39141</c:v>
                </c:pt>
                <c:pt idx="80">
                  <c:v>39113</c:v>
                </c:pt>
                <c:pt idx="81">
                  <c:v>39082</c:v>
                </c:pt>
                <c:pt idx="82">
                  <c:v>39051</c:v>
                </c:pt>
                <c:pt idx="83">
                  <c:v>39021</c:v>
                </c:pt>
                <c:pt idx="84">
                  <c:v>38990</c:v>
                </c:pt>
                <c:pt idx="85">
                  <c:v>38960</c:v>
                </c:pt>
                <c:pt idx="86">
                  <c:v>38929</c:v>
                </c:pt>
                <c:pt idx="87">
                  <c:v>38898</c:v>
                </c:pt>
                <c:pt idx="88">
                  <c:v>38868</c:v>
                </c:pt>
                <c:pt idx="89">
                  <c:v>38837</c:v>
                </c:pt>
                <c:pt idx="90">
                  <c:v>38807</c:v>
                </c:pt>
                <c:pt idx="91">
                  <c:v>38776</c:v>
                </c:pt>
                <c:pt idx="92">
                  <c:v>38748</c:v>
                </c:pt>
              </c:numCache>
            </c:numRef>
          </c:cat>
          <c:val>
            <c:numRef>
              <c:f>Sheet1!$B$3:$B$95</c:f>
              <c:numCache>
                <c:formatCode>###,###,###,###,##0.00_ </c:formatCode>
                <c:ptCount val="93"/>
                <c:pt idx="0">
                  <c:v>5.7</c:v>
                </c:pt>
                <c:pt idx="1">
                  <c:v>9.3000000000000007</c:v>
                </c:pt>
                <c:pt idx="2">
                  <c:v>9.5</c:v>
                </c:pt>
                <c:pt idx="3">
                  <c:v>9.9</c:v>
                </c:pt>
                <c:pt idx="4">
                  <c:v>10.8</c:v>
                </c:pt>
                <c:pt idx="5">
                  <c:v>10.8</c:v>
                </c:pt>
                <c:pt idx="6">
                  <c:v>12.4</c:v>
                </c:pt>
                <c:pt idx="7">
                  <c:v>17.2</c:v>
                </c:pt>
                <c:pt idx="8">
                  <c:v>4.4000000000000004</c:v>
                </c:pt>
                <c:pt idx="9">
                  <c:v>7.7</c:v>
                </c:pt>
                <c:pt idx="10">
                  <c:v>10.7</c:v>
                </c:pt>
                <c:pt idx="11">
                  <c:v>10.5</c:v>
                </c:pt>
                <c:pt idx="12">
                  <c:v>13.3</c:v>
                </c:pt>
                <c:pt idx="13">
                  <c:v>9.7000000000000011</c:v>
                </c:pt>
                <c:pt idx="14">
                  <c:v>10</c:v>
                </c:pt>
                <c:pt idx="15">
                  <c:v>10.8</c:v>
                </c:pt>
                <c:pt idx="16">
                  <c:v>10</c:v>
                </c:pt>
                <c:pt idx="17">
                  <c:v>10.4</c:v>
                </c:pt>
                <c:pt idx="18">
                  <c:v>10.6</c:v>
                </c:pt>
                <c:pt idx="19">
                  <c:v>8.8000000000000007</c:v>
                </c:pt>
                <c:pt idx="20">
                  <c:v>3</c:v>
                </c:pt>
                <c:pt idx="21">
                  <c:v>13.8</c:v>
                </c:pt>
                <c:pt idx="22">
                  <c:v>12</c:v>
                </c:pt>
                <c:pt idx="23">
                  <c:v>11.9</c:v>
                </c:pt>
                <c:pt idx="24">
                  <c:v>12.7</c:v>
                </c:pt>
                <c:pt idx="25">
                  <c:v>14.7</c:v>
                </c:pt>
                <c:pt idx="26">
                  <c:v>14.3</c:v>
                </c:pt>
                <c:pt idx="27">
                  <c:v>14.4</c:v>
                </c:pt>
                <c:pt idx="28">
                  <c:v>15.4</c:v>
                </c:pt>
                <c:pt idx="29">
                  <c:v>14.7</c:v>
                </c:pt>
                <c:pt idx="30">
                  <c:v>14.8</c:v>
                </c:pt>
                <c:pt idx="31">
                  <c:v>10.3</c:v>
                </c:pt>
                <c:pt idx="32">
                  <c:v>42.5</c:v>
                </c:pt>
                <c:pt idx="33">
                  <c:v>16.690000000000001</c:v>
                </c:pt>
                <c:pt idx="34">
                  <c:v>16.3</c:v>
                </c:pt>
                <c:pt idx="35">
                  <c:v>16.600000000000001</c:v>
                </c:pt>
                <c:pt idx="36">
                  <c:v>13.78</c:v>
                </c:pt>
                <c:pt idx="37">
                  <c:v>16</c:v>
                </c:pt>
                <c:pt idx="38">
                  <c:v>15.5</c:v>
                </c:pt>
                <c:pt idx="39">
                  <c:v>15.65</c:v>
                </c:pt>
                <c:pt idx="40">
                  <c:v>15.2</c:v>
                </c:pt>
                <c:pt idx="41">
                  <c:v>15.76</c:v>
                </c:pt>
                <c:pt idx="42">
                  <c:v>15.81</c:v>
                </c:pt>
                <c:pt idx="43">
                  <c:v>21.979999999999986</c:v>
                </c:pt>
                <c:pt idx="44">
                  <c:v>-0.79</c:v>
                </c:pt>
                <c:pt idx="45">
                  <c:v>11.77</c:v>
                </c:pt>
                <c:pt idx="46">
                  <c:v>14.99</c:v>
                </c:pt>
                <c:pt idx="47">
                  <c:v>14.09</c:v>
                </c:pt>
                <c:pt idx="48">
                  <c:v>15.96</c:v>
                </c:pt>
                <c:pt idx="49">
                  <c:v>11.52</c:v>
                </c:pt>
                <c:pt idx="50">
                  <c:v>11.59</c:v>
                </c:pt>
                <c:pt idx="51">
                  <c:v>11.46</c:v>
                </c:pt>
                <c:pt idx="52">
                  <c:v>11.239999999999998</c:v>
                </c:pt>
                <c:pt idx="53">
                  <c:v>11.26</c:v>
                </c:pt>
                <c:pt idx="54">
                  <c:v>10.88</c:v>
                </c:pt>
                <c:pt idx="55">
                  <c:v>8.2800000000000011</c:v>
                </c:pt>
                <c:pt idx="56">
                  <c:v>12.02</c:v>
                </c:pt>
                <c:pt idx="57">
                  <c:v>12.65</c:v>
                </c:pt>
                <c:pt idx="58">
                  <c:v>9.0400000000000009</c:v>
                </c:pt>
                <c:pt idx="59">
                  <c:v>10.59</c:v>
                </c:pt>
                <c:pt idx="60">
                  <c:v>9.2800000000000011</c:v>
                </c:pt>
                <c:pt idx="61">
                  <c:v>10.89</c:v>
                </c:pt>
                <c:pt idx="62">
                  <c:v>12.3</c:v>
                </c:pt>
                <c:pt idx="63">
                  <c:v>12.28</c:v>
                </c:pt>
                <c:pt idx="64">
                  <c:v>12.88</c:v>
                </c:pt>
                <c:pt idx="65">
                  <c:v>10.7</c:v>
                </c:pt>
                <c:pt idx="66">
                  <c:v>11.12</c:v>
                </c:pt>
                <c:pt idx="67">
                  <c:v>5.96</c:v>
                </c:pt>
                <c:pt idx="68">
                  <c:v>31.21</c:v>
                </c:pt>
                <c:pt idx="69">
                  <c:v>12.05</c:v>
                </c:pt>
                <c:pt idx="70">
                  <c:v>13.56</c:v>
                </c:pt>
                <c:pt idx="71">
                  <c:v>13.43</c:v>
                </c:pt>
                <c:pt idx="72">
                  <c:v>13.01</c:v>
                </c:pt>
                <c:pt idx="73">
                  <c:v>15.04</c:v>
                </c:pt>
                <c:pt idx="74">
                  <c:v>15.05</c:v>
                </c:pt>
                <c:pt idx="75">
                  <c:v>14.54</c:v>
                </c:pt>
                <c:pt idx="76">
                  <c:v>13.91</c:v>
                </c:pt>
                <c:pt idx="77">
                  <c:v>15.1</c:v>
                </c:pt>
                <c:pt idx="78">
                  <c:v>16.7</c:v>
                </c:pt>
                <c:pt idx="79">
                  <c:v>25.1</c:v>
                </c:pt>
                <c:pt idx="80">
                  <c:v>-4.6399999999999997</c:v>
                </c:pt>
                <c:pt idx="81">
                  <c:v>12.65</c:v>
                </c:pt>
                <c:pt idx="82">
                  <c:v>13.9</c:v>
                </c:pt>
                <c:pt idx="83">
                  <c:v>14</c:v>
                </c:pt>
                <c:pt idx="84">
                  <c:v>15.3</c:v>
                </c:pt>
                <c:pt idx="85">
                  <c:v>13.3</c:v>
                </c:pt>
                <c:pt idx="86">
                  <c:v>12.2</c:v>
                </c:pt>
                <c:pt idx="87">
                  <c:v>12.6</c:v>
                </c:pt>
                <c:pt idx="88">
                  <c:v>12.75</c:v>
                </c:pt>
                <c:pt idx="89">
                  <c:v>11.5</c:v>
                </c:pt>
                <c:pt idx="90">
                  <c:v>10.5</c:v>
                </c:pt>
                <c:pt idx="91">
                  <c:v>8</c:v>
                </c:pt>
                <c:pt idx="92">
                  <c:v>22.05</c:v>
                </c:pt>
              </c:numCache>
            </c:numRef>
          </c:val>
        </c:ser>
        <c:ser>
          <c:idx val="1"/>
          <c:order val="1"/>
          <c:tx>
            <c:strRef>
              <c:f>Sheet1!$C$1:$C$2</c:f>
              <c:strCache>
                <c:ptCount val="1"/>
                <c:pt idx="0">
                  <c:v>M1:同比 月</c:v>
                </c:pt>
              </c:strCache>
            </c:strRef>
          </c:tx>
          <c:marker>
            <c:symbol val="none"/>
          </c:marker>
          <c:cat>
            <c:numRef>
              <c:f>Sheet1!$A$3:$A$95</c:f>
              <c:numCache>
                <c:formatCode>yyyy\-mm;@</c:formatCode>
                <c:ptCount val="93"/>
                <c:pt idx="0">
                  <c:v>41547</c:v>
                </c:pt>
                <c:pt idx="1">
                  <c:v>41517</c:v>
                </c:pt>
                <c:pt idx="2">
                  <c:v>41486</c:v>
                </c:pt>
                <c:pt idx="3">
                  <c:v>41455</c:v>
                </c:pt>
                <c:pt idx="4">
                  <c:v>41425</c:v>
                </c:pt>
                <c:pt idx="5">
                  <c:v>41394</c:v>
                </c:pt>
                <c:pt idx="6">
                  <c:v>41364</c:v>
                </c:pt>
                <c:pt idx="7">
                  <c:v>41333</c:v>
                </c:pt>
                <c:pt idx="8">
                  <c:v>41305</c:v>
                </c:pt>
                <c:pt idx="9">
                  <c:v>41274</c:v>
                </c:pt>
                <c:pt idx="10">
                  <c:v>41243</c:v>
                </c:pt>
                <c:pt idx="11">
                  <c:v>41213</c:v>
                </c:pt>
                <c:pt idx="12">
                  <c:v>41182</c:v>
                </c:pt>
                <c:pt idx="13">
                  <c:v>41152</c:v>
                </c:pt>
                <c:pt idx="14">
                  <c:v>41121</c:v>
                </c:pt>
                <c:pt idx="15">
                  <c:v>41090</c:v>
                </c:pt>
                <c:pt idx="16">
                  <c:v>41060</c:v>
                </c:pt>
                <c:pt idx="17">
                  <c:v>41029</c:v>
                </c:pt>
                <c:pt idx="18">
                  <c:v>40999</c:v>
                </c:pt>
                <c:pt idx="19">
                  <c:v>40968</c:v>
                </c:pt>
                <c:pt idx="20">
                  <c:v>40939</c:v>
                </c:pt>
                <c:pt idx="21">
                  <c:v>40908</c:v>
                </c:pt>
                <c:pt idx="22">
                  <c:v>40877</c:v>
                </c:pt>
                <c:pt idx="23">
                  <c:v>40847</c:v>
                </c:pt>
                <c:pt idx="24">
                  <c:v>40816</c:v>
                </c:pt>
                <c:pt idx="25">
                  <c:v>40786</c:v>
                </c:pt>
                <c:pt idx="26">
                  <c:v>40755</c:v>
                </c:pt>
                <c:pt idx="27">
                  <c:v>40724</c:v>
                </c:pt>
                <c:pt idx="28">
                  <c:v>40694</c:v>
                </c:pt>
                <c:pt idx="29">
                  <c:v>40663</c:v>
                </c:pt>
                <c:pt idx="30">
                  <c:v>40633</c:v>
                </c:pt>
                <c:pt idx="31">
                  <c:v>40602</c:v>
                </c:pt>
                <c:pt idx="32">
                  <c:v>40574</c:v>
                </c:pt>
                <c:pt idx="33">
                  <c:v>40543</c:v>
                </c:pt>
                <c:pt idx="34">
                  <c:v>40512</c:v>
                </c:pt>
                <c:pt idx="35">
                  <c:v>40482</c:v>
                </c:pt>
                <c:pt idx="36">
                  <c:v>40451</c:v>
                </c:pt>
                <c:pt idx="37">
                  <c:v>40421</c:v>
                </c:pt>
                <c:pt idx="38">
                  <c:v>40390</c:v>
                </c:pt>
                <c:pt idx="39">
                  <c:v>40359</c:v>
                </c:pt>
                <c:pt idx="40">
                  <c:v>40329</c:v>
                </c:pt>
                <c:pt idx="41">
                  <c:v>40298</c:v>
                </c:pt>
                <c:pt idx="42">
                  <c:v>40268</c:v>
                </c:pt>
                <c:pt idx="43">
                  <c:v>40237</c:v>
                </c:pt>
                <c:pt idx="44">
                  <c:v>40209</c:v>
                </c:pt>
                <c:pt idx="45">
                  <c:v>40178</c:v>
                </c:pt>
                <c:pt idx="46">
                  <c:v>40147</c:v>
                </c:pt>
                <c:pt idx="47">
                  <c:v>40117</c:v>
                </c:pt>
                <c:pt idx="48">
                  <c:v>40086</c:v>
                </c:pt>
                <c:pt idx="49">
                  <c:v>40056</c:v>
                </c:pt>
                <c:pt idx="50">
                  <c:v>40025</c:v>
                </c:pt>
                <c:pt idx="51">
                  <c:v>39994</c:v>
                </c:pt>
                <c:pt idx="52">
                  <c:v>39964</c:v>
                </c:pt>
                <c:pt idx="53">
                  <c:v>39933</c:v>
                </c:pt>
                <c:pt idx="54">
                  <c:v>39903</c:v>
                </c:pt>
                <c:pt idx="55">
                  <c:v>39872</c:v>
                </c:pt>
                <c:pt idx="56">
                  <c:v>39844</c:v>
                </c:pt>
                <c:pt idx="57">
                  <c:v>39813</c:v>
                </c:pt>
                <c:pt idx="58">
                  <c:v>39782</c:v>
                </c:pt>
                <c:pt idx="59">
                  <c:v>39752</c:v>
                </c:pt>
                <c:pt idx="60">
                  <c:v>39721</c:v>
                </c:pt>
                <c:pt idx="61">
                  <c:v>39691</c:v>
                </c:pt>
                <c:pt idx="62">
                  <c:v>39660</c:v>
                </c:pt>
                <c:pt idx="63">
                  <c:v>39629</c:v>
                </c:pt>
                <c:pt idx="64">
                  <c:v>39599</c:v>
                </c:pt>
                <c:pt idx="65">
                  <c:v>39568</c:v>
                </c:pt>
                <c:pt idx="66">
                  <c:v>39538</c:v>
                </c:pt>
                <c:pt idx="67">
                  <c:v>39507</c:v>
                </c:pt>
                <c:pt idx="68">
                  <c:v>39478</c:v>
                </c:pt>
                <c:pt idx="69">
                  <c:v>39447</c:v>
                </c:pt>
                <c:pt idx="70">
                  <c:v>39416</c:v>
                </c:pt>
                <c:pt idx="71">
                  <c:v>39386</c:v>
                </c:pt>
                <c:pt idx="72">
                  <c:v>39355</c:v>
                </c:pt>
                <c:pt idx="73">
                  <c:v>39325</c:v>
                </c:pt>
                <c:pt idx="74">
                  <c:v>39294</c:v>
                </c:pt>
                <c:pt idx="75">
                  <c:v>39263</c:v>
                </c:pt>
                <c:pt idx="76">
                  <c:v>39233</c:v>
                </c:pt>
                <c:pt idx="77">
                  <c:v>39202</c:v>
                </c:pt>
                <c:pt idx="78">
                  <c:v>39172</c:v>
                </c:pt>
                <c:pt idx="79">
                  <c:v>39141</c:v>
                </c:pt>
                <c:pt idx="80">
                  <c:v>39113</c:v>
                </c:pt>
                <c:pt idx="81">
                  <c:v>39082</c:v>
                </c:pt>
                <c:pt idx="82">
                  <c:v>39051</c:v>
                </c:pt>
                <c:pt idx="83">
                  <c:v>39021</c:v>
                </c:pt>
                <c:pt idx="84">
                  <c:v>38990</c:v>
                </c:pt>
                <c:pt idx="85">
                  <c:v>38960</c:v>
                </c:pt>
                <c:pt idx="86">
                  <c:v>38929</c:v>
                </c:pt>
                <c:pt idx="87">
                  <c:v>38898</c:v>
                </c:pt>
                <c:pt idx="88">
                  <c:v>38868</c:v>
                </c:pt>
                <c:pt idx="89">
                  <c:v>38837</c:v>
                </c:pt>
                <c:pt idx="90">
                  <c:v>38807</c:v>
                </c:pt>
                <c:pt idx="91">
                  <c:v>38776</c:v>
                </c:pt>
                <c:pt idx="92">
                  <c:v>38748</c:v>
                </c:pt>
              </c:numCache>
            </c:numRef>
          </c:cat>
          <c:val>
            <c:numRef>
              <c:f>Sheet1!$C$3:$C$95</c:f>
              <c:numCache>
                <c:formatCode>###,###,###,###,##0.00_ </c:formatCode>
                <c:ptCount val="93"/>
                <c:pt idx="0">
                  <c:v>8.9</c:v>
                </c:pt>
                <c:pt idx="1">
                  <c:v>9.9</c:v>
                </c:pt>
                <c:pt idx="2">
                  <c:v>9.7000000000000011</c:v>
                </c:pt>
                <c:pt idx="3">
                  <c:v>9.1</c:v>
                </c:pt>
                <c:pt idx="4">
                  <c:v>11.3</c:v>
                </c:pt>
                <c:pt idx="5">
                  <c:v>11.9</c:v>
                </c:pt>
                <c:pt idx="6">
                  <c:v>11.9</c:v>
                </c:pt>
                <c:pt idx="7">
                  <c:v>9.5</c:v>
                </c:pt>
                <c:pt idx="8">
                  <c:v>15.3</c:v>
                </c:pt>
                <c:pt idx="9">
                  <c:v>6.5</c:v>
                </c:pt>
                <c:pt idx="10">
                  <c:v>5.5</c:v>
                </c:pt>
                <c:pt idx="11">
                  <c:v>6.1</c:v>
                </c:pt>
                <c:pt idx="12">
                  <c:v>7.3</c:v>
                </c:pt>
                <c:pt idx="13">
                  <c:v>4.5</c:v>
                </c:pt>
                <c:pt idx="14">
                  <c:v>4.5999999999999996</c:v>
                </c:pt>
                <c:pt idx="15">
                  <c:v>4.7</c:v>
                </c:pt>
                <c:pt idx="16">
                  <c:v>3.5</c:v>
                </c:pt>
                <c:pt idx="17">
                  <c:v>3.1</c:v>
                </c:pt>
                <c:pt idx="18">
                  <c:v>4.4000000000000004</c:v>
                </c:pt>
                <c:pt idx="19">
                  <c:v>4.3</c:v>
                </c:pt>
                <c:pt idx="20">
                  <c:v>3.1</c:v>
                </c:pt>
                <c:pt idx="21">
                  <c:v>7.9</c:v>
                </c:pt>
                <c:pt idx="22">
                  <c:v>7.8</c:v>
                </c:pt>
                <c:pt idx="23">
                  <c:v>8.4</c:v>
                </c:pt>
                <c:pt idx="24">
                  <c:v>8.9</c:v>
                </c:pt>
                <c:pt idx="25">
                  <c:v>11.2</c:v>
                </c:pt>
                <c:pt idx="26">
                  <c:v>11.6</c:v>
                </c:pt>
                <c:pt idx="27">
                  <c:v>13.1</c:v>
                </c:pt>
                <c:pt idx="28">
                  <c:v>12.7</c:v>
                </c:pt>
                <c:pt idx="29">
                  <c:v>12.9</c:v>
                </c:pt>
                <c:pt idx="30">
                  <c:v>15</c:v>
                </c:pt>
                <c:pt idx="31">
                  <c:v>14.5</c:v>
                </c:pt>
                <c:pt idx="32">
                  <c:v>13.6</c:v>
                </c:pt>
                <c:pt idx="33">
                  <c:v>21.19</c:v>
                </c:pt>
                <c:pt idx="34">
                  <c:v>22.1</c:v>
                </c:pt>
                <c:pt idx="35">
                  <c:v>22.1</c:v>
                </c:pt>
                <c:pt idx="36">
                  <c:v>20.87</c:v>
                </c:pt>
                <c:pt idx="37">
                  <c:v>21.9</c:v>
                </c:pt>
                <c:pt idx="38">
                  <c:v>22.9</c:v>
                </c:pt>
                <c:pt idx="39">
                  <c:v>24.56</c:v>
                </c:pt>
                <c:pt idx="40">
                  <c:v>29.9</c:v>
                </c:pt>
                <c:pt idx="41">
                  <c:v>31.25</c:v>
                </c:pt>
                <c:pt idx="42">
                  <c:v>29.939999999999987</c:v>
                </c:pt>
                <c:pt idx="43">
                  <c:v>34.99</c:v>
                </c:pt>
                <c:pt idx="44">
                  <c:v>38.96</c:v>
                </c:pt>
                <c:pt idx="45">
                  <c:v>32.349999999999994</c:v>
                </c:pt>
                <c:pt idx="46">
                  <c:v>34.630000000000003</c:v>
                </c:pt>
                <c:pt idx="47">
                  <c:v>32.03</c:v>
                </c:pt>
                <c:pt idx="48">
                  <c:v>29.51</c:v>
                </c:pt>
                <c:pt idx="49">
                  <c:v>27.72</c:v>
                </c:pt>
                <c:pt idx="50">
                  <c:v>26.37</c:v>
                </c:pt>
                <c:pt idx="51">
                  <c:v>24.79</c:v>
                </c:pt>
                <c:pt idx="52">
                  <c:v>18.690000000000001</c:v>
                </c:pt>
                <c:pt idx="53">
                  <c:v>17.479999999999986</c:v>
                </c:pt>
                <c:pt idx="54">
                  <c:v>17.04</c:v>
                </c:pt>
                <c:pt idx="55">
                  <c:v>10.870000000000006</c:v>
                </c:pt>
                <c:pt idx="56">
                  <c:v>6.68</c:v>
                </c:pt>
                <c:pt idx="57">
                  <c:v>9.06</c:v>
                </c:pt>
                <c:pt idx="58">
                  <c:v>6.8</c:v>
                </c:pt>
                <c:pt idx="59">
                  <c:v>8.8500000000000068</c:v>
                </c:pt>
                <c:pt idx="60">
                  <c:v>9.43</c:v>
                </c:pt>
                <c:pt idx="61">
                  <c:v>11.48</c:v>
                </c:pt>
                <c:pt idx="62">
                  <c:v>13.96</c:v>
                </c:pt>
                <c:pt idx="63">
                  <c:v>14.19</c:v>
                </c:pt>
                <c:pt idx="64">
                  <c:v>17.93</c:v>
                </c:pt>
                <c:pt idx="65">
                  <c:v>19.05</c:v>
                </c:pt>
                <c:pt idx="66">
                  <c:v>18.25</c:v>
                </c:pt>
                <c:pt idx="67">
                  <c:v>19.2</c:v>
                </c:pt>
                <c:pt idx="68">
                  <c:v>20.72</c:v>
                </c:pt>
                <c:pt idx="69">
                  <c:v>21.01</c:v>
                </c:pt>
                <c:pt idx="70">
                  <c:v>21.67</c:v>
                </c:pt>
                <c:pt idx="71">
                  <c:v>22.21</c:v>
                </c:pt>
                <c:pt idx="72">
                  <c:v>22.07</c:v>
                </c:pt>
                <c:pt idx="73">
                  <c:v>22.8</c:v>
                </c:pt>
                <c:pt idx="74">
                  <c:v>20.9</c:v>
                </c:pt>
                <c:pt idx="75">
                  <c:v>20.919999999999987</c:v>
                </c:pt>
                <c:pt idx="76">
                  <c:v>19.279999999999987</c:v>
                </c:pt>
                <c:pt idx="77">
                  <c:v>20</c:v>
                </c:pt>
                <c:pt idx="78">
                  <c:v>19.8</c:v>
                </c:pt>
                <c:pt idx="79">
                  <c:v>21</c:v>
                </c:pt>
                <c:pt idx="80">
                  <c:v>20.21</c:v>
                </c:pt>
                <c:pt idx="81">
                  <c:v>17.479999999999986</c:v>
                </c:pt>
                <c:pt idx="82">
                  <c:v>16.8</c:v>
                </c:pt>
                <c:pt idx="83">
                  <c:v>16.3</c:v>
                </c:pt>
                <c:pt idx="84">
                  <c:v>15.7</c:v>
                </c:pt>
                <c:pt idx="85">
                  <c:v>15.6</c:v>
                </c:pt>
                <c:pt idx="86">
                  <c:v>15.3</c:v>
                </c:pt>
                <c:pt idx="87">
                  <c:v>13.9</c:v>
                </c:pt>
                <c:pt idx="88">
                  <c:v>14.01</c:v>
                </c:pt>
                <c:pt idx="89">
                  <c:v>12.5</c:v>
                </c:pt>
                <c:pt idx="90">
                  <c:v>12.7</c:v>
                </c:pt>
                <c:pt idx="91">
                  <c:v>12.4</c:v>
                </c:pt>
                <c:pt idx="92">
                  <c:v>10.629999999999999</c:v>
                </c:pt>
              </c:numCache>
            </c:numRef>
          </c:val>
        </c:ser>
        <c:ser>
          <c:idx val="2"/>
          <c:order val="2"/>
          <c:tx>
            <c:strRef>
              <c:f>Sheet1!$D$1:$D$2</c:f>
              <c:strCache>
                <c:ptCount val="1"/>
                <c:pt idx="0">
                  <c:v>M2:同比 月</c:v>
                </c:pt>
              </c:strCache>
            </c:strRef>
          </c:tx>
          <c:marker>
            <c:symbol val="none"/>
          </c:marker>
          <c:cat>
            <c:numRef>
              <c:f>Sheet1!$A$3:$A$95</c:f>
              <c:numCache>
                <c:formatCode>yyyy\-mm;@</c:formatCode>
                <c:ptCount val="93"/>
                <c:pt idx="0">
                  <c:v>41547</c:v>
                </c:pt>
                <c:pt idx="1">
                  <c:v>41517</c:v>
                </c:pt>
                <c:pt idx="2">
                  <c:v>41486</c:v>
                </c:pt>
                <c:pt idx="3">
                  <c:v>41455</c:v>
                </c:pt>
                <c:pt idx="4">
                  <c:v>41425</c:v>
                </c:pt>
                <c:pt idx="5">
                  <c:v>41394</c:v>
                </c:pt>
                <c:pt idx="6">
                  <c:v>41364</c:v>
                </c:pt>
                <c:pt idx="7">
                  <c:v>41333</c:v>
                </c:pt>
                <c:pt idx="8">
                  <c:v>41305</c:v>
                </c:pt>
                <c:pt idx="9">
                  <c:v>41274</c:v>
                </c:pt>
                <c:pt idx="10">
                  <c:v>41243</c:v>
                </c:pt>
                <c:pt idx="11">
                  <c:v>41213</c:v>
                </c:pt>
                <c:pt idx="12">
                  <c:v>41182</c:v>
                </c:pt>
                <c:pt idx="13">
                  <c:v>41152</c:v>
                </c:pt>
                <c:pt idx="14">
                  <c:v>41121</c:v>
                </c:pt>
                <c:pt idx="15">
                  <c:v>41090</c:v>
                </c:pt>
                <c:pt idx="16">
                  <c:v>41060</c:v>
                </c:pt>
                <c:pt idx="17">
                  <c:v>41029</c:v>
                </c:pt>
                <c:pt idx="18">
                  <c:v>40999</c:v>
                </c:pt>
                <c:pt idx="19">
                  <c:v>40968</c:v>
                </c:pt>
                <c:pt idx="20">
                  <c:v>40939</c:v>
                </c:pt>
                <c:pt idx="21">
                  <c:v>40908</c:v>
                </c:pt>
                <c:pt idx="22">
                  <c:v>40877</c:v>
                </c:pt>
                <c:pt idx="23">
                  <c:v>40847</c:v>
                </c:pt>
                <c:pt idx="24">
                  <c:v>40816</c:v>
                </c:pt>
                <c:pt idx="25">
                  <c:v>40786</c:v>
                </c:pt>
                <c:pt idx="26">
                  <c:v>40755</c:v>
                </c:pt>
                <c:pt idx="27">
                  <c:v>40724</c:v>
                </c:pt>
                <c:pt idx="28">
                  <c:v>40694</c:v>
                </c:pt>
                <c:pt idx="29">
                  <c:v>40663</c:v>
                </c:pt>
                <c:pt idx="30">
                  <c:v>40633</c:v>
                </c:pt>
                <c:pt idx="31">
                  <c:v>40602</c:v>
                </c:pt>
                <c:pt idx="32">
                  <c:v>40574</c:v>
                </c:pt>
                <c:pt idx="33">
                  <c:v>40543</c:v>
                </c:pt>
                <c:pt idx="34">
                  <c:v>40512</c:v>
                </c:pt>
                <c:pt idx="35">
                  <c:v>40482</c:v>
                </c:pt>
                <c:pt idx="36">
                  <c:v>40451</c:v>
                </c:pt>
                <c:pt idx="37">
                  <c:v>40421</c:v>
                </c:pt>
                <c:pt idx="38">
                  <c:v>40390</c:v>
                </c:pt>
                <c:pt idx="39">
                  <c:v>40359</c:v>
                </c:pt>
                <c:pt idx="40">
                  <c:v>40329</c:v>
                </c:pt>
                <c:pt idx="41">
                  <c:v>40298</c:v>
                </c:pt>
                <c:pt idx="42">
                  <c:v>40268</c:v>
                </c:pt>
                <c:pt idx="43">
                  <c:v>40237</c:v>
                </c:pt>
                <c:pt idx="44">
                  <c:v>40209</c:v>
                </c:pt>
                <c:pt idx="45">
                  <c:v>40178</c:v>
                </c:pt>
                <c:pt idx="46">
                  <c:v>40147</c:v>
                </c:pt>
                <c:pt idx="47">
                  <c:v>40117</c:v>
                </c:pt>
                <c:pt idx="48">
                  <c:v>40086</c:v>
                </c:pt>
                <c:pt idx="49">
                  <c:v>40056</c:v>
                </c:pt>
                <c:pt idx="50">
                  <c:v>40025</c:v>
                </c:pt>
                <c:pt idx="51">
                  <c:v>39994</c:v>
                </c:pt>
                <c:pt idx="52">
                  <c:v>39964</c:v>
                </c:pt>
                <c:pt idx="53">
                  <c:v>39933</c:v>
                </c:pt>
                <c:pt idx="54">
                  <c:v>39903</c:v>
                </c:pt>
                <c:pt idx="55">
                  <c:v>39872</c:v>
                </c:pt>
                <c:pt idx="56">
                  <c:v>39844</c:v>
                </c:pt>
                <c:pt idx="57">
                  <c:v>39813</c:v>
                </c:pt>
                <c:pt idx="58">
                  <c:v>39782</c:v>
                </c:pt>
                <c:pt idx="59">
                  <c:v>39752</c:v>
                </c:pt>
                <c:pt idx="60">
                  <c:v>39721</c:v>
                </c:pt>
                <c:pt idx="61">
                  <c:v>39691</c:v>
                </c:pt>
                <c:pt idx="62">
                  <c:v>39660</c:v>
                </c:pt>
                <c:pt idx="63">
                  <c:v>39629</c:v>
                </c:pt>
                <c:pt idx="64">
                  <c:v>39599</c:v>
                </c:pt>
                <c:pt idx="65">
                  <c:v>39568</c:v>
                </c:pt>
                <c:pt idx="66">
                  <c:v>39538</c:v>
                </c:pt>
                <c:pt idx="67">
                  <c:v>39507</c:v>
                </c:pt>
                <c:pt idx="68">
                  <c:v>39478</c:v>
                </c:pt>
                <c:pt idx="69">
                  <c:v>39447</c:v>
                </c:pt>
                <c:pt idx="70">
                  <c:v>39416</c:v>
                </c:pt>
                <c:pt idx="71">
                  <c:v>39386</c:v>
                </c:pt>
                <c:pt idx="72">
                  <c:v>39355</c:v>
                </c:pt>
                <c:pt idx="73">
                  <c:v>39325</c:v>
                </c:pt>
                <c:pt idx="74">
                  <c:v>39294</c:v>
                </c:pt>
                <c:pt idx="75">
                  <c:v>39263</c:v>
                </c:pt>
                <c:pt idx="76">
                  <c:v>39233</c:v>
                </c:pt>
                <c:pt idx="77">
                  <c:v>39202</c:v>
                </c:pt>
                <c:pt idx="78">
                  <c:v>39172</c:v>
                </c:pt>
                <c:pt idx="79">
                  <c:v>39141</c:v>
                </c:pt>
                <c:pt idx="80">
                  <c:v>39113</c:v>
                </c:pt>
                <c:pt idx="81">
                  <c:v>39082</c:v>
                </c:pt>
                <c:pt idx="82">
                  <c:v>39051</c:v>
                </c:pt>
                <c:pt idx="83">
                  <c:v>39021</c:v>
                </c:pt>
                <c:pt idx="84">
                  <c:v>38990</c:v>
                </c:pt>
                <c:pt idx="85">
                  <c:v>38960</c:v>
                </c:pt>
                <c:pt idx="86">
                  <c:v>38929</c:v>
                </c:pt>
                <c:pt idx="87">
                  <c:v>38898</c:v>
                </c:pt>
                <c:pt idx="88">
                  <c:v>38868</c:v>
                </c:pt>
                <c:pt idx="89">
                  <c:v>38837</c:v>
                </c:pt>
                <c:pt idx="90">
                  <c:v>38807</c:v>
                </c:pt>
                <c:pt idx="91">
                  <c:v>38776</c:v>
                </c:pt>
                <c:pt idx="92">
                  <c:v>38748</c:v>
                </c:pt>
              </c:numCache>
            </c:numRef>
          </c:cat>
          <c:val>
            <c:numRef>
              <c:f>Sheet1!$D$3:$D$95</c:f>
              <c:numCache>
                <c:formatCode>###,###,###,###,##0.00_ </c:formatCode>
                <c:ptCount val="93"/>
                <c:pt idx="0">
                  <c:v>14.2</c:v>
                </c:pt>
                <c:pt idx="1">
                  <c:v>14.7</c:v>
                </c:pt>
                <c:pt idx="2">
                  <c:v>14.5</c:v>
                </c:pt>
                <c:pt idx="3">
                  <c:v>14</c:v>
                </c:pt>
                <c:pt idx="4">
                  <c:v>15.8</c:v>
                </c:pt>
                <c:pt idx="5">
                  <c:v>16.100000000000001</c:v>
                </c:pt>
                <c:pt idx="6">
                  <c:v>15.7</c:v>
                </c:pt>
                <c:pt idx="7">
                  <c:v>15.2</c:v>
                </c:pt>
                <c:pt idx="8">
                  <c:v>15.9</c:v>
                </c:pt>
                <c:pt idx="9">
                  <c:v>13.8</c:v>
                </c:pt>
                <c:pt idx="10">
                  <c:v>13.9</c:v>
                </c:pt>
                <c:pt idx="11">
                  <c:v>14.1</c:v>
                </c:pt>
                <c:pt idx="12">
                  <c:v>14.8</c:v>
                </c:pt>
                <c:pt idx="13">
                  <c:v>13.5</c:v>
                </c:pt>
                <c:pt idx="14">
                  <c:v>13.9</c:v>
                </c:pt>
                <c:pt idx="15">
                  <c:v>13.6</c:v>
                </c:pt>
                <c:pt idx="16">
                  <c:v>13.2</c:v>
                </c:pt>
                <c:pt idx="17">
                  <c:v>12.8</c:v>
                </c:pt>
                <c:pt idx="18">
                  <c:v>13.4</c:v>
                </c:pt>
                <c:pt idx="19">
                  <c:v>13</c:v>
                </c:pt>
                <c:pt idx="20">
                  <c:v>12.4</c:v>
                </c:pt>
                <c:pt idx="21">
                  <c:v>13.6</c:v>
                </c:pt>
                <c:pt idx="22">
                  <c:v>12.7</c:v>
                </c:pt>
                <c:pt idx="23">
                  <c:v>12.9</c:v>
                </c:pt>
                <c:pt idx="24">
                  <c:v>13</c:v>
                </c:pt>
                <c:pt idx="25">
                  <c:v>13.5</c:v>
                </c:pt>
                <c:pt idx="26">
                  <c:v>14.7</c:v>
                </c:pt>
                <c:pt idx="27">
                  <c:v>15.9</c:v>
                </c:pt>
                <c:pt idx="28">
                  <c:v>15.1</c:v>
                </c:pt>
                <c:pt idx="29">
                  <c:v>15.3</c:v>
                </c:pt>
                <c:pt idx="30">
                  <c:v>16.600000000000001</c:v>
                </c:pt>
                <c:pt idx="31">
                  <c:v>15.7</c:v>
                </c:pt>
                <c:pt idx="32">
                  <c:v>17.2</c:v>
                </c:pt>
                <c:pt idx="33">
                  <c:v>19.72</c:v>
                </c:pt>
                <c:pt idx="34">
                  <c:v>19.5</c:v>
                </c:pt>
                <c:pt idx="35">
                  <c:v>19.3</c:v>
                </c:pt>
                <c:pt idx="36">
                  <c:v>18.959999999999987</c:v>
                </c:pt>
                <c:pt idx="37">
                  <c:v>19.2</c:v>
                </c:pt>
                <c:pt idx="38">
                  <c:v>17.600000000000001</c:v>
                </c:pt>
                <c:pt idx="39">
                  <c:v>18.459999999999987</c:v>
                </c:pt>
                <c:pt idx="40">
                  <c:v>21</c:v>
                </c:pt>
                <c:pt idx="41">
                  <c:v>21.479999999999986</c:v>
                </c:pt>
                <c:pt idx="42">
                  <c:v>22.5</c:v>
                </c:pt>
                <c:pt idx="43">
                  <c:v>25.52</c:v>
                </c:pt>
                <c:pt idx="44">
                  <c:v>25.979999999999986</c:v>
                </c:pt>
                <c:pt idx="45">
                  <c:v>27.68</c:v>
                </c:pt>
                <c:pt idx="46">
                  <c:v>29.74</c:v>
                </c:pt>
                <c:pt idx="47">
                  <c:v>29.419999999999987</c:v>
                </c:pt>
                <c:pt idx="48">
                  <c:v>29.310000000000031</c:v>
                </c:pt>
                <c:pt idx="49">
                  <c:v>28.53</c:v>
                </c:pt>
                <c:pt idx="50">
                  <c:v>28.419999999999987</c:v>
                </c:pt>
                <c:pt idx="51">
                  <c:v>28.459999999999987</c:v>
                </c:pt>
                <c:pt idx="52">
                  <c:v>25.74</c:v>
                </c:pt>
                <c:pt idx="53">
                  <c:v>25.89</c:v>
                </c:pt>
                <c:pt idx="54">
                  <c:v>25.51</c:v>
                </c:pt>
                <c:pt idx="55">
                  <c:v>20.479999999999986</c:v>
                </c:pt>
                <c:pt idx="56">
                  <c:v>18.79</c:v>
                </c:pt>
                <c:pt idx="57">
                  <c:v>17.82</c:v>
                </c:pt>
                <c:pt idx="58">
                  <c:v>14.8</c:v>
                </c:pt>
                <c:pt idx="59">
                  <c:v>15.02</c:v>
                </c:pt>
                <c:pt idx="60">
                  <c:v>15.29</c:v>
                </c:pt>
                <c:pt idx="61">
                  <c:v>16</c:v>
                </c:pt>
                <c:pt idx="62">
                  <c:v>16.350000000000001</c:v>
                </c:pt>
                <c:pt idx="63">
                  <c:v>17.37</c:v>
                </c:pt>
                <c:pt idx="64">
                  <c:v>18.07</c:v>
                </c:pt>
                <c:pt idx="65">
                  <c:v>16.939999999999987</c:v>
                </c:pt>
                <c:pt idx="66">
                  <c:v>16.29</c:v>
                </c:pt>
                <c:pt idx="67">
                  <c:v>17.479999999999986</c:v>
                </c:pt>
                <c:pt idx="68">
                  <c:v>18.939999999999987</c:v>
                </c:pt>
                <c:pt idx="69">
                  <c:v>16.72</c:v>
                </c:pt>
                <c:pt idx="70">
                  <c:v>18.45</c:v>
                </c:pt>
                <c:pt idx="71">
                  <c:v>18.47</c:v>
                </c:pt>
                <c:pt idx="72">
                  <c:v>18.45</c:v>
                </c:pt>
                <c:pt idx="73">
                  <c:v>18.100000000000001</c:v>
                </c:pt>
                <c:pt idx="74">
                  <c:v>18.5</c:v>
                </c:pt>
                <c:pt idx="75">
                  <c:v>17.059999999999999</c:v>
                </c:pt>
                <c:pt idx="76">
                  <c:v>16.739999999999988</c:v>
                </c:pt>
                <c:pt idx="77">
                  <c:v>17.100000000000001</c:v>
                </c:pt>
                <c:pt idx="78">
                  <c:v>17.3</c:v>
                </c:pt>
                <c:pt idx="79">
                  <c:v>17.8</c:v>
                </c:pt>
                <c:pt idx="80">
                  <c:v>15.93</c:v>
                </c:pt>
                <c:pt idx="81">
                  <c:v>16.939999999999987</c:v>
                </c:pt>
                <c:pt idx="82">
                  <c:v>16.8</c:v>
                </c:pt>
                <c:pt idx="83">
                  <c:v>17.100000000000001</c:v>
                </c:pt>
                <c:pt idx="84">
                  <c:v>16.829999999999988</c:v>
                </c:pt>
                <c:pt idx="85">
                  <c:v>17.899999999999999</c:v>
                </c:pt>
                <c:pt idx="86">
                  <c:v>18.399999999999999</c:v>
                </c:pt>
                <c:pt idx="87">
                  <c:v>18.43</c:v>
                </c:pt>
                <c:pt idx="88">
                  <c:v>19.100000000000001</c:v>
                </c:pt>
                <c:pt idx="89">
                  <c:v>18.899999999999999</c:v>
                </c:pt>
                <c:pt idx="90">
                  <c:v>18.8</c:v>
                </c:pt>
                <c:pt idx="91">
                  <c:v>18.8</c:v>
                </c:pt>
                <c:pt idx="92">
                  <c:v>19.21</c:v>
                </c:pt>
              </c:numCache>
            </c:numRef>
          </c:val>
        </c:ser>
        <c:marker val="1"/>
        <c:axId val="331702272"/>
        <c:axId val="331703808"/>
      </c:lineChart>
      <c:dateAx>
        <c:axId val="331702272"/>
        <c:scaling>
          <c:orientation val="minMax"/>
          <c:max val="41518"/>
          <c:min val="38718"/>
        </c:scaling>
        <c:axPos val="b"/>
        <c:numFmt formatCode="yyyy\-mm;@" sourceLinked="1"/>
        <c:majorTickMark val="none"/>
        <c:tickLblPos val="low"/>
        <c:crossAx val="331703808"/>
        <c:crosses val="autoZero"/>
        <c:auto val="1"/>
        <c:lblOffset val="100"/>
        <c:majorUnit val="12"/>
        <c:majorTimeUnit val="months"/>
      </c:dateAx>
      <c:valAx>
        <c:axId val="331703808"/>
        <c:scaling>
          <c:orientation val="minMax"/>
        </c:scaling>
        <c:axPos val="l"/>
        <c:majorGridlines/>
        <c:numFmt formatCode="###,###,###,###,##0.00_ " sourceLinked="1"/>
        <c:tickLblPos val="nextTo"/>
        <c:crossAx val="331702272"/>
        <c:crosses val="autoZero"/>
        <c:crossBetween val="between"/>
      </c:valAx>
    </c:plotArea>
    <c:legend>
      <c:legendPos val="b"/>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strRef>
              <c:f>Sheet1!$B$1:$B$2</c:f>
              <c:strCache>
                <c:ptCount val="1"/>
                <c:pt idx="0">
                  <c:v>金融机构:新增人民币贷款:短期贷款及票据融资:当月值 月</c:v>
                </c:pt>
              </c:strCache>
            </c:strRef>
          </c:tx>
          <c:marker>
            <c:symbol val="none"/>
          </c:marker>
          <c:cat>
            <c:numRef>
              <c:f>Sheet1!$A$3:$A$59</c:f>
              <c:numCache>
                <c:formatCode>yyyy\-mm;@</c:formatCode>
                <c:ptCount val="57"/>
                <c:pt idx="0">
                  <c:v>41547</c:v>
                </c:pt>
                <c:pt idx="1">
                  <c:v>41517</c:v>
                </c:pt>
                <c:pt idx="2">
                  <c:v>41486</c:v>
                </c:pt>
                <c:pt idx="3">
                  <c:v>41455</c:v>
                </c:pt>
                <c:pt idx="4">
                  <c:v>41425</c:v>
                </c:pt>
                <c:pt idx="5">
                  <c:v>41394</c:v>
                </c:pt>
                <c:pt idx="6">
                  <c:v>41364</c:v>
                </c:pt>
                <c:pt idx="7">
                  <c:v>41333</c:v>
                </c:pt>
                <c:pt idx="8">
                  <c:v>41305</c:v>
                </c:pt>
                <c:pt idx="9">
                  <c:v>41274</c:v>
                </c:pt>
                <c:pt idx="10">
                  <c:v>41243</c:v>
                </c:pt>
                <c:pt idx="11">
                  <c:v>41213</c:v>
                </c:pt>
                <c:pt idx="12">
                  <c:v>41182</c:v>
                </c:pt>
                <c:pt idx="13">
                  <c:v>41152</c:v>
                </c:pt>
                <c:pt idx="14">
                  <c:v>41121</c:v>
                </c:pt>
                <c:pt idx="15">
                  <c:v>41090</c:v>
                </c:pt>
                <c:pt idx="16">
                  <c:v>41060</c:v>
                </c:pt>
                <c:pt idx="17">
                  <c:v>41029</c:v>
                </c:pt>
                <c:pt idx="18">
                  <c:v>40999</c:v>
                </c:pt>
                <c:pt idx="19">
                  <c:v>40968</c:v>
                </c:pt>
                <c:pt idx="20">
                  <c:v>40939</c:v>
                </c:pt>
                <c:pt idx="21">
                  <c:v>40908</c:v>
                </c:pt>
                <c:pt idx="22">
                  <c:v>40877</c:v>
                </c:pt>
                <c:pt idx="23">
                  <c:v>40847</c:v>
                </c:pt>
                <c:pt idx="24">
                  <c:v>40816</c:v>
                </c:pt>
                <c:pt idx="25">
                  <c:v>40786</c:v>
                </c:pt>
                <c:pt idx="26">
                  <c:v>40755</c:v>
                </c:pt>
                <c:pt idx="27">
                  <c:v>40724</c:v>
                </c:pt>
                <c:pt idx="28">
                  <c:v>40694</c:v>
                </c:pt>
                <c:pt idx="29">
                  <c:v>40663</c:v>
                </c:pt>
                <c:pt idx="30">
                  <c:v>40633</c:v>
                </c:pt>
                <c:pt idx="31">
                  <c:v>40602</c:v>
                </c:pt>
                <c:pt idx="32">
                  <c:v>40574</c:v>
                </c:pt>
                <c:pt idx="33">
                  <c:v>40543</c:v>
                </c:pt>
                <c:pt idx="34">
                  <c:v>40512</c:v>
                </c:pt>
                <c:pt idx="35">
                  <c:v>40482</c:v>
                </c:pt>
                <c:pt idx="36">
                  <c:v>40451</c:v>
                </c:pt>
                <c:pt idx="37">
                  <c:v>40421</c:v>
                </c:pt>
                <c:pt idx="38">
                  <c:v>40390</c:v>
                </c:pt>
                <c:pt idx="39">
                  <c:v>40359</c:v>
                </c:pt>
                <c:pt idx="40">
                  <c:v>40329</c:v>
                </c:pt>
                <c:pt idx="41">
                  <c:v>40298</c:v>
                </c:pt>
                <c:pt idx="42">
                  <c:v>40268</c:v>
                </c:pt>
                <c:pt idx="43">
                  <c:v>40237</c:v>
                </c:pt>
                <c:pt idx="44">
                  <c:v>40209</c:v>
                </c:pt>
                <c:pt idx="45">
                  <c:v>40178</c:v>
                </c:pt>
                <c:pt idx="46">
                  <c:v>40147</c:v>
                </c:pt>
                <c:pt idx="47">
                  <c:v>40117</c:v>
                </c:pt>
                <c:pt idx="48">
                  <c:v>40086</c:v>
                </c:pt>
                <c:pt idx="49">
                  <c:v>40056</c:v>
                </c:pt>
                <c:pt idx="50">
                  <c:v>40025</c:v>
                </c:pt>
                <c:pt idx="51">
                  <c:v>39994</c:v>
                </c:pt>
                <c:pt idx="52">
                  <c:v>39964</c:v>
                </c:pt>
                <c:pt idx="53">
                  <c:v>39933</c:v>
                </c:pt>
                <c:pt idx="54">
                  <c:v>39903</c:v>
                </c:pt>
                <c:pt idx="55">
                  <c:v>39872</c:v>
                </c:pt>
                <c:pt idx="56">
                  <c:v>39844</c:v>
                </c:pt>
              </c:numCache>
            </c:numRef>
          </c:cat>
          <c:val>
            <c:numRef>
              <c:f>Sheet1!$B$3:$B$59</c:f>
              <c:numCache>
                <c:formatCode>###,###,###,###,##0.00_ </c:formatCode>
                <c:ptCount val="57"/>
                <c:pt idx="0">
                  <c:v>3472</c:v>
                </c:pt>
                <c:pt idx="1">
                  <c:v>2818</c:v>
                </c:pt>
                <c:pt idx="2">
                  <c:v>2362</c:v>
                </c:pt>
                <c:pt idx="3">
                  <c:v>4617</c:v>
                </c:pt>
                <c:pt idx="4">
                  <c:v>2753</c:v>
                </c:pt>
                <c:pt idx="5">
                  <c:v>3629</c:v>
                </c:pt>
                <c:pt idx="6">
                  <c:v>6196</c:v>
                </c:pt>
                <c:pt idx="7">
                  <c:v>1825</c:v>
                </c:pt>
                <c:pt idx="8">
                  <c:v>4631</c:v>
                </c:pt>
                <c:pt idx="9">
                  <c:v>3669</c:v>
                </c:pt>
                <c:pt idx="10">
                  <c:v>3571</c:v>
                </c:pt>
                <c:pt idx="11">
                  <c:v>2040</c:v>
                </c:pt>
                <c:pt idx="12">
                  <c:v>3112</c:v>
                </c:pt>
                <c:pt idx="13">
                  <c:v>3983</c:v>
                </c:pt>
                <c:pt idx="14">
                  <c:v>3140</c:v>
                </c:pt>
                <c:pt idx="15">
                  <c:v>6039</c:v>
                </c:pt>
                <c:pt idx="16">
                  <c:v>4982</c:v>
                </c:pt>
                <c:pt idx="17">
                  <c:v>4709</c:v>
                </c:pt>
                <c:pt idx="18">
                  <c:v>7135</c:v>
                </c:pt>
                <c:pt idx="19">
                  <c:v>4804</c:v>
                </c:pt>
                <c:pt idx="20">
                  <c:v>3717</c:v>
                </c:pt>
                <c:pt idx="21">
                  <c:v>4696</c:v>
                </c:pt>
                <c:pt idx="22">
                  <c:v>3506</c:v>
                </c:pt>
                <c:pt idx="23">
                  <c:v>2417</c:v>
                </c:pt>
                <c:pt idx="24">
                  <c:v>2979</c:v>
                </c:pt>
                <c:pt idx="25">
                  <c:v>3383</c:v>
                </c:pt>
                <c:pt idx="26">
                  <c:v>2507</c:v>
                </c:pt>
                <c:pt idx="27">
                  <c:v>4135</c:v>
                </c:pt>
                <c:pt idx="28">
                  <c:v>2866</c:v>
                </c:pt>
                <c:pt idx="29">
                  <c:v>3478</c:v>
                </c:pt>
                <c:pt idx="30">
                  <c:v>2608</c:v>
                </c:pt>
                <c:pt idx="31">
                  <c:v>1628</c:v>
                </c:pt>
                <c:pt idx="32">
                  <c:v>3228</c:v>
                </c:pt>
                <c:pt idx="33">
                  <c:v>1972</c:v>
                </c:pt>
                <c:pt idx="34">
                  <c:v>2039</c:v>
                </c:pt>
                <c:pt idx="35">
                  <c:v>1937</c:v>
                </c:pt>
                <c:pt idx="36">
                  <c:v>1296</c:v>
                </c:pt>
                <c:pt idx="37">
                  <c:v>1656</c:v>
                </c:pt>
                <c:pt idx="38">
                  <c:v>551</c:v>
                </c:pt>
                <c:pt idx="39">
                  <c:v>1322</c:v>
                </c:pt>
                <c:pt idx="40">
                  <c:v>1425</c:v>
                </c:pt>
                <c:pt idx="41">
                  <c:v>1889</c:v>
                </c:pt>
                <c:pt idx="42">
                  <c:v>-1738</c:v>
                </c:pt>
                <c:pt idx="43">
                  <c:v>680</c:v>
                </c:pt>
                <c:pt idx="44">
                  <c:v>2588</c:v>
                </c:pt>
                <c:pt idx="45">
                  <c:v>-1060</c:v>
                </c:pt>
                <c:pt idx="46">
                  <c:v>-925</c:v>
                </c:pt>
                <c:pt idx="47">
                  <c:v>-1957</c:v>
                </c:pt>
                <c:pt idx="48">
                  <c:v>-1402</c:v>
                </c:pt>
                <c:pt idx="49">
                  <c:v>-1548</c:v>
                </c:pt>
                <c:pt idx="50">
                  <c:v>-2085</c:v>
                </c:pt>
                <c:pt idx="51">
                  <c:v>5147</c:v>
                </c:pt>
                <c:pt idx="52">
                  <c:v>1942</c:v>
                </c:pt>
                <c:pt idx="53">
                  <c:v>960</c:v>
                </c:pt>
                <c:pt idx="54">
                  <c:v>9842</c:v>
                </c:pt>
                <c:pt idx="55">
                  <c:v>6755</c:v>
                </c:pt>
                <c:pt idx="56">
                  <c:v>10264</c:v>
                </c:pt>
              </c:numCache>
            </c:numRef>
          </c:val>
        </c:ser>
        <c:ser>
          <c:idx val="1"/>
          <c:order val="1"/>
          <c:tx>
            <c:strRef>
              <c:f>Sheet1!$C$1:$C$2</c:f>
              <c:strCache>
                <c:ptCount val="1"/>
                <c:pt idx="0">
                  <c:v>金融机构:新增人民币贷款:中长期:当月值 月</c:v>
                </c:pt>
              </c:strCache>
            </c:strRef>
          </c:tx>
          <c:marker>
            <c:symbol val="none"/>
          </c:marker>
          <c:cat>
            <c:numRef>
              <c:f>Sheet1!$A$3:$A$59</c:f>
              <c:numCache>
                <c:formatCode>yyyy\-mm;@</c:formatCode>
                <c:ptCount val="57"/>
                <c:pt idx="0">
                  <c:v>41547</c:v>
                </c:pt>
                <c:pt idx="1">
                  <c:v>41517</c:v>
                </c:pt>
                <c:pt idx="2">
                  <c:v>41486</c:v>
                </c:pt>
                <c:pt idx="3">
                  <c:v>41455</c:v>
                </c:pt>
                <c:pt idx="4">
                  <c:v>41425</c:v>
                </c:pt>
                <c:pt idx="5">
                  <c:v>41394</c:v>
                </c:pt>
                <c:pt idx="6">
                  <c:v>41364</c:v>
                </c:pt>
                <c:pt idx="7">
                  <c:v>41333</c:v>
                </c:pt>
                <c:pt idx="8">
                  <c:v>41305</c:v>
                </c:pt>
                <c:pt idx="9">
                  <c:v>41274</c:v>
                </c:pt>
                <c:pt idx="10">
                  <c:v>41243</c:v>
                </c:pt>
                <c:pt idx="11">
                  <c:v>41213</c:v>
                </c:pt>
                <c:pt idx="12">
                  <c:v>41182</c:v>
                </c:pt>
                <c:pt idx="13">
                  <c:v>41152</c:v>
                </c:pt>
                <c:pt idx="14">
                  <c:v>41121</c:v>
                </c:pt>
                <c:pt idx="15">
                  <c:v>41090</c:v>
                </c:pt>
                <c:pt idx="16">
                  <c:v>41060</c:v>
                </c:pt>
                <c:pt idx="17">
                  <c:v>41029</c:v>
                </c:pt>
                <c:pt idx="18">
                  <c:v>40999</c:v>
                </c:pt>
                <c:pt idx="19">
                  <c:v>40968</c:v>
                </c:pt>
                <c:pt idx="20">
                  <c:v>40939</c:v>
                </c:pt>
                <c:pt idx="21">
                  <c:v>40908</c:v>
                </c:pt>
                <c:pt idx="22">
                  <c:v>40877</c:v>
                </c:pt>
                <c:pt idx="23">
                  <c:v>40847</c:v>
                </c:pt>
                <c:pt idx="24">
                  <c:v>40816</c:v>
                </c:pt>
                <c:pt idx="25">
                  <c:v>40786</c:v>
                </c:pt>
                <c:pt idx="26">
                  <c:v>40755</c:v>
                </c:pt>
                <c:pt idx="27">
                  <c:v>40724</c:v>
                </c:pt>
                <c:pt idx="28">
                  <c:v>40694</c:v>
                </c:pt>
                <c:pt idx="29">
                  <c:v>40663</c:v>
                </c:pt>
                <c:pt idx="30">
                  <c:v>40633</c:v>
                </c:pt>
                <c:pt idx="31">
                  <c:v>40602</c:v>
                </c:pt>
                <c:pt idx="32">
                  <c:v>40574</c:v>
                </c:pt>
                <c:pt idx="33">
                  <c:v>40543</c:v>
                </c:pt>
                <c:pt idx="34">
                  <c:v>40512</c:v>
                </c:pt>
                <c:pt idx="35">
                  <c:v>40482</c:v>
                </c:pt>
                <c:pt idx="36">
                  <c:v>40451</c:v>
                </c:pt>
                <c:pt idx="37">
                  <c:v>40421</c:v>
                </c:pt>
                <c:pt idx="38">
                  <c:v>40390</c:v>
                </c:pt>
                <c:pt idx="39">
                  <c:v>40359</c:v>
                </c:pt>
                <c:pt idx="40">
                  <c:v>40329</c:v>
                </c:pt>
                <c:pt idx="41">
                  <c:v>40298</c:v>
                </c:pt>
                <c:pt idx="42">
                  <c:v>40268</c:v>
                </c:pt>
                <c:pt idx="43">
                  <c:v>40237</c:v>
                </c:pt>
                <c:pt idx="44">
                  <c:v>40209</c:v>
                </c:pt>
                <c:pt idx="45">
                  <c:v>40178</c:v>
                </c:pt>
                <c:pt idx="46">
                  <c:v>40147</c:v>
                </c:pt>
                <c:pt idx="47">
                  <c:v>40117</c:v>
                </c:pt>
                <c:pt idx="48">
                  <c:v>40086</c:v>
                </c:pt>
                <c:pt idx="49">
                  <c:v>40056</c:v>
                </c:pt>
                <c:pt idx="50">
                  <c:v>40025</c:v>
                </c:pt>
                <c:pt idx="51">
                  <c:v>39994</c:v>
                </c:pt>
                <c:pt idx="52">
                  <c:v>39964</c:v>
                </c:pt>
                <c:pt idx="53">
                  <c:v>39933</c:v>
                </c:pt>
                <c:pt idx="54">
                  <c:v>39903</c:v>
                </c:pt>
                <c:pt idx="55">
                  <c:v>39872</c:v>
                </c:pt>
                <c:pt idx="56">
                  <c:v>39844</c:v>
                </c:pt>
              </c:numCache>
            </c:numRef>
          </c:cat>
          <c:val>
            <c:numRef>
              <c:f>Sheet1!$C$3:$C$59</c:f>
              <c:numCache>
                <c:formatCode>###,###,###,###,##0.00_ </c:formatCode>
                <c:ptCount val="57"/>
                <c:pt idx="0">
                  <c:v>4298</c:v>
                </c:pt>
                <c:pt idx="1">
                  <c:v>4220</c:v>
                </c:pt>
                <c:pt idx="2">
                  <c:v>4382</c:v>
                </c:pt>
                <c:pt idx="3">
                  <c:v>3854</c:v>
                </c:pt>
                <c:pt idx="4">
                  <c:v>3747</c:v>
                </c:pt>
                <c:pt idx="5">
                  <c:v>4061</c:v>
                </c:pt>
                <c:pt idx="6">
                  <c:v>4248</c:v>
                </c:pt>
                <c:pt idx="7">
                  <c:v>4209</c:v>
                </c:pt>
                <c:pt idx="8">
                  <c:v>5781</c:v>
                </c:pt>
                <c:pt idx="9">
                  <c:v>818</c:v>
                </c:pt>
                <c:pt idx="10">
                  <c:v>1484</c:v>
                </c:pt>
                <c:pt idx="11">
                  <c:v>2836</c:v>
                </c:pt>
                <c:pt idx="12">
                  <c:v>2868</c:v>
                </c:pt>
                <c:pt idx="13">
                  <c:v>2860</c:v>
                </c:pt>
                <c:pt idx="14">
                  <c:v>2100</c:v>
                </c:pt>
                <c:pt idx="15">
                  <c:v>2823</c:v>
                </c:pt>
                <c:pt idx="16">
                  <c:v>2698</c:v>
                </c:pt>
                <c:pt idx="17">
                  <c:v>1893</c:v>
                </c:pt>
                <c:pt idx="18">
                  <c:v>2701</c:v>
                </c:pt>
                <c:pt idx="19">
                  <c:v>2109</c:v>
                </c:pt>
                <c:pt idx="20">
                  <c:v>3510</c:v>
                </c:pt>
                <c:pt idx="21">
                  <c:v>1505</c:v>
                </c:pt>
                <c:pt idx="22">
                  <c:v>1949</c:v>
                </c:pt>
                <c:pt idx="23">
                  <c:v>3346</c:v>
                </c:pt>
                <c:pt idx="24">
                  <c:v>1628</c:v>
                </c:pt>
                <c:pt idx="25">
                  <c:v>2021</c:v>
                </c:pt>
                <c:pt idx="26">
                  <c:v>2263</c:v>
                </c:pt>
                <c:pt idx="27">
                  <c:v>2125</c:v>
                </c:pt>
                <c:pt idx="28">
                  <c:v>2447</c:v>
                </c:pt>
                <c:pt idx="29">
                  <c:v>3762</c:v>
                </c:pt>
                <c:pt idx="30">
                  <c:v>4091</c:v>
                </c:pt>
                <c:pt idx="31">
                  <c:v>3686</c:v>
                </c:pt>
                <c:pt idx="32">
                  <c:v>6777</c:v>
                </c:pt>
                <c:pt idx="33">
                  <c:v>2403</c:v>
                </c:pt>
                <c:pt idx="34">
                  <c:v>3301</c:v>
                </c:pt>
                <c:pt idx="35">
                  <c:v>3596</c:v>
                </c:pt>
                <c:pt idx="36">
                  <c:v>4522</c:v>
                </c:pt>
                <c:pt idx="37">
                  <c:v>3644</c:v>
                </c:pt>
                <c:pt idx="38">
                  <c:v>4534</c:v>
                </c:pt>
                <c:pt idx="39">
                  <c:v>4771</c:v>
                </c:pt>
                <c:pt idx="40">
                  <c:v>5006</c:v>
                </c:pt>
                <c:pt idx="41">
                  <c:v>5562</c:v>
                </c:pt>
                <c:pt idx="42">
                  <c:v>6689</c:v>
                </c:pt>
                <c:pt idx="43">
                  <c:v>6618</c:v>
                </c:pt>
                <c:pt idx="44">
                  <c:v>10954</c:v>
                </c:pt>
                <c:pt idx="45">
                  <c:v>4551</c:v>
                </c:pt>
                <c:pt idx="46">
                  <c:v>3638</c:v>
                </c:pt>
                <c:pt idx="47">
                  <c:v>4111</c:v>
                </c:pt>
                <c:pt idx="48">
                  <c:v>6097</c:v>
                </c:pt>
                <c:pt idx="49">
                  <c:v>5481</c:v>
                </c:pt>
                <c:pt idx="50">
                  <c:v>5396</c:v>
                </c:pt>
                <c:pt idx="51">
                  <c:v>9831</c:v>
                </c:pt>
                <c:pt idx="52">
                  <c:v>4493</c:v>
                </c:pt>
                <c:pt idx="53">
                  <c:v>4727</c:v>
                </c:pt>
                <c:pt idx="54">
                  <c:v>9038</c:v>
                </c:pt>
                <c:pt idx="55">
                  <c:v>3815</c:v>
                </c:pt>
                <c:pt idx="56">
                  <c:v>5822</c:v>
                </c:pt>
              </c:numCache>
            </c:numRef>
          </c:val>
        </c:ser>
        <c:marker val="1"/>
        <c:axId val="331757056"/>
        <c:axId val="331758592"/>
      </c:lineChart>
      <c:dateAx>
        <c:axId val="331757056"/>
        <c:scaling>
          <c:orientation val="minMax"/>
        </c:scaling>
        <c:axPos val="b"/>
        <c:numFmt formatCode="yyyy\-mm;@" sourceLinked="1"/>
        <c:tickLblPos val="low"/>
        <c:crossAx val="331758592"/>
        <c:crosses val="autoZero"/>
        <c:auto val="1"/>
        <c:lblOffset val="100"/>
        <c:majorUnit val="6"/>
        <c:majorTimeUnit val="months"/>
      </c:dateAx>
      <c:valAx>
        <c:axId val="331758592"/>
        <c:scaling>
          <c:orientation val="minMax"/>
        </c:scaling>
        <c:axPos val="l"/>
        <c:majorGridlines/>
        <c:numFmt formatCode="###,###,###,###,##0.00_ " sourceLinked="1"/>
        <c:tickLblPos val="nextTo"/>
        <c:crossAx val="331757056"/>
        <c:crosses val="autoZero"/>
        <c:crossBetween val="between"/>
      </c:valAx>
    </c:plotArea>
    <c:legend>
      <c:legendPos val="b"/>
      <c:layout>
        <c:manualLayout>
          <c:xMode val="edge"/>
          <c:yMode val="edge"/>
          <c:x val="5.8624525081217946E-2"/>
          <c:y val="0.72310372620745245"/>
          <c:w val="0.88275058275058271"/>
          <c:h val="0.24540021080042249"/>
        </c:manualLayout>
      </c:layout>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lineChart>
        <c:grouping val="standard"/>
        <c:ser>
          <c:idx val="0"/>
          <c:order val="0"/>
          <c:tx>
            <c:strRef>
              <c:f>Sheet1!$B$1:$B$2</c:f>
              <c:strCache>
                <c:ptCount val="1"/>
                <c:pt idx="0">
                  <c:v>票据转贴利率(月息):6个月 日</c:v>
                </c:pt>
              </c:strCache>
            </c:strRef>
          </c:tx>
          <c:marker>
            <c:symbol val="none"/>
          </c:marker>
          <c:cat>
            <c:numRef>
              <c:f>Sheet1!$A$3:$A$199</c:f>
              <c:numCache>
                <c:formatCode>yyyy\-mm\-dd;@</c:formatCode>
                <c:ptCount val="197"/>
                <c:pt idx="0">
                  <c:v>41568</c:v>
                </c:pt>
                <c:pt idx="1">
                  <c:v>41565</c:v>
                </c:pt>
                <c:pt idx="2">
                  <c:v>41564</c:v>
                </c:pt>
                <c:pt idx="3">
                  <c:v>41563</c:v>
                </c:pt>
                <c:pt idx="4">
                  <c:v>41562</c:v>
                </c:pt>
                <c:pt idx="5">
                  <c:v>41561</c:v>
                </c:pt>
                <c:pt idx="6">
                  <c:v>41559</c:v>
                </c:pt>
                <c:pt idx="7">
                  <c:v>41558</c:v>
                </c:pt>
                <c:pt idx="8">
                  <c:v>41557</c:v>
                </c:pt>
                <c:pt idx="9">
                  <c:v>41556</c:v>
                </c:pt>
                <c:pt idx="10">
                  <c:v>41555</c:v>
                </c:pt>
                <c:pt idx="11">
                  <c:v>41547</c:v>
                </c:pt>
                <c:pt idx="12">
                  <c:v>41546</c:v>
                </c:pt>
                <c:pt idx="13">
                  <c:v>41544</c:v>
                </c:pt>
                <c:pt idx="14">
                  <c:v>41543</c:v>
                </c:pt>
                <c:pt idx="15">
                  <c:v>41542</c:v>
                </c:pt>
                <c:pt idx="16">
                  <c:v>41541</c:v>
                </c:pt>
                <c:pt idx="17">
                  <c:v>41540</c:v>
                </c:pt>
                <c:pt idx="18">
                  <c:v>41539</c:v>
                </c:pt>
                <c:pt idx="19">
                  <c:v>41535</c:v>
                </c:pt>
                <c:pt idx="20">
                  <c:v>41534</c:v>
                </c:pt>
                <c:pt idx="21">
                  <c:v>41533</c:v>
                </c:pt>
                <c:pt idx="22">
                  <c:v>41530</c:v>
                </c:pt>
                <c:pt idx="23">
                  <c:v>41529</c:v>
                </c:pt>
                <c:pt idx="24">
                  <c:v>41528</c:v>
                </c:pt>
                <c:pt idx="25">
                  <c:v>41527</c:v>
                </c:pt>
                <c:pt idx="26">
                  <c:v>41526</c:v>
                </c:pt>
                <c:pt idx="27">
                  <c:v>41523</c:v>
                </c:pt>
                <c:pt idx="28">
                  <c:v>41522</c:v>
                </c:pt>
                <c:pt idx="29">
                  <c:v>41521</c:v>
                </c:pt>
                <c:pt idx="30">
                  <c:v>41520</c:v>
                </c:pt>
                <c:pt idx="31">
                  <c:v>41519</c:v>
                </c:pt>
                <c:pt idx="32">
                  <c:v>41516</c:v>
                </c:pt>
                <c:pt idx="33">
                  <c:v>41515</c:v>
                </c:pt>
                <c:pt idx="34">
                  <c:v>41514</c:v>
                </c:pt>
                <c:pt idx="35">
                  <c:v>41513</c:v>
                </c:pt>
                <c:pt idx="36">
                  <c:v>41512</c:v>
                </c:pt>
                <c:pt idx="37">
                  <c:v>41509</c:v>
                </c:pt>
                <c:pt idx="38">
                  <c:v>41508</c:v>
                </c:pt>
                <c:pt idx="39">
                  <c:v>41507</c:v>
                </c:pt>
                <c:pt idx="40">
                  <c:v>41506</c:v>
                </c:pt>
                <c:pt idx="41">
                  <c:v>41505</c:v>
                </c:pt>
                <c:pt idx="42">
                  <c:v>41502</c:v>
                </c:pt>
                <c:pt idx="43">
                  <c:v>41501</c:v>
                </c:pt>
                <c:pt idx="44">
                  <c:v>41500</c:v>
                </c:pt>
                <c:pt idx="45">
                  <c:v>41499</c:v>
                </c:pt>
                <c:pt idx="46">
                  <c:v>41498</c:v>
                </c:pt>
                <c:pt idx="47">
                  <c:v>41495</c:v>
                </c:pt>
                <c:pt idx="48">
                  <c:v>41494</c:v>
                </c:pt>
                <c:pt idx="49">
                  <c:v>41493</c:v>
                </c:pt>
                <c:pt idx="50">
                  <c:v>41492</c:v>
                </c:pt>
                <c:pt idx="51">
                  <c:v>41491</c:v>
                </c:pt>
                <c:pt idx="52">
                  <c:v>41488</c:v>
                </c:pt>
                <c:pt idx="53">
                  <c:v>41487</c:v>
                </c:pt>
                <c:pt idx="54">
                  <c:v>41486</c:v>
                </c:pt>
                <c:pt idx="55">
                  <c:v>41485</c:v>
                </c:pt>
                <c:pt idx="56">
                  <c:v>41484</c:v>
                </c:pt>
                <c:pt idx="57">
                  <c:v>41481</c:v>
                </c:pt>
                <c:pt idx="58">
                  <c:v>41480</c:v>
                </c:pt>
                <c:pt idx="59">
                  <c:v>41479</c:v>
                </c:pt>
                <c:pt idx="60">
                  <c:v>41478</c:v>
                </c:pt>
                <c:pt idx="61">
                  <c:v>41477</c:v>
                </c:pt>
                <c:pt idx="62">
                  <c:v>41474</c:v>
                </c:pt>
                <c:pt idx="63">
                  <c:v>41473</c:v>
                </c:pt>
                <c:pt idx="64">
                  <c:v>41472</c:v>
                </c:pt>
                <c:pt idx="65">
                  <c:v>41471</c:v>
                </c:pt>
                <c:pt idx="66">
                  <c:v>41470</c:v>
                </c:pt>
                <c:pt idx="67">
                  <c:v>41467</c:v>
                </c:pt>
                <c:pt idx="68">
                  <c:v>41466</c:v>
                </c:pt>
                <c:pt idx="69">
                  <c:v>41465</c:v>
                </c:pt>
                <c:pt idx="70">
                  <c:v>41464</c:v>
                </c:pt>
                <c:pt idx="71">
                  <c:v>41463</c:v>
                </c:pt>
                <c:pt idx="72">
                  <c:v>41460</c:v>
                </c:pt>
                <c:pt idx="73">
                  <c:v>41459</c:v>
                </c:pt>
                <c:pt idx="74">
                  <c:v>41458</c:v>
                </c:pt>
                <c:pt idx="75">
                  <c:v>41457</c:v>
                </c:pt>
                <c:pt idx="76">
                  <c:v>41456</c:v>
                </c:pt>
                <c:pt idx="77">
                  <c:v>41453</c:v>
                </c:pt>
                <c:pt idx="78">
                  <c:v>41452</c:v>
                </c:pt>
                <c:pt idx="79">
                  <c:v>41451</c:v>
                </c:pt>
                <c:pt idx="80">
                  <c:v>41450</c:v>
                </c:pt>
                <c:pt idx="81">
                  <c:v>41449</c:v>
                </c:pt>
                <c:pt idx="82">
                  <c:v>41446</c:v>
                </c:pt>
                <c:pt idx="83">
                  <c:v>41445</c:v>
                </c:pt>
                <c:pt idx="84">
                  <c:v>41444</c:v>
                </c:pt>
                <c:pt idx="85">
                  <c:v>41443</c:v>
                </c:pt>
                <c:pt idx="86">
                  <c:v>41442</c:v>
                </c:pt>
                <c:pt idx="87">
                  <c:v>41439</c:v>
                </c:pt>
                <c:pt idx="88">
                  <c:v>41438</c:v>
                </c:pt>
                <c:pt idx="89">
                  <c:v>41434</c:v>
                </c:pt>
                <c:pt idx="90">
                  <c:v>41433</c:v>
                </c:pt>
                <c:pt idx="91">
                  <c:v>41432</c:v>
                </c:pt>
                <c:pt idx="92">
                  <c:v>41431</c:v>
                </c:pt>
                <c:pt idx="93">
                  <c:v>41430</c:v>
                </c:pt>
                <c:pt idx="94">
                  <c:v>41429</c:v>
                </c:pt>
                <c:pt idx="95">
                  <c:v>41428</c:v>
                </c:pt>
                <c:pt idx="96">
                  <c:v>41425</c:v>
                </c:pt>
                <c:pt idx="97">
                  <c:v>41424</c:v>
                </c:pt>
                <c:pt idx="98">
                  <c:v>41423</c:v>
                </c:pt>
                <c:pt idx="99">
                  <c:v>41422</c:v>
                </c:pt>
                <c:pt idx="100">
                  <c:v>41421</c:v>
                </c:pt>
                <c:pt idx="101">
                  <c:v>41418</c:v>
                </c:pt>
                <c:pt idx="102">
                  <c:v>41417</c:v>
                </c:pt>
                <c:pt idx="103">
                  <c:v>41416</c:v>
                </c:pt>
                <c:pt idx="104">
                  <c:v>41415</c:v>
                </c:pt>
                <c:pt idx="105">
                  <c:v>41414</c:v>
                </c:pt>
                <c:pt idx="106">
                  <c:v>41411</c:v>
                </c:pt>
                <c:pt idx="107">
                  <c:v>41410</c:v>
                </c:pt>
                <c:pt idx="108">
                  <c:v>41409</c:v>
                </c:pt>
                <c:pt idx="109">
                  <c:v>41408</c:v>
                </c:pt>
                <c:pt idx="110">
                  <c:v>41407</c:v>
                </c:pt>
                <c:pt idx="111">
                  <c:v>41404</c:v>
                </c:pt>
                <c:pt idx="112">
                  <c:v>41403</c:v>
                </c:pt>
                <c:pt idx="113">
                  <c:v>41402</c:v>
                </c:pt>
                <c:pt idx="114">
                  <c:v>41401</c:v>
                </c:pt>
                <c:pt idx="115">
                  <c:v>41400</c:v>
                </c:pt>
                <c:pt idx="116">
                  <c:v>41397</c:v>
                </c:pt>
                <c:pt idx="117">
                  <c:v>41396</c:v>
                </c:pt>
                <c:pt idx="118">
                  <c:v>41392</c:v>
                </c:pt>
                <c:pt idx="119">
                  <c:v>41391</c:v>
                </c:pt>
                <c:pt idx="120">
                  <c:v>41390</c:v>
                </c:pt>
                <c:pt idx="121">
                  <c:v>41389</c:v>
                </c:pt>
                <c:pt idx="122">
                  <c:v>41388</c:v>
                </c:pt>
                <c:pt idx="123">
                  <c:v>41387</c:v>
                </c:pt>
                <c:pt idx="124">
                  <c:v>41386</c:v>
                </c:pt>
                <c:pt idx="125">
                  <c:v>41383</c:v>
                </c:pt>
                <c:pt idx="126">
                  <c:v>41382</c:v>
                </c:pt>
                <c:pt idx="127">
                  <c:v>41381</c:v>
                </c:pt>
                <c:pt idx="128">
                  <c:v>41380</c:v>
                </c:pt>
                <c:pt idx="129">
                  <c:v>41379</c:v>
                </c:pt>
                <c:pt idx="130">
                  <c:v>41376</c:v>
                </c:pt>
                <c:pt idx="131">
                  <c:v>41375</c:v>
                </c:pt>
                <c:pt idx="132">
                  <c:v>41374</c:v>
                </c:pt>
                <c:pt idx="133">
                  <c:v>41373</c:v>
                </c:pt>
                <c:pt idx="134">
                  <c:v>41372</c:v>
                </c:pt>
                <c:pt idx="135">
                  <c:v>41371</c:v>
                </c:pt>
                <c:pt idx="136">
                  <c:v>41367</c:v>
                </c:pt>
                <c:pt idx="137">
                  <c:v>41366</c:v>
                </c:pt>
                <c:pt idx="138">
                  <c:v>41365</c:v>
                </c:pt>
                <c:pt idx="139">
                  <c:v>41362</c:v>
                </c:pt>
                <c:pt idx="140">
                  <c:v>41361</c:v>
                </c:pt>
                <c:pt idx="141">
                  <c:v>41360</c:v>
                </c:pt>
                <c:pt idx="142">
                  <c:v>41359</c:v>
                </c:pt>
                <c:pt idx="143">
                  <c:v>41358</c:v>
                </c:pt>
                <c:pt idx="144">
                  <c:v>41355</c:v>
                </c:pt>
                <c:pt idx="145">
                  <c:v>41354</c:v>
                </c:pt>
                <c:pt idx="146">
                  <c:v>41353</c:v>
                </c:pt>
                <c:pt idx="147">
                  <c:v>41352</c:v>
                </c:pt>
                <c:pt idx="148">
                  <c:v>41351</c:v>
                </c:pt>
                <c:pt idx="149">
                  <c:v>41348</c:v>
                </c:pt>
                <c:pt idx="150">
                  <c:v>41347</c:v>
                </c:pt>
                <c:pt idx="151">
                  <c:v>41346</c:v>
                </c:pt>
                <c:pt idx="152">
                  <c:v>41345</c:v>
                </c:pt>
                <c:pt idx="153">
                  <c:v>41344</c:v>
                </c:pt>
                <c:pt idx="154">
                  <c:v>41341</c:v>
                </c:pt>
                <c:pt idx="155">
                  <c:v>41340</c:v>
                </c:pt>
                <c:pt idx="156">
                  <c:v>41339</c:v>
                </c:pt>
                <c:pt idx="157">
                  <c:v>41338</c:v>
                </c:pt>
                <c:pt idx="158">
                  <c:v>41337</c:v>
                </c:pt>
                <c:pt idx="159">
                  <c:v>41334</c:v>
                </c:pt>
                <c:pt idx="160">
                  <c:v>41333</c:v>
                </c:pt>
                <c:pt idx="161">
                  <c:v>41332</c:v>
                </c:pt>
                <c:pt idx="162">
                  <c:v>41331</c:v>
                </c:pt>
                <c:pt idx="163">
                  <c:v>41330</c:v>
                </c:pt>
                <c:pt idx="164">
                  <c:v>41327</c:v>
                </c:pt>
                <c:pt idx="165">
                  <c:v>41326</c:v>
                </c:pt>
                <c:pt idx="166">
                  <c:v>41325</c:v>
                </c:pt>
                <c:pt idx="167">
                  <c:v>41324</c:v>
                </c:pt>
                <c:pt idx="168">
                  <c:v>41323</c:v>
                </c:pt>
                <c:pt idx="169">
                  <c:v>41322</c:v>
                </c:pt>
                <c:pt idx="170">
                  <c:v>41312</c:v>
                </c:pt>
                <c:pt idx="171">
                  <c:v>41311</c:v>
                </c:pt>
                <c:pt idx="172">
                  <c:v>41310</c:v>
                </c:pt>
                <c:pt idx="173">
                  <c:v>41309</c:v>
                </c:pt>
                <c:pt idx="174">
                  <c:v>41306</c:v>
                </c:pt>
                <c:pt idx="175">
                  <c:v>41305</c:v>
                </c:pt>
                <c:pt idx="176">
                  <c:v>41304</c:v>
                </c:pt>
                <c:pt idx="177">
                  <c:v>41303</c:v>
                </c:pt>
                <c:pt idx="178">
                  <c:v>41302</c:v>
                </c:pt>
                <c:pt idx="179">
                  <c:v>41299</c:v>
                </c:pt>
                <c:pt idx="180">
                  <c:v>41298</c:v>
                </c:pt>
                <c:pt idx="181">
                  <c:v>41297</c:v>
                </c:pt>
                <c:pt idx="182">
                  <c:v>41296</c:v>
                </c:pt>
                <c:pt idx="183">
                  <c:v>41295</c:v>
                </c:pt>
                <c:pt idx="184">
                  <c:v>41292</c:v>
                </c:pt>
                <c:pt idx="185">
                  <c:v>41291</c:v>
                </c:pt>
                <c:pt idx="186">
                  <c:v>41290</c:v>
                </c:pt>
                <c:pt idx="187">
                  <c:v>41289</c:v>
                </c:pt>
                <c:pt idx="188">
                  <c:v>41288</c:v>
                </c:pt>
                <c:pt idx="189">
                  <c:v>41285</c:v>
                </c:pt>
                <c:pt idx="190">
                  <c:v>41284</c:v>
                </c:pt>
                <c:pt idx="191">
                  <c:v>41283</c:v>
                </c:pt>
                <c:pt idx="192">
                  <c:v>41282</c:v>
                </c:pt>
                <c:pt idx="193">
                  <c:v>41281</c:v>
                </c:pt>
                <c:pt idx="194">
                  <c:v>41280</c:v>
                </c:pt>
                <c:pt idx="195">
                  <c:v>41279</c:v>
                </c:pt>
                <c:pt idx="196">
                  <c:v>41278</c:v>
                </c:pt>
              </c:numCache>
            </c:numRef>
          </c:cat>
          <c:val>
            <c:numRef>
              <c:f>Sheet1!$B$3:$B$199</c:f>
              <c:numCache>
                <c:formatCode>###,###,###,###,##0.00_ </c:formatCode>
                <c:ptCount val="197"/>
                <c:pt idx="0">
                  <c:v>4.75</c:v>
                </c:pt>
                <c:pt idx="1">
                  <c:v>4.75</c:v>
                </c:pt>
                <c:pt idx="2">
                  <c:v>4.8</c:v>
                </c:pt>
                <c:pt idx="3">
                  <c:v>4.8</c:v>
                </c:pt>
                <c:pt idx="4">
                  <c:v>4.8</c:v>
                </c:pt>
                <c:pt idx="5">
                  <c:v>4.9000000000000004</c:v>
                </c:pt>
                <c:pt idx="6">
                  <c:v>5.2</c:v>
                </c:pt>
                <c:pt idx="7">
                  <c:v>5.3</c:v>
                </c:pt>
                <c:pt idx="8">
                  <c:v>5.4</c:v>
                </c:pt>
                <c:pt idx="9">
                  <c:v>5.4</c:v>
                </c:pt>
                <c:pt idx="10">
                  <c:v>5.4</c:v>
                </c:pt>
                <c:pt idx="11">
                  <c:v>5.45</c:v>
                </c:pt>
                <c:pt idx="12">
                  <c:v>5.45</c:v>
                </c:pt>
                <c:pt idx="13">
                  <c:v>5.35</c:v>
                </c:pt>
                <c:pt idx="14">
                  <c:v>5.35</c:v>
                </c:pt>
                <c:pt idx="15">
                  <c:v>5.35</c:v>
                </c:pt>
                <c:pt idx="16">
                  <c:v>5.35</c:v>
                </c:pt>
                <c:pt idx="17">
                  <c:v>5.35</c:v>
                </c:pt>
                <c:pt idx="18">
                  <c:v>5.3</c:v>
                </c:pt>
                <c:pt idx="19">
                  <c:v>5.25</c:v>
                </c:pt>
                <c:pt idx="20">
                  <c:v>5.25</c:v>
                </c:pt>
                <c:pt idx="21">
                  <c:v>5.2</c:v>
                </c:pt>
                <c:pt idx="22">
                  <c:v>5.2</c:v>
                </c:pt>
                <c:pt idx="23">
                  <c:v>5.2</c:v>
                </c:pt>
                <c:pt idx="24">
                  <c:v>5.2</c:v>
                </c:pt>
                <c:pt idx="25">
                  <c:v>5.2</c:v>
                </c:pt>
                <c:pt idx="26">
                  <c:v>5.2</c:v>
                </c:pt>
                <c:pt idx="27">
                  <c:v>5.1499999999999995</c:v>
                </c:pt>
                <c:pt idx="28">
                  <c:v>5.1499999999999995</c:v>
                </c:pt>
                <c:pt idx="29">
                  <c:v>5.1499999999999995</c:v>
                </c:pt>
                <c:pt idx="30">
                  <c:v>5</c:v>
                </c:pt>
                <c:pt idx="31">
                  <c:v>5</c:v>
                </c:pt>
                <c:pt idx="32">
                  <c:v>5.4</c:v>
                </c:pt>
                <c:pt idx="33">
                  <c:v>5.25</c:v>
                </c:pt>
                <c:pt idx="34">
                  <c:v>5.25</c:v>
                </c:pt>
                <c:pt idx="35">
                  <c:v>5.25</c:v>
                </c:pt>
                <c:pt idx="36">
                  <c:v>5.3</c:v>
                </c:pt>
                <c:pt idx="37">
                  <c:v>5.45</c:v>
                </c:pt>
                <c:pt idx="38">
                  <c:v>5.45</c:v>
                </c:pt>
                <c:pt idx="39">
                  <c:v>5.35</c:v>
                </c:pt>
                <c:pt idx="40">
                  <c:v>5.25</c:v>
                </c:pt>
                <c:pt idx="41">
                  <c:v>5</c:v>
                </c:pt>
                <c:pt idx="42">
                  <c:v>4.9000000000000004</c:v>
                </c:pt>
                <c:pt idx="43">
                  <c:v>4.9000000000000004</c:v>
                </c:pt>
                <c:pt idx="44">
                  <c:v>4.7</c:v>
                </c:pt>
                <c:pt idx="45">
                  <c:v>4.5999999999999996</c:v>
                </c:pt>
                <c:pt idx="46">
                  <c:v>4.6499999999999995</c:v>
                </c:pt>
                <c:pt idx="47">
                  <c:v>4.7</c:v>
                </c:pt>
                <c:pt idx="48">
                  <c:v>4.7</c:v>
                </c:pt>
                <c:pt idx="49">
                  <c:v>4.7</c:v>
                </c:pt>
                <c:pt idx="50">
                  <c:v>4.7</c:v>
                </c:pt>
                <c:pt idx="51">
                  <c:v>5</c:v>
                </c:pt>
                <c:pt idx="52">
                  <c:v>5</c:v>
                </c:pt>
                <c:pt idx="53">
                  <c:v>5</c:v>
                </c:pt>
                <c:pt idx="54">
                  <c:v>5</c:v>
                </c:pt>
                <c:pt idx="55">
                  <c:v>4.8</c:v>
                </c:pt>
                <c:pt idx="56">
                  <c:v>4.8</c:v>
                </c:pt>
                <c:pt idx="57">
                  <c:v>5.3</c:v>
                </c:pt>
                <c:pt idx="58">
                  <c:v>5.3</c:v>
                </c:pt>
                <c:pt idx="59">
                  <c:v>5.2</c:v>
                </c:pt>
                <c:pt idx="60">
                  <c:v>5</c:v>
                </c:pt>
                <c:pt idx="61">
                  <c:v>4.7</c:v>
                </c:pt>
                <c:pt idx="62">
                  <c:v>4.7</c:v>
                </c:pt>
                <c:pt idx="63">
                  <c:v>4.5</c:v>
                </c:pt>
                <c:pt idx="64">
                  <c:v>4.5</c:v>
                </c:pt>
                <c:pt idx="65">
                  <c:v>4.5</c:v>
                </c:pt>
                <c:pt idx="66">
                  <c:v>4.5</c:v>
                </c:pt>
                <c:pt idx="67">
                  <c:v>4.4000000000000004</c:v>
                </c:pt>
                <c:pt idx="68">
                  <c:v>4.4000000000000004</c:v>
                </c:pt>
                <c:pt idx="69">
                  <c:v>4.4000000000000004</c:v>
                </c:pt>
                <c:pt idx="70">
                  <c:v>4.4000000000000004</c:v>
                </c:pt>
                <c:pt idx="71">
                  <c:v>5</c:v>
                </c:pt>
                <c:pt idx="72">
                  <c:v>5.0999999999999996</c:v>
                </c:pt>
                <c:pt idx="73">
                  <c:v>4.9000000000000004</c:v>
                </c:pt>
                <c:pt idx="74">
                  <c:v>5.5</c:v>
                </c:pt>
                <c:pt idx="75">
                  <c:v>5.5</c:v>
                </c:pt>
                <c:pt idx="76">
                  <c:v>6.2</c:v>
                </c:pt>
                <c:pt idx="77">
                  <c:v>6.8</c:v>
                </c:pt>
                <c:pt idx="78">
                  <c:v>7.2</c:v>
                </c:pt>
                <c:pt idx="79">
                  <c:v>7.5</c:v>
                </c:pt>
                <c:pt idx="80">
                  <c:v>7.5</c:v>
                </c:pt>
                <c:pt idx="81">
                  <c:v>7</c:v>
                </c:pt>
                <c:pt idx="82">
                  <c:v>9.3000000000000007</c:v>
                </c:pt>
                <c:pt idx="83">
                  <c:v>6.5</c:v>
                </c:pt>
                <c:pt idx="84">
                  <c:v>5.25</c:v>
                </c:pt>
                <c:pt idx="85">
                  <c:v>5</c:v>
                </c:pt>
                <c:pt idx="86">
                  <c:v>5</c:v>
                </c:pt>
                <c:pt idx="87">
                  <c:v>5.5</c:v>
                </c:pt>
                <c:pt idx="88">
                  <c:v>5</c:v>
                </c:pt>
                <c:pt idx="89">
                  <c:v>5.2</c:v>
                </c:pt>
                <c:pt idx="90">
                  <c:v>4.5999999999999996</c:v>
                </c:pt>
                <c:pt idx="91">
                  <c:v>4.2</c:v>
                </c:pt>
                <c:pt idx="92">
                  <c:v>3.8</c:v>
                </c:pt>
                <c:pt idx="93">
                  <c:v>3.65</c:v>
                </c:pt>
                <c:pt idx="94">
                  <c:v>3.5</c:v>
                </c:pt>
                <c:pt idx="95">
                  <c:v>3.5</c:v>
                </c:pt>
                <c:pt idx="96">
                  <c:v>3.5</c:v>
                </c:pt>
                <c:pt idx="97">
                  <c:v>3.5</c:v>
                </c:pt>
                <c:pt idx="98">
                  <c:v>3.5</c:v>
                </c:pt>
                <c:pt idx="99">
                  <c:v>3.5</c:v>
                </c:pt>
                <c:pt idx="100">
                  <c:v>3.5</c:v>
                </c:pt>
                <c:pt idx="101">
                  <c:v>3.5</c:v>
                </c:pt>
                <c:pt idx="102">
                  <c:v>3.5</c:v>
                </c:pt>
                <c:pt idx="103">
                  <c:v>3.5</c:v>
                </c:pt>
                <c:pt idx="104">
                  <c:v>3.5</c:v>
                </c:pt>
                <c:pt idx="105">
                  <c:v>3.3</c:v>
                </c:pt>
                <c:pt idx="106">
                  <c:v>3.4</c:v>
                </c:pt>
                <c:pt idx="107">
                  <c:v>3.3</c:v>
                </c:pt>
                <c:pt idx="108">
                  <c:v>3.3</c:v>
                </c:pt>
                <c:pt idx="109">
                  <c:v>3.3</c:v>
                </c:pt>
                <c:pt idx="110">
                  <c:v>3.3</c:v>
                </c:pt>
                <c:pt idx="111">
                  <c:v>3.3</c:v>
                </c:pt>
                <c:pt idx="112">
                  <c:v>3.3</c:v>
                </c:pt>
                <c:pt idx="113">
                  <c:v>3.3</c:v>
                </c:pt>
                <c:pt idx="114">
                  <c:v>3.3</c:v>
                </c:pt>
                <c:pt idx="115">
                  <c:v>3.5</c:v>
                </c:pt>
                <c:pt idx="116">
                  <c:v>3.5</c:v>
                </c:pt>
                <c:pt idx="117">
                  <c:v>3.5</c:v>
                </c:pt>
                <c:pt idx="118">
                  <c:v>3.5</c:v>
                </c:pt>
                <c:pt idx="119">
                  <c:v>3.5</c:v>
                </c:pt>
                <c:pt idx="120">
                  <c:v>3.5</c:v>
                </c:pt>
                <c:pt idx="121">
                  <c:v>3.5</c:v>
                </c:pt>
                <c:pt idx="122">
                  <c:v>3.5</c:v>
                </c:pt>
                <c:pt idx="123">
                  <c:v>3.5</c:v>
                </c:pt>
                <c:pt idx="124">
                  <c:v>3.5</c:v>
                </c:pt>
                <c:pt idx="125">
                  <c:v>3.5</c:v>
                </c:pt>
                <c:pt idx="126">
                  <c:v>3.5</c:v>
                </c:pt>
                <c:pt idx="127">
                  <c:v>3.5</c:v>
                </c:pt>
                <c:pt idx="128">
                  <c:v>3.5</c:v>
                </c:pt>
                <c:pt idx="129">
                  <c:v>3.5</c:v>
                </c:pt>
                <c:pt idx="130">
                  <c:v>3.5</c:v>
                </c:pt>
                <c:pt idx="131">
                  <c:v>3.5</c:v>
                </c:pt>
                <c:pt idx="132">
                  <c:v>3.5</c:v>
                </c:pt>
                <c:pt idx="133">
                  <c:v>3.5</c:v>
                </c:pt>
                <c:pt idx="134">
                  <c:v>3.5</c:v>
                </c:pt>
                <c:pt idx="135">
                  <c:v>3.5</c:v>
                </c:pt>
                <c:pt idx="136">
                  <c:v>3.5</c:v>
                </c:pt>
                <c:pt idx="137">
                  <c:v>3.5</c:v>
                </c:pt>
                <c:pt idx="138">
                  <c:v>3.5</c:v>
                </c:pt>
                <c:pt idx="139">
                  <c:v>3.5</c:v>
                </c:pt>
                <c:pt idx="140">
                  <c:v>3.5</c:v>
                </c:pt>
                <c:pt idx="141">
                  <c:v>3.5</c:v>
                </c:pt>
                <c:pt idx="142">
                  <c:v>3.5</c:v>
                </c:pt>
                <c:pt idx="143">
                  <c:v>3.5</c:v>
                </c:pt>
                <c:pt idx="144">
                  <c:v>3.5</c:v>
                </c:pt>
                <c:pt idx="145">
                  <c:v>3.5</c:v>
                </c:pt>
                <c:pt idx="146">
                  <c:v>3.5</c:v>
                </c:pt>
                <c:pt idx="147">
                  <c:v>3.5</c:v>
                </c:pt>
                <c:pt idx="148">
                  <c:v>3.5</c:v>
                </c:pt>
                <c:pt idx="149">
                  <c:v>3.5</c:v>
                </c:pt>
                <c:pt idx="150">
                  <c:v>3.5</c:v>
                </c:pt>
                <c:pt idx="151">
                  <c:v>3.5</c:v>
                </c:pt>
                <c:pt idx="152">
                  <c:v>3.5</c:v>
                </c:pt>
                <c:pt idx="153">
                  <c:v>3.5</c:v>
                </c:pt>
                <c:pt idx="154">
                  <c:v>3.5</c:v>
                </c:pt>
                <c:pt idx="155">
                  <c:v>3.5</c:v>
                </c:pt>
                <c:pt idx="156">
                  <c:v>3.5</c:v>
                </c:pt>
                <c:pt idx="157">
                  <c:v>3.5</c:v>
                </c:pt>
                <c:pt idx="158">
                  <c:v>3.5</c:v>
                </c:pt>
                <c:pt idx="159">
                  <c:v>3.5</c:v>
                </c:pt>
                <c:pt idx="160">
                  <c:v>3.55</c:v>
                </c:pt>
                <c:pt idx="161">
                  <c:v>3.5</c:v>
                </c:pt>
                <c:pt idx="162">
                  <c:v>3.5</c:v>
                </c:pt>
                <c:pt idx="163">
                  <c:v>3.58</c:v>
                </c:pt>
                <c:pt idx="164">
                  <c:v>3.6</c:v>
                </c:pt>
                <c:pt idx="165">
                  <c:v>3.6</c:v>
                </c:pt>
                <c:pt idx="166">
                  <c:v>3.6</c:v>
                </c:pt>
                <c:pt idx="167">
                  <c:v>3.65</c:v>
                </c:pt>
                <c:pt idx="168">
                  <c:v>3.75</c:v>
                </c:pt>
                <c:pt idx="169">
                  <c:v>3.75</c:v>
                </c:pt>
                <c:pt idx="170">
                  <c:v>4</c:v>
                </c:pt>
                <c:pt idx="171">
                  <c:v>4</c:v>
                </c:pt>
                <c:pt idx="172">
                  <c:v>3.9499999999999997</c:v>
                </c:pt>
                <c:pt idx="173">
                  <c:v>3.9499999999999997</c:v>
                </c:pt>
                <c:pt idx="174">
                  <c:v>3.9499999999999997</c:v>
                </c:pt>
                <c:pt idx="175">
                  <c:v>4.05</c:v>
                </c:pt>
                <c:pt idx="176">
                  <c:v>4</c:v>
                </c:pt>
                <c:pt idx="177">
                  <c:v>3.9</c:v>
                </c:pt>
                <c:pt idx="178">
                  <c:v>3.9</c:v>
                </c:pt>
                <c:pt idx="179">
                  <c:v>3.9</c:v>
                </c:pt>
                <c:pt idx="180">
                  <c:v>3.9</c:v>
                </c:pt>
                <c:pt idx="181">
                  <c:v>3.9</c:v>
                </c:pt>
                <c:pt idx="182">
                  <c:v>3.9499999999999997</c:v>
                </c:pt>
                <c:pt idx="183">
                  <c:v>3.9</c:v>
                </c:pt>
                <c:pt idx="184">
                  <c:v>3.9</c:v>
                </c:pt>
                <c:pt idx="185">
                  <c:v>3.8</c:v>
                </c:pt>
                <c:pt idx="186">
                  <c:v>3.8499999999999988</c:v>
                </c:pt>
                <c:pt idx="187">
                  <c:v>3.8499999999999988</c:v>
                </c:pt>
                <c:pt idx="188">
                  <c:v>3.9</c:v>
                </c:pt>
                <c:pt idx="189">
                  <c:v>3.9</c:v>
                </c:pt>
                <c:pt idx="190">
                  <c:v>3.9499999999999997</c:v>
                </c:pt>
                <c:pt idx="191">
                  <c:v>3.9499999999999997</c:v>
                </c:pt>
                <c:pt idx="192">
                  <c:v>4</c:v>
                </c:pt>
                <c:pt idx="193">
                  <c:v>4.3499999999999996</c:v>
                </c:pt>
                <c:pt idx="194">
                  <c:v>4.3499999999999996</c:v>
                </c:pt>
                <c:pt idx="195">
                  <c:v>4.3</c:v>
                </c:pt>
                <c:pt idx="196">
                  <c:v>4.4000000000000004</c:v>
                </c:pt>
              </c:numCache>
            </c:numRef>
          </c:val>
        </c:ser>
        <c:marker val="1"/>
        <c:axId val="331778304"/>
        <c:axId val="331804672"/>
      </c:lineChart>
      <c:dateAx>
        <c:axId val="331778304"/>
        <c:scaling>
          <c:orientation val="minMax"/>
        </c:scaling>
        <c:axPos val="b"/>
        <c:numFmt formatCode="yyyy\-mm\-dd;@" sourceLinked="1"/>
        <c:tickLblPos val="nextTo"/>
        <c:crossAx val="331804672"/>
        <c:crosses val="autoZero"/>
        <c:auto val="1"/>
        <c:lblOffset val="100"/>
      </c:dateAx>
      <c:valAx>
        <c:axId val="331804672"/>
        <c:scaling>
          <c:orientation val="minMax"/>
        </c:scaling>
        <c:axPos val="l"/>
        <c:majorGridlines/>
        <c:numFmt formatCode="###,###,###,###,##0.00_ " sourceLinked="1"/>
        <c:tickLblPos val="nextTo"/>
        <c:crossAx val="331778304"/>
        <c:crosses val="autoZero"/>
        <c:crossBetween val="between"/>
      </c:valAx>
    </c:plotArea>
    <c:legend>
      <c:legendPos val="b"/>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strRef>
              <c:f>Sheet1!$B$1:$B$2</c:f>
              <c:strCache>
                <c:ptCount val="1"/>
                <c:pt idx="0">
                  <c:v>银行间同业拆借加权利率:1天 日</c:v>
                </c:pt>
              </c:strCache>
            </c:strRef>
          </c:tx>
          <c:marker>
            <c:symbol val="none"/>
          </c:marker>
          <c:cat>
            <c:numRef>
              <c:f>Sheet1!$A$3:$A$200</c:f>
              <c:numCache>
                <c:formatCode>yyyy\-mm\-dd;@</c:formatCode>
                <c:ptCount val="198"/>
                <c:pt idx="0">
                  <c:v>41565</c:v>
                </c:pt>
                <c:pt idx="1">
                  <c:v>41564</c:v>
                </c:pt>
                <c:pt idx="2">
                  <c:v>41563</c:v>
                </c:pt>
                <c:pt idx="3">
                  <c:v>41562</c:v>
                </c:pt>
                <c:pt idx="4">
                  <c:v>41561</c:v>
                </c:pt>
                <c:pt idx="5">
                  <c:v>41559</c:v>
                </c:pt>
                <c:pt idx="6">
                  <c:v>41558</c:v>
                </c:pt>
                <c:pt idx="7">
                  <c:v>41557</c:v>
                </c:pt>
                <c:pt idx="8">
                  <c:v>41556</c:v>
                </c:pt>
                <c:pt idx="9">
                  <c:v>41555</c:v>
                </c:pt>
                <c:pt idx="10">
                  <c:v>41547</c:v>
                </c:pt>
                <c:pt idx="11">
                  <c:v>41546</c:v>
                </c:pt>
                <c:pt idx="12">
                  <c:v>41544</c:v>
                </c:pt>
                <c:pt idx="13">
                  <c:v>41543</c:v>
                </c:pt>
                <c:pt idx="14">
                  <c:v>41542</c:v>
                </c:pt>
                <c:pt idx="15">
                  <c:v>41541</c:v>
                </c:pt>
                <c:pt idx="16">
                  <c:v>41540</c:v>
                </c:pt>
                <c:pt idx="17">
                  <c:v>41539</c:v>
                </c:pt>
                <c:pt idx="18">
                  <c:v>41535</c:v>
                </c:pt>
                <c:pt idx="19">
                  <c:v>41534</c:v>
                </c:pt>
                <c:pt idx="20">
                  <c:v>41533</c:v>
                </c:pt>
                <c:pt idx="21">
                  <c:v>41530</c:v>
                </c:pt>
                <c:pt idx="22">
                  <c:v>41529</c:v>
                </c:pt>
                <c:pt idx="23">
                  <c:v>41528</c:v>
                </c:pt>
                <c:pt idx="24">
                  <c:v>41527</c:v>
                </c:pt>
                <c:pt idx="25">
                  <c:v>41526</c:v>
                </c:pt>
                <c:pt idx="26">
                  <c:v>41523</c:v>
                </c:pt>
                <c:pt idx="27">
                  <c:v>41522</c:v>
                </c:pt>
                <c:pt idx="28">
                  <c:v>41521</c:v>
                </c:pt>
                <c:pt idx="29">
                  <c:v>41520</c:v>
                </c:pt>
                <c:pt idx="30">
                  <c:v>41519</c:v>
                </c:pt>
                <c:pt idx="31">
                  <c:v>41516</c:v>
                </c:pt>
                <c:pt idx="32">
                  <c:v>41515</c:v>
                </c:pt>
                <c:pt idx="33">
                  <c:v>41514</c:v>
                </c:pt>
                <c:pt idx="34">
                  <c:v>41513</c:v>
                </c:pt>
                <c:pt idx="35">
                  <c:v>41512</c:v>
                </c:pt>
                <c:pt idx="36">
                  <c:v>41509</c:v>
                </c:pt>
                <c:pt idx="37">
                  <c:v>41508</c:v>
                </c:pt>
                <c:pt idx="38">
                  <c:v>41507</c:v>
                </c:pt>
                <c:pt idx="39">
                  <c:v>41506</c:v>
                </c:pt>
                <c:pt idx="40">
                  <c:v>41505</c:v>
                </c:pt>
                <c:pt idx="41">
                  <c:v>41502</c:v>
                </c:pt>
                <c:pt idx="42">
                  <c:v>41501</c:v>
                </c:pt>
                <c:pt idx="43">
                  <c:v>41500</c:v>
                </c:pt>
                <c:pt idx="44">
                  <c:v>41499</c:v>
                </c:pt>
                <c:pt idx="45">
                  <c:v>41498</c:v>
                </c:pt>
                <c:pt idx="46">
                  <c:v>41495</c:v>
                </c:pt>
                <c:pt idx="47">
                  <c:v>41494</c:v>
                </c:pt>
                <c:pt idx="48">
                  <c:v>41493</c:v>
                </c:pt>
                <c:pt idx="49">
                  <c:v>41492</c:v>
                </c:pt>
                <c:pt idx="50">
                  <c:v>41491</c:v>
                </c:pt>
                <c:pt idx="51">
                  <c:v>41488</c:v>
                </c:pt>
                <c:pt idx="52">
                  <c:v>41487</c:v>
                </c:pt>
                <c:pt idx="53">
                  <c:v>41486</c:v>
                </c:pt>
                <c:pt idx="54">
                  <c:v>41485</c:v>
                </c:pt>
                <c:pt idx="55">
                  <c:v>41484</c:v>
                </c:pt>
                <c:pt idx="56">
                  <c:v>41481</c:v>
                </c:pt>
                <c:pt idx="57">
                  <c:v>41480</c:v>
                </c:pt>
                <c:pt idx="58">
                  <c:v>41479</c:v>
                </c:pt>
                <c:pt idx="59">
                  <c:v>41478</c:v>
                </c:pt>
                <c:pt idx="60">
                  <c:v>41477</c:v>
                </c:pt>
                <c:pt idx="61">
                  <c:v>41474</c:v>
                </c:pt>
                <c:pt idx="62">
                  <c:v>41473</c:v>
                </c:pt>
                <c:pt idx="63">
                  <c:v>41472</c:v>
                </c:pt>
                <c:pt idx="64">
                  <c:v>41471</c:v>
                </c:pt>
                <c:pt idx="65">
                  <c:v>41470</c:v>
                </c:pt>
                <c:pt idx="66">
                  <c:v>41467</c:v>
                </c:pt>
                <c:pt idx="67">
                  <c:v>41466</c:v>
                </c:pt>
                <c:pt idx="68">
                  <c:v>41465</c:v>
                </c:pt>
                <c:pt idx="69">
                  <c:v>41464</c:v>
                </c:pt>
                <c:pt idx="70">
                  <c:v>41463</c:v>
                </c:pt>
                <c:pt idx="71">
                  <c:v>41460</c:v>
                </c:pt>
                <c:pt idx="72">
                  <c:v>41459</c:v>
                </c:pt>
                <c:pt idx="73">
                  <c:v>41458</c:v>
                </c:pt>
                <c:pt idx="74">
                  <c:v>41457</c:v>
                </c:pt>
                <c:pt idx="75">
                  <c:v>41456</c:v>
                </c:pt>
                <c:pt idx="76">
                  <c:v>41453</c:v>
                </c:pt>
                <c:pt idx="77">
                  <c:v>41452</c:v>
                </c:pt>
                <c:pt idx="78">
                  <c:v>41451</c:v>
                </c:pt>
                <c:pt idx="79">
                  <c:v>41450</c:v>
                </c:pt>
                <c:pt idx="80">
                  <c:v>41449</c:v>
                </c:pt>
                <c:pt idx="81">
                  <c:v>41446</c:v>
                </c:pt>
                <c:pt idx="82">
                  <c:v>41445</c:v>
                </c:pt>
                <c:pt idx="83">
                  <c:v>41444</c:v>
                </c:pt>
                <c:pt idx="84">
                  <c:v>41443</c:v>
                </c:pt>
                <c:pt idx="85">
                  <c:v>41442</c:v>
                </c:pt>
                <c:pt idx="86">
                  <c:v>41439</c:v>
                </c:pt>
                <c:pt idx="87">
                  <c:v>41438</c:v>
                </c:pt>
                <c:pt idx="88">
                  <c:v>41434</c:v>
                </c:pt>
                <c:pt idx="89">
                  <c:v>41433</c:v>
                </c:pt>
                <c:pt idx="90">
                  <c:v>41432</c:v>
                </c:pt>
                <c:pt idx="91">
                  <c:v>41431</c:v>
                </c:pt>
                <c:pt idx="92">
                  <c:v>41430</c:v>
                </c:pt>
                <c:pt idx="93">
                  <c:v>41429</c:v>
                </c:pt>
                <c:pt idx="94">
                  <c:v>41428</c:v>
                </c:pt>
                <c:pt idx="95">
                  <c:v>41425</c:v>
                </c:pt>
                <c:pt idx="96">
                  <c:v>41424</c:v>
                </c:pt>
                <c:pt idx="97">
                  <c:v>41423</c:v>
                </c:pt>
                <c:pt idx="98">
                  <c:v>41422</c:v>
                </c:pt>
                <c:pt idx="99">
                  <c:v>41421</c:v>
                </c:pt>
                <c:pt idx="100">
                  <c:v>41418</c:v>
                </c:pt>
                <c:pt idx="101">
                  <c:v>41417</c:v>
                </c:pt>
                <c:pt idx="102">
                  <c:v>41416</c:v>
                </c:pt>
                <c:pt idx="103">
                  <c:v>41415</c:v>
                </c:pt>
                <c:pt idx="104">
                  <c:v>41414</c:v>
                </c:pt>
                <c:pt idx="105">
                  <c:v>41411</c:v>
                </c:pt>
                <c:pt idx="106">
                  <c:v>41410</c:v>
                </c:pt>
                <c:pt idx="107">
                  <c:v>41409</c:v>
                </c:pt>
                <c:pt idx="108">
                  <c:v>41408</c:v>
                </c:pt>
                <c:pt idx="109">
                  <c:v>41407</c:v>
                </c:pt>
                <c:pt idx="110">
                  <c:v>41404</c:v>
                </c:pt>
                <c:pt idx="111">
                  <c:v>41403</c:v>
                </c:pt>
                <c:pt idx="112">
                  <c:v>41402</c:v>
                </c:pt>
                <c:pt idx="113">
                  <c:v>41401</c:v>
                </c:pt>
                <c:pt idx="114">
                  <c:v>41400</c:v>
                </c:pt>
                <c:pt idx="115">
                  <c:v>41397</c:v>
                </c:pt>
                <c:pt idx="116">
                  <c:v>41396</c:v>
                </c:pt>
                <c:pt idx="117">
                  <c:v>41392</c:v>
                </c:pt>
                <c:pt idx="118">
                  <c:v>41391</c:v>
                </c:pt>
                <c:pt idx="119">
                  <c:v>41390</c:v>
                </c:pt>
                <c:pt idx="120">
                  <c:v>41389</c:v>
                </c:pt>
                <c:pt idx="121">
                  <c:v>41388</c:v>
                </c:pt>
                <c:pt idx="122">
                  <c:v>41387</c:v>
                </c:pt>
                <c:pt idx="123">
                  <c:v>41386</c:v>
                </c:pt>
                <c:pt idx="124">
                  <c:v>41383</c:v>
                </c:pt>
                <c:pt idx="125">
                  <c:v>41382</c:v>
                </c:pt>
                <c:pt idx="126">
                  <c:v>41381</c:v>
                </c:pt>
                <c:pt idx="127">
                  <c:v>41380</c:v>
                </c:pt>
                <c:pt idx="128">
                  <c:v>41379</c:v>
                </c:pt>
                <c:pt idx="129">
                  <c:v>41376</c:v>
                </c:pt>
                <c:pt idx="130">
                  <c:v>41375</c:v>
                </c:pt>
                <c:pt idx="131">
                  <c:v>41374</c:v>
                </c:pt>
                <c:pt idx="132">
                  <c:v>41373</c:v>
                </c:pt>
                <c:pt idx="133">
                  <c:v>41372</c:v>
                </c:pt>
                <c:pt idx="134">
                  <c:v>41371</c:v>
                </c:pt>
                <c:pt idx="135">
                  <c:v>41367</c:v>
                </c:pt>
                <c:pt idx="136">
                  <c:v>41366</c:v>
                </c:pt>
                <c:pt idx="137">
                  <c:v>41365</c:v>
                </c:pt>
                <c:pt idx="138">
                  <c:v>41362</c:v>
                </c:pt>
                <c:pt idx="139">
                  <c:v>41361</c:v>
                </c:pt>
                <c:pt idx="140">
                  <c:v>41360</c:v>
                </c:pt>
                <c:pt idx="141">
                  <c:v>41359</c:v>
                </c:pt>
                <c:pt idx="142">
                  <c:v>41358</c:v>
                </c:pt>
                <c:pt idx="143">
                  <c:v>41355</c:v>
                </c:pt>
                <c:pt idx="144">
                  <c:v>41354</c:v>
                </c:pt>
                <c:pt idx="145">
                  <c:v>41353</c:v>
                </c:pt>
                <c:pt idx="146">
                  <c:v>41352</c:v>
                </c:pt>
                <c:pt idx="147">
                  <c:v>41351</c:v>
                </c:pt>
                <c:pt idx="148">
                  <c:v>41348</c:v>
                </c:pt>
                <c:pt idx="149">
                  <c:v>41347</c:v>
                </c:pt>
                <c:pt idx="150">
                  <c:v>41346</c:v>
                </c:pt>
                <c:pt idx="151">
                  <c:v>41345</c:v>
                </c:pt>
                <c:pt idx="152">
                  <c:v>41344</c:v>
                </c:pt>
                <c:pt idx="153">
                  <c:v>41341</c:v>
                </c:pt>
                <c:pt idx="154">
                  <c:v>41340</c:v>
                </c:pt>
                <c:pt idx="155">
                  <c:v>41339</c:v>
                </c:pt>
                <c:pt idx="156">
                  <c:v>41338</c:v>
                </c:pt>
                <c:pt idx="157">
                  <c:v>41337</c:v>
                </c:pt>
                <c:pt idx="158">
                  <c:v>41334</c:v>
                </c:pt>
                <c:pt idx="159">
                  <c:v>41333</c:v>
                </c:pt>
                <c:pt idx="160">
                  <c:v>41332</c:v>
                </c:pt>
                <c:pt idx="161">
                  <c:v>41331</c:v>
                </c:pt>
                <c:pt idx="162">
                  <c:v>41330</c:v>
                </c:pt>
                <c:pt idx="163">
                  <c:v>41327</c:v>
                </c:pt>
                <c:pt idx="164">
                  <c:v>41326</c:v>
                </c:pt>
                <c:pt idx="165">
                  <c:v>41325</c:v>
                </c:pt>
                <c:pt idx="166">
                  <c:v>41324</c:v>
                </c:pt>
                <c:pt idx="167">
                  <c:v>41323</c:v>
                </c:pt>
                <c:pt idx="168">
                  <c:v>41322</c:v>
                </c:pt>
                <c:pt idx="169">
                  <c:v>41321</c:v>
                </c:pt>
                <c:pt idx="170">
                  <c:v>41313</c:v>
                </c:pt>
                <c:pt idx="171">
                  <c:v>41312</c:v>
                </c:pt>
                <c:pt idx="172">
                  <c:v>41311</c:v>
                </c:pt>
                <c:pt idx="173">
                  <c:v>41310</c:v>
                </c:pt>
                <c:pt idx="174">
                  <c:v>41309</c:v>
                </c:pt>
                <c:pt idx="175">
                  <c:v>41306</c:v>
                </c:pt>
                <c:pt idx="176">
                  <c:v>41305</c:v>
                </c:pt>
                <c:pt idx="177">
                  <c:v>41304</c:v>
                </c:pt>
                <c:pt idx="178">
                  <c:v>41303</c:v>
                </c:pt>
                <c:pt idx="179">
                  <c:v>41302</c:v>
                </c:pt>
                <c:pt idx="180">
                  <c:v>41299</c:v>
                </c:pt>
                <c:pt idx="181">
                  <c:v>41298</c:v>
                </c:pt>
                <c:pt idx="182">
                  <c:v>41297</c:v>
                </c:pt>
                <c:pt idx="183">
                  <c:v>41296</c:v>
                </c:pt>
                <c:pt idx="184">
                  <c:v>41295</c:v>
                </c:pt>
                <c:pt idx="185">
                  <c:v>41292</c:v>
                </c:pt>
                <c:pt idx="186">
                  <c:v>41291</c:v>
                </c:pt>
                <c:pt idx="187">
                  <c:v>41290</c:v>
                </c:pt>
                <c:pt idx="188">
                  <c:v>41289</c:v>
                </c:pt>
                <c:pt idx="189">
                  <c:v>41288</c:v>
                </c:pt>
                <c:pt idx="190">
                  <c:v>41285</c:v>
                </c:pt>
                <c:pt idx="191">
                  <c:v>41284</c:v>
                </c:pt>
                <c:pt idx="192">
                  <c:v>41283</c:v>
                </c:pt>
                <c:pt idx="193">
                  <c:v>41282</c:v>
                </c:pt>
                <c:pt idx="194">
                  <c:v>41281</c:v>
                </c:pt>
                <c:pt idx="195">
                  <c:v>41280</c:v>
                </c:pt>
                <c:pt idx="196">
                  <c:v>41279</c:v>
                </c:pt>
                <c:pt idx="197">
                  <c:v>41278</c:v>
                </c:pt>
              </c:numCache>
            </c:numRef>
          </c:cat>
          <c:val>
            <c:numRef>
              <c:f>Sheet1!$B$3:$B$200</c:f>
              <c:numCache>
                <c:formatCode>###,###,###,###,##0.0000_ </c:formatCode>
                <c:ptCount val="198"/>
                <c:pt idx="0">
                  <c:v>3.0066999999999977</c:v>
                </c:pt>
                <c:pt idx="1">
                  <c:v>3.0451999999999999</c:v>
                </c:pt>
                <c:pt idx="2">
                  <c:v>3.0670999999999999</c:v>
                </c:pt>
                <c:pt idx="3">
                  <c:v>3.1269</c:v>
                </c:pt>
                <c:pt idx="4">
                  <c:v>3.1269</c:v>
                </c:pt>
                <c:pt idx="5">
                  <c:v>3.0427</c:v>
                </c:pt>
                <c:pt idx="6">
                  <c:v>3.1164999999999967</c:v>
                </c:pt>
                <c:pt idx="7">
                  <c:v>3.3489</c:v>
                </c:pt>
                <c:pt idx="8">
                  <c:v>3.2730000000000001</c:v>
                </c:pt>
                <c:pt idx="9">
                  <c:v>3.1099000000000001</c:v>
                </c:pt>
                <c:pt idx="10">
                  <c:v>3.1534</c:v>
                </c:pt>
                <c:pt idx="11">
                  <c:v>3.1583000000000001</c:v>
                </c:pt>
                <c:pt idx="12">
                  <c:v>3.1471000000000116</c:v>
                </c:pt>
                <c:pt idx="13">
                  <c:v>3.1339000000000001</c:v>
                </c:pt>
                <c:pt idx="14">
                  <c:v>3.3667999999999987</c:v>
                </c:pt>
                <c:pt idx="15">
                  <c:v>3.6492</c:v>
                </c:pt>
                <c:pt idx="16">
                  <c:v>3.8556999999999872</c:v>
                </c:pt>
                <c:pt idx="17">
                  <c:v>3.5977999999999999</c:v>
                </c:pt>
                <c:pt idx="18">
                  <c:v>3.57689999999999</c:v>
                </c:pt>
                <c:pt idx="19">
                  <c:v>3.516899999999989</c:v>
                </c:pt>
                <c:pt idx="20">
                  <c:v>3.0318999999999967</c:v>
                </c:pt>
                <c:pt idx="21">
                  <c:v>2.9991999999999988</c:v>
                </c:pt>
                <c:pt idx="22">
                  <c:v>2.9851000000000001</c:v>
                </c:pt>
                <c:pt idx="23">
                  <c:v>3.0391999999999997</c:v>
                </c:pt>
                <c:pt idx="24">
                  <c:v>2.9201999999999999</c:v>
                </c:pt>
                <c:pt idx="25">
                  <c:v>2.9366999999999872</c:v>
                </c:pt>
                <c:pt idx="26">
                  <c:v>2.9693000000000001</c:v>
                </c:pt>
                <c:pt idx="27">
                  <c:v>2.9159999999999977</c:v>
                </c:pt>
                <c:pt idx="28">
                  <c:v>3.0392999999999977</c:v>
                </c:pt>
                <c:pt idx="29">
                  <c:v>3.0337000000000001</c:v>
                </c:pt>
                <c:pt idx="30">
                  <c:v>3.0358999999999967</c:v>
                </c:pt>
                <c:pt idx="31">
                  <c:v>3.0529999999999977</c:v>
                </c:pt>
                <c:pt idx="32">
                  <c:v>2.9912999999999967</c:v>
                </c:pt>
                <c:pt idx="33">
                  <c:v>3.1297999999999999</c:v>
                </c:pt>
                <c:pt idx="34">
                  <c:v>3.0493999999999999</c:v>
                </c:pt>
                <c:pt idx="35">
                  <c:v>3.0743</c:v>
                </c:pt>
                <c:pt idx="36">
                  <c:v>3.2993999999999999</c:v>
                </c:pt>
                <c:pt idx="37">
                  <c:v>3.3864999999999967</c:v>
                </c:pt>
                <c:pt idx="38">
                  <c:v>3.5539000000000001</c:v>
                </c:pt>
                <c:pt idx="39">
                  <c:v>3.8904999999999967</c:v>
                </c:pt>
                <c:pt idx="40">
                  <c:v>3.4597999999999987</c:v>
                </c:pt>
                <c:pt idx="41">
                  <c:v>3.2534000000000001</c:v>
                </c:pt>
                <c:pt idx="42">
                  <c:v>3.3029999999999977</c:v>
                </c:pt>
                <c:pt idx="43">
                  <c:v>3.4470999999999998</c:v>
                </c:pt>
                <c:pt idx="44">
                  <c:v>3.2434000000000012</c:v>
                </c:pt>
                <c:pt idx="45">
                  <c:v>2.9937999999999998</c:v>
                </c:pt>
                <c:pt idx="46">
                  <c:v>2.9335999999999998</c:v>
                </c:pt>
                <c:pt idx="47">
                  <c:v>3.1793</c:v>
                </c:pt>
                <c:pt idx="48">
                  <c:v>3.1181000000000001</c:v>
                </c:pt>
                <c:pt idx="49">
                  <c:v>3.1251000000000002</c:v>
                </c:pt>
                <c:pt idx="50">
                  <c:v>3.1217000000000001</c:v>
                </c:pt>
                <c:pt idx="51">
                  <c:v>3.2838000000000012</c:v>
                </c:pt>
                <c:pt idx="52">
                  <c:v>3.5707999999999998</c:v>
                </c:pt>
                <c:pt idx="53">
                  <c:v>3.7317999999999998</c:v>
                </c:pt>
                <c:pt idx="54">
                  <c:v>3.661</c:v>
                </c:pt>
                <c:pt idx="55">
                  <c:v>3.7464</c:v>
                </c:pt>
                <c:pt idx="56">
                  <c:v>3.5750999999999977</c:v>
                </c:pt>
                <c:pt idx="57">
                  <c:v>3.3733999999999997</c:v>
                </c:pt>
                <c:pt idx="58">
                  <c:v>3.2682000000000002</c:v>
                </c:pt>
                <c:pt idx="59">
                  <c:v>3.1795999999999998</c:v>
                </c:pt>
                <c:pt idx="60">
                  <c:v>3.1362999999999968</c:v>
                </c:pt>
                <c:pt idx="61">
                  <c:v>3.0593999999999997</c:v>
                </c:pt>
                <c:pt idx="62">
                  <c:v>3.0232999999999999</c:v>
                </c:pt>
                <c:pt idx="63">
                  <c:v>2.9798999999999967</c:v>
                </c:pt>
                <c:pt idx="64">
                  <c:v>3.0339</c:v>
                </c:pt>
                <c:pt idx="65">
                  <c:v>3.3114999999999872</c:v>
                </c:pt>
                <c:pt idx="66">
                  <c:v>3.3151999999999977</c:v>
                </c:pt>
                <c:pt idx="67">
                  <c:v>3.3689</c:v>
                </c:pt>
                <c:pt idx="68">
                  <c:v>3.2641000000000115</c:v>
                </c:pt>
                <c:pt idx="69">
                  <c:v>3.2585000000000002</c:v>
                </c:pt>
                <c:pt idx="70">
                  <c:v>3.2637000000000116</c:v>
                </c:pt>
                <c:pt idx="71">
                  <c:v>3.3762999999999872</c:v>
                </c:pt>
                <c:pt idx="72">
                  <c:v>3.2972999999999999</c:v>
                </c:pt>
                <c:pt idx="73">
                  <c:v>3.3849</c:v>
                </c:pt>
                <c:pt idx="74">
                  <c:v>3.7968999999999977</c:v>
                </c:pt>
                <c:pt idx="75">
                  <c:v>4.4656000000000002</c:v>
                </c:pt>
                <c:pt idx="76">
                  <c:v>4.9954000000000001</c:v>
                </c:pt>
                <c:pt idx="77">
                  <c:v>5.5847999999999995</c:v>
                </c:pt>
                <c:pt idx="78">
                  <c:v>5.5997000000000003</c:v>
                </c:pt>
                <c:pt idx="79">
                  <c:v>5.7957999999999998</c:v>
                </c:pt>
                <c:pt idx="80">
                  <c:v>6.6</c:v>
                </c:pt>
                <c:pt idx="81">
                  <c:v>8.9531000000000027</c:v>
                </c:pt>
                <c:pt idx="82">
                  <c:v>13.8284</c:v>
                </c:pt>
                <c:pt idx="83">
                  <c:v>7.7253999999999996</c:v>
                </c:pt>
                <c:pt idx="84">
                  <c:v>5.6328999999999985</c:v>
                </c:pt>
                <c:pt idx="85">
                  <c:v>4.8517999999999999</c:v>
                </c:pt>
                <c:pt idx="86">
                  <c:v>7.0477999999999996</c:v>
                </c:pt>
                <c:pt idx="87">
                  <c:v>6.8240999999999845</c:v>
                </c:pt>
                <c:pt idx="88">
                  <c:v>7.4834000000000014</c:v>
                </c:pt>
                <c:pt idx="89">
                  <c:v>9.6937000000000015</c:v>
                </c:pt>
                <c:pt idx="90">
                  <c:v>8.4768000000000008</c:v>
                </c:pt>
                <c:pt idx="91">
                  <c:v>6.0314000000000014</c:v>
                </c:pt>
                <c:pt idx="92">
                  <c:v>4.6558999999999955</c:v>
                </c:pt>
                <c:pt idx="93">
                  <c:v>4.5373999999999999</c:v>
                </c:pt>
                <c:pt idx="94">
                  <c:v>4.6238999999999955</c:v>
                </c:pt>
                <c:pt idx="95">
                  <c:v>4.54</c:v>
                </c:pt>
                <c:pt idx="96">
                  <c:v>3.4123999999999977</c:v>
                </c:pt>
                <c:pt idx="97">
                  <c:v>3.0667</c:v>
                </c:pt>
                <c:pt idx="98">
                  <c:v>3.3637999999999999</c:v>
                </c:pt>
                <c:pt idx="99">
                  <c:v>3.5823</c:v>
                </c:pt>
                <c:pt idx="100">
                  <c:v>3.528</c:v>
                </c:pt>
                <c:pt idx="101">
                  <c:v>3.7080000000000002</c:v>
                </c:pt>
                <c:pt idx="102">
                  <c:v>3.4634999999999998</c:v>
                </c:pt>
                <c:pt idx="103">
                  <c:v>3.3971999999999998</c:v>
                </c:pt>
                <c:pt idx="104">
                  <c:v>3.0337999999999998</c:v>
                </c:pt>
                <c:pt idx="105">
                  <c:v>2.8715999999999977</c:v>
                </c:pt>
                <c:pt idx="106">
                  <c:v>2.7236000000000002</c:v>
                </c:pt>
                <c:pt idx="107">
                  <c:v>2.2694999999999999</c:v>
                </c:pt>
                <c:pt idx="108">
                  <c:v>2.2555999999999998</c:v>
                </c:pt>
                <c:pt idx="109">
                  <c:v>2.1791999999999998</c:v>
                </c:pt>
                <c:pt idx="110">
                  <c:v>2.1625999999999999</c:v>
                </c:pt>
                <c:pt idx="111">
                  <c:v>2.1322999999999968</c:v>
                </c:pt>
                <c:pt idx="112">
                  <c:v>2.1273000000000102</c:v>
                </c:pt>
                <c:pt idx="113">
                  <c:v>2.3743999999999987</c:v>
                </c:pt>
                <c:pt idx="114">
                  <c:v>2.7932999999999999</c:v>
                </c:pt>
                <c:pt idx="115">
                  <c:v>3.0175999999999998</c:v>
                </c:pt>
                <c:pt idx="116">
                  <c:v>2.8085</c:v>
                </c:pt>
                <c:pt idx="117">
                  <c:v>2.8449</c:v>
                </c:pt>
                <c:pt idx="118">
                  <c:v>3.0217999999999998</c:v>
                </c:pt>
                <c:pt idx="119">
                  <c:v>3.0041000000000002</c:v>
                </c:pt>
                <c:pt idx="120">
                  <c:v>4.3212000000000002</c:v>
                </c:pt>
                <c:pt idx="121">
                  <c:v>4.0903999999999998</c:v>
                </c:pt>
                <c:pt idx="122">
                  <c:v>3.0074999999999998</c:v>
                </c:pt>
                <c:pt idx="123">
                  <c:v>2.6772999999999998</c:v>
                </c:pt>
                <c:pt idx="124">
                  <c:v>2.5360999999999967</c:v>
                </c:pt>
                <c:pt idx="125">
                  <c:v>2.2336</c:v>
                </c:pt>
                <c:pt idx="126">
                  <c:v>2.0352999999999977</c:v>
                </c:pt>
                <c:pt idx="127">
                  <c:v>2.0320999999999967</c:v>
                </c:pt>
                <c:pt idx="128">
                  <c:v>2.0655000000000001</c:v>
                </c:pt>
                <c:pt idx="129">
                  <c:v>2.0238</c:v>
                </c:pt>
                <c:pt idx="130">
                  <c:v>2.0713999999999997</c:v>
                </c:pt>
                <c:pt idx="131">
                  <c:v>2.1375999999999999</c:v>
                </c:pt>
                <c:pt idx="132">
                  <c:v>2.1537000000000002</c:v>
                </c:pt>
                <c:pt idx="133">
                  <c:v>2.1901999999999999</c:v>
                </c:pt>
                <c:pt idx="134">
                  <c:v>2.0371000000000001</c:v>
                </c:pt>
                <c:pt idx="135">
                  <c:v>2.1049000000000002</c:v>
                </c:pt>
                <c:pt idx="136">
                  <c:v>2.0553999999999997</c:v>
                </c:pt>
                <c:pt idx="137">
                  <c:v>2.0217000000000001</c:v>
                </c:pt>
                <c:pt idx="138">
                  <c:v>2.7195999999999998</c:v>
                </c:pt>
                <c:pt idx="139">
                  <c:v>1.7855999999999936</c:v>
                </c:pt>
                <c:pt idx="140">
                  <c:v>1.7650999999999943</c:v>
                </c:pt>
                <c:pt idx="141">
                  <c:v>1.6921999999999999</c:v>
                </c:pt>
                <c:pt idx="142">
                  <c:v>1.7105999999999943</c:v>
                </c:pt>
                <c:pt idx="143">
                  <c:v>1.8338999999999936</c:v>
                </c:pt>
                <c:pt idx="144">
                  <c:v>1.9665999999999999</c:v>
                </c:pt>
                <c:pt idx="145">
                  <c:v>2.0789999999999997</c:v>
                </c:pt>
                <c:pt idx="146">
                  <c:v>2.2549000000000001</c:v>
                </c:pt>
                <c:pt idx="147">
                  <c:v>2.5381999999999998</c:v>
                </c:pt>
                <c:pt idx="148">
                  <c:v>2.1034000000000002</c:v>
                </c:pt>
                <c:pt idx="149">
                  <c:v>2.0960999999999967</c:v>
                </c:pt>
                <c:pt idx="150">
                  <c:v>2.1133000000000002</c:v>
                </c:pt>
                <c:pt idx="151">
                  <c:v>2.1379000000000001</c:v>
                </c:pt>
                <c:pt idx="152">
                  <c:v>2.2623000000000002</c:v>
                </c:pt>
                <c:pt idx="153">
                  <c:v>2.4841000000000002</c:v>
                </c:pt>
                <c:pt idx="154">
                  <c:v>2.5085000000000002</c:v>
                </c:pt>
                <c:pt idx="155">
                  <c:v>2.8711999999999978</c:v>
                </c:pt>
                <c:pt idx="156">
                  <c:v>3.0347</c:v>
                </c:pt>
                <c:pt idx="157">
                  <c:v>3.3170999999999977</c:v>
                </c:pt>
                <c:pt idx="158">
                  <c:v>4.1402999999999999</c:v>
                </c:pt>
                <c:pt idx="159">
                  <c:v>4.0442</c:v>
                </c:pt>
                <c:pt idx="160">
                  <c:v>3.9506999999999977</c:v>
                </c:pt>
                <c:pt idx="161">
                  <c:v>3.7332999999999998</c:v>
                </c:pt>
                <c:pt idx="162">
                  <c:v>2.4103999999999997</c:v>
                </c:pt>
                <c:pt idx="163">
                  <c:v>2.2197999999999998</c:v>
                </c:pt>
                <c:pt idx="164">
                  <c:v>2.0470000000000002</c:v>
                </c:pt>
                <c:pt idx="165">
                  <c:v>1.9091</c:v>
                </c:pt>
                <c:pt idx="166">
                  <c:v>1.9036</c:v>
                </c:pt>
                <c:pt idx="167">
                  <c:v>1.8935</c:v>
                </c:pt>
                <c:pt idx="168">
                  <c:v>1.917</c:v>
                </c:pt>
                <c:pt idx="169">
                  <c:v>1.9927999999999999</c:v>
                </c:pt>
                <c:pt idx="170">
                  <c:v>2.80689999999999</c:v>
                </c:pt>
                <c:pt idx="171">
                  <c:v>3.6665000000000001</c:v>
                </c:pt>
                <c:pt idx="172">
                  <c:v>3.6395999999999997</c:v>
                </c:pt>
                <c:pt idx="173">
                  <c:v>3.2734000000000001</c:v>
                </c:pt>
                <c:pt idx="174">
                  <c:v>2.8617999999999997</c:v>
                </c:pt>
                <c:pt idx="175">
                  <c:v>2.6941000000000002</c:v>
                </c:pt>
                <c:pt idx="176">
                  <c:v>2.3309999999999977</c:v>
                </c:pt>
                <c:pt idx="177">
                  <c:v>2.1227999999999998</c:v>
                </c:pt>
                <c:pt idx="178">
                  <c:v>2.1244999999999998</c:v>
                </c:pt>
                <c:pt idx="179">
                  <c:v>2.1254</c:v>
                </c:pt>
                <c:pt idx="180">
                  <c:v>2.1349999999999998</c:v>
                </c:pt>
                <c:pt idx="181">
                  <c:v>2.0941000000000001</c:v>
                </c:pt>
                <c:pt idx="182">
                  <c:v>1.9621000000000051</c:v>
                </c:pt>
                <c:pt idx="183">
                  <c:v>1.9553</c:v>
                </c:pt>
                <c:pt idx="184">
                  <c:v>1.9870000000000001</c:v>
                </c:pt>
                <c:pt idx="185">
                  <c:v>2.0087999999999999</c:v>
                </c:pt>
                <c:pt idx="186">
                  <c:v>2.0615000000000001</c:v>
                </c:pt>
                <c:pt idx="187">
                  <c:v>2.1097999999999999</c:v>
                </c:pt>
                <c:pt idx="188">
                  <c:v>2.1368999999999967</c:v>
                </c:pt>
                <c:pt idx="189">
                  <c:v>2.1004</c:v>
                </c:pt>
                <c:pt idx="190">
                  <c:v>2.1313999999999997</c:v>
                </c:pt>
                <c:pt idx="191">
                  <c:v>2.1375999999999999</c:v>
                </c:pt>
                <c:pt idx="192">
                  <c:v>2.1317999999999997</c:v>
                </c:pt>
                <c:pt idx="193">
                  <c:v>2.1766999999999967</c:v>
                </c:pt>
                <c:pt idx="194">
                  <c:v>2.1850999999999998</c:v>
                </c:pt>
                <c:pt idx="195">
                  <c:v>2.2065999999999999</c:v>
                </c:pt>
                <c:pt idx="196">
                  <c:v>2.3079999999999998</c:v>
                </c:pt>
                <c:pt idx="197">
                  <c:v>2.5727999999999978</c:v>
                </c:pt>
              </c:numCache>
            </c:numRef>
          </c:val>
        </c:ser>
        <c:ser>
          <c:idx val="1"/>
          <c:order val="1"/>
          <c:tx>
            <c:strRef>
              <c:f>Sheet1!$C$1:$C$2</c:f>
              <c:strCache>
                <c:ptCount val="1"/>
                <c:pt idx="0">
                  <c:v>银行间同业拆借加权利率:7天 日</c:v>
                </c:pt>
              </c:strCache>
            </c:strRef>
          </c:tx>
          <c:marker>
            <c:symbol val="none"/>
          </c:marker>
          <c:cat>
            <c:numRef>
              <c:f>Sheet1!$A$3:$A$200</c:f>
              <c:numCache>
                <c:formatCode>yyyy\-mm\-dd;@</c:formatCode>
                <c:ptCount val="198"/>
                <c:pt idx="0">
                  <c:v>41565</c:v>
                </c:pt>
                <c:pt idx="1">
                  <c:v>41564</c:v>
                </c:pt>
                <c:pt idx="2">
                  <c:v>41563</c:v>
                </c:pt>
                <c:pt idx="3">
                  <c:v>41562</c:v>
                </c:pt>
                <c:pt idx="4">
                  <c:v>41561</c:v>
                </c:pt>
                <c:pt idx="5">
                  <c:v>41559</c:v>
                </c:pt>
                <c:pt idx="6">
                  <c:v>41558</c:v>
                </c:pt>
                <c:pt idx="7">
                  <c:v>41557</c:v>
                </c:pt>
                <c:pt idx="8">
                  <c:v>41556</c:v>
                </c:pt>
                <c:pt idx="9">
                  <c:v>41555</c:v>
                </c:pt>
                <c:pt idx="10">
                  <c:v>41547</c:v>
                </c:pt>
                <c:pt idx="11">
                  <c:v>41546</c:v>
                </c:pt>
                <c:pt idx="12">
                  <c:v>41544</c:v>
                </c:pt>
                <c:pt idx="13">
                  <c:v>41543</c:v>
                </c:pt>
                <c:pt idx="14">
                  <c:v>41542</c:v>
                </c:pt>
                <c:pt idx="15">
                  <c:v>41541</c:v>
                </c:pt>
                <c:pt idx="16">
                  <c:v>41540</c:v>
                </c:pt>
                <c:pt idx="17">
                  <c:v>41539</c:v>
                </c:pt>
                <c:pt idx="18">
                  <c:v>41535</c:v>
                </c:pt>
                <c:pt idx="19">
                  <c:v>41534</c:v>
                </c:pt>
                <c:pt idx="20">
                  <c:v>41533</c:v>
                </c:pt>
                <c:pt idx="21">
                  <c:v>41530</c:v>
                </c:pt>
                <c:pt idx="22">
                  <c:v>41529</c:v>
                </c:pt>
                <c:pt idx="23">
                  <c:v>41528</c:v>
                </c:pt>
                <c:pt idx="24">
                  <c:v>41527</c:v>
                </c:pt>
                <c:pt idx="25">
                  <c:v>41526</c:v>
                </c:pt>
                <c:pt idx="26">
                  <c:v>41523</c:v>
                </c:pt>
                <c:pt idx="27">
                  <c:v>41522</c:v>
                </c:pt>
                <c:pt idx="28">
                  <c:v>41521</c:v>
                </c:pt>
                <c:pt idx="29">
                  <c:v>41520</c:v>
                </c:pt>
                <c:pt idx="30">
                  <c:v>41519</c:v>
                </c:pt>
                <c:pt idx="31">
                  <c:v>41516</c:v>
                </c:pt>
                <c:pt idx="32">
                  <c:v>41515</c:v>
                </c:pt>
                <c:pt idx="33">
                  <c:v>41514</c:v>
                </c:pt>
                <c:pt idx="34">
                  <c:v>41513</c:v>
                </c:pt>
                <c:pt idx="35">
                  <c:v>41512</c:v>
                </c:pt>
                <c:pt idx="36">
                  <c:v>41509</c:v>
                </c:pt>
                <c:pt idx="37">
                  <c:v>41508</c:v>
                </c:pt>
                <c:pt idx="38">
                  <c:v>41507</c:v>
                </c:pt>
                <c:pt idx="39">
                  <c:v>41506</c:v>
                </c:pt>
                <c:pt idx="40">
                  <c:v>41505</c:v>
                </c:pt>
                <c:pt idx="41">
                  <c:v>41502</c:v>
                </c:pt>
                <c:pt idx="42">
                  <c:v>41501</c:v>
                </c:pt>
                <c:pt idx="43">
                  <c:v>41500</c:v>
                </c:pt>
                <c:pt idx="44">
                  <c:v>41499</c:v>
                </c:pt>
                <c:pt idx="45">
                  <c:v>41498</c:v>
                </c:pt>
                <c:pt idx="46">
                  <c:v>41495</c:v>
                </c:pt>
                <c:pt idx="47">
                  <c:v>41494</c:v>
                </c:pt>
                <c:pt idx="48">
                  <c:v>41493</c:v>
                </c:pt>
                <c:pt idx="49">
                  <c:v>41492</c:v>
                </c:pt>
                <c:pt idx="50">
                  <c:v>41491</c:v>
                </c:pt>
                <c:pt idx="51">
                  <c:v>41488</c:v>
                </c:pt>
                <c:pt idx="52">
                  <c:v>41487</c:v>
                </c:pt>
                <c:pt idx="53">
                  <c:v>41486</c:v>
                </c:pt>
                <c:pt idx="54">
                  <c:v>41485</c:v>
                </c:pt>
                <c:pt idx="55">
                  <c:v>41484</c:v>
                </c:pt>
                <c:pt idx="56">
                  <c:v>41481</c:v>
                </c:pt>
                <c:pt idx="57">
                  <c:v>41480</c:v>
                </c:pt>
                <c:pt idx="58">
                  <c:v>41479</c:v>
                </c:pt>
                <c:pt idx="59">
                  <c:v>41478</c:v>
                </c:pt>
                <c:pt idx="60">
                  <c:v>41477</c:v>
                </c:pt>
                <c:pt idx="61">
                  <c:v>41474</c:v>
                </c:pt>
                <c:pt idx="62">
                  <c:v>41473</c:v>
                </c:pt>
                <c:pt idx="63">
                  <c:v>41472</c:v>
                </c:pt>
                <c:pt idx="64">
                  <c:v>41471</c:v>
                </c:pt>
                <c:pt idx="65">
                  <c:v>41470</c:v>
                </c:pt>
                <c:pt idx="66">
                  <c:v>41467</c:v>
                </c:pt>
                <c:pt idx="67">
                  <c:v>41466</c:v>
                </c:pt>
                <c:pt idx="68">
                  <c:v>41465</c:v>
                </c:pt>
                <c:pt idx="69">
                  <c:v>41464</c:v>
                </c:pt>
                <c:pt idx="70">
                  <c:v>41463</c:v>
                </c:pt>
                <c:pt idx="71">
                  <c:v>41460</c:v>
                </c:pt>
                <c:pt idx="72">
                  <c:v>41459</c:v>
                </c:pt>
                <c:pt idx="73">
                  <c:v>41458</c:v>
                </c:pt>
                <c:pt idx="74">
                  <c:v>41457</c:v>
                </c:pt>
                <c:pt idx="75">
                  <c:v>41456</c:v>
                </c:pt>
                <c:pt idx="76">
                  <c:v>41453</c:v>
                </c:pt>
                <c:pt idx="77">
                  <c:v>41452</c:v>
                </c:pt>
                <c:pt idx="78">
                  <c:v>41451</c:v>
                </c:pt>
                <c:pt idx="79">
                  <c:v>41450</c:v>
                </c:pt>
                <c:pt idx="80">
                  <c:v>41449</c:v>
                </c:pt>
                <c:pt idx="81">
                  <c:v>41446</c:v>
                </c:pt>
                <c:pt idx="82">
                  <c:v>41445</c:v>
                </c:pt>
                <c:pt idx="83">
                  <c:v>41444</c:v>
                </c:pt>
                <c:pt idx="84">
                  <c:v>41443</c:v>
                </c:pt>
                <c:pt idx="85">
                  <c:v>41442</c:v>
                </c:pt>
                <c:pt idx="86">
                  <c:v>41439</c:v>
                </c:pt>
                <c:pt idx="87">
                  <c:v>41438</c:v>
                </c:pt>
                <c:pt idx="88">
                  <c:v>41434</c:v>
                </c:pt>
                <c:pt idx="89">
                  <c:v>41433</c:v>
                </c:pt>
                <c:pt idx="90">
                  <c:v>41432</c:v>
                </c:pt>
                <c:pt idx="91">
                  <c:v>41431</c:v>
                </c:pt>
                <c:pt idx="92">
                  <c:v>41430</c:v>
                </c:pt>
                <c:pt idx="93">
                  <c:v>41429</c:v>
                </c:pt>
                <c:pt idx="94">
                  <c:v>41428</c:v>
                </c:pt>
                <c:pt idx="95">
                  <c:v>41425</c:v>
                </c:pt>
                <c:pt idx="96">
                  <c:v>41424</c:v>
                </c:pt>
                <c:pt idx="97">
                  <c:v>41423</c:v>
                </c:pt>
                <c:pt idx="98">
                  <c:v>41422</c:v>
                </c:pt>
                <c:pt idx="99">
                  <c:v>41421</c:v>
                </c:pt>
                <c:pt idx="100">
                  <c:v>41418</c:v>
                </c:pt>
                <c:pt idx="101">
                  <c:v>41417</c:v>
                </c:pt>
                <c:pt idx="102">
                  <c:v>41416</c:v>
                </c:pt>
                <c:pt idx="103">
                  <c:v>41415</c:v>
                </c:pt>
                <c:pt idx="104">
                  <c:v>41414</c:v>
                </c:pt>
                <c:pt idx="105">
                  <c:v>41411</c:v>
                </c:pt>
                <c:pt idx="106">
                  <c:v>41410</c:v>
                </c:pt>
                <c:pt idx="107">
                  <c:v>41409</c:v>
                </c:pt>
                <c:pt idx="108">
                  <c:v>41408</c:v>
                </c:pt>
                <c:pt idx="109">
                  <c:v>41407</c:v>
                </c:pt>
                <c:pt idx="110">
                  <c:v>41404</c:v>
                </c:pt>
                <c:pt idx="111">
                  <c:v>41403</c:v>
                </c:pt>
                <c:pt idx="112">
                  <c:v>41402</c:v>
                </c:pt>
                <c:pt idx="113">
                  <c:v>41401</c:v>
                </c:pt>
                <c:pt idx="114">
                  <c:v>41400</c:v>
                </c:pt>
                <c:pt idx="115">
                  <c:v>41397</c:v>
                </c:pt>
                <c:pt idx="116">
                  <c:v>41396</c:v>
                </c:pt>
                <c:pt idx="117">
                  <c:v>41392</c:v>
                </c:pt>
                <c:pt idx="118">
                  <c:v>41391</c:v>
                </c:pt>
                <c:pt idx="119">
                  <c:v>41390</c:v>
                </c:pt>
                <c:pt idx="120">
                  <c:v>41389</c:v>
                </c:pt>
                <c:pt idx="121">
                  <c:v>41388</c:v>
                </c:pt>
                <c:pt idx="122">
                  <c:v>41387</c:v>
                </c:pt>
                <c:pt idx="123">
                  <c:v>41386</c:v>
                </c:pt>
                <c:pt idx="124">
                  <c:v>41383</c:v>
                </c:pt>
                <c:pt idx="125">
                  <c:v>41382</c:v>
                </c:pt>
                <c:pt idx="126">
                  <c:v>41381</c:v>
                </c:pt>
                <c:pt idx="127">
                  <c:v>41380</c:v>
                </c:pt>
                <c:pt idx="128">
                  <c:v>41379</c:v>
                </c:pt>
                <c:pt idx="129">
                  <c:v>41376</c:v>
                </c:pt>
                <c:pt idx="130">
                  <c:v>41375</c:v>
                </c:pt>
                <c:pt idx="131">
                  <c:v>41374</c:v>
                </c:pt>
                <c:pt idx="132">
                  <c:v>41373</c:v>
                </c:pt>
                <c:pt idx="133">
                  <c:v>41372</c:v>
                </c:pt>
                <c:pt idx="134">
                  <c:v>41371</c:v>
                </c:pt>
                <c:pt idx="135">
                  <c:v>41367</c:v>
                </c:pt>
                <c:pt idx="136">
                  <c:v>41366</c:v>
                </c:pt>
                <c:pt idx="137">
                  <c:v>41365</c:v>
                </c:pt>
                <c:pt idx="138">
                  <c:v>41362</c:v>
                </c:pt>
                <c:pt idx="139">
                  <c:v>41361</c:v>
                </c:pt>
                <c:pt idx="140">
                  <c:v>41360</c:v>
                </c:pt>
                <c:pt idx="141">
                  <c:v>41359</c:v>
                </c:pt>
                <c:pt idx="142">
                  <c:v>41358</c:v>
                </c:pt>
                <c:pt idx="143">
                  <c:v>41355</c:v>
                </c:pt>
                <c:pt idx="144">
                  <c:v>41354</c:v>
                </c:pt>
                <c:pt idx="145">
                  <c:v>41353</c:v>
                </c:pt>
                <c:pt idx="146">
                  <c:v>41352</c:v>
                </c:pt>
                <c:pt idx="147">
                  <c:v>41351</c:v>
                </c:pt>
                <c:pt idx="148">
                  <c:v>41348</c:v>
                </c:pt>
                <c:pt idx="149">
                  <c:v>41347</c:v>
                </c:pt>
                <c:pt idx="150">
                  <c:v>41346</c:v>
                </c:pt>
                <c:pt idx="151">
                  <c:v>41345</c:v>
                </c:pt>
                <c:pt idx="152">
                  <c:v>41344</c:v>
                </c:pt>
                <c:pt idx="153">
                  <c:v>41341</c:v>
                </c:pt>
                <c:pt idx="154">
                  <c:v>41340</c:v>
                </c:pt>
                <c:pt idx="155">
                  <c:v>41339</c:v>
                </c:pt>
                <c:pt idx="156">
                  <c:v>41338</c:v>
                </c:pt>
                <c:pt idx="157">
                  <c:v>41337</c:v>
                </c:pt>
                <c:pt idx="158">
                  <c:v>41334</c:v>
                </c:pt>
                <c:pt idx="159">
                  <c:v>41333</c:v>
                </c:pt>
                <c:pt idx="160">
                  <c:v>41332</c:v>
                </c:pt>
                <c:pt idx="161">
                  <c:v>41331</c:v>
                </c:pt>
                <c:pt idx="162">
                  <c:v>41330</c:v>
                </c:pt>
                <c:pt idx="163">
                  <c:v>41327</c:v>
                </c:pt>
                <c:pt idx="164">
                  <c:v>41326</c:v>
                </c:pt>
                <c:pt idx="165">
                  <c:v>41325</c:v>
                </c:pt>
                <c:pt idx="166">
                  <c:v>41324</c:v>
                </c:pt>
                <c:pt idx="167">
                  <c:v>41323</c:v>
                </c:pt>
                <c:pt idx="168">
                  <c:v>41322</c:v>
                </c:pt>
                <c:pt idx="169">
                  <c:v>41321</c:v>
                </c:pt>
                <c:pt idx="170">
                  <c:v>41313</c:v>
                </c:pt>
                <c:pt idx="171">
                  <c:v>41312</c:v>
                </c:pt>
                <c:pt idx="172">
                  <c:v>41311</c:v>
                </c:pt>
                <c:pt idx="173">
                  <c:v>41310</c:v>
                </c:pt>
                <c:pt idx="174">
                  <c:v>41309</c:v>
                </c:pt>
                <c:pt idx="175">
                  <c:v>41306</c:v>
                </c:pt>
                <c:pt idx="176">
                  <c:v>41305</c:v>
                </c:pt>
                <c:pt idx="177">
                  <c:v>41304</c:v>
                </c:pt>
                <c:pt idx="178">
                  <c:v>41303</c:v>
                </c:pt>
                <c:pt idx="179">
                  <c:v>41302</c:v>
                </c:pt>
                <c:pt idx="180">
                  <c:v>41299</c:v>
                </c:pt>
                <c:pt idx="181">
                  <c:v>41298</c:v>
                </c:pt>
                <c:pt idx="182">
                  <c:v>41297</c:v>
                </c:pt>
                <c:pt idx="183">
                  <c:v>41296</c:v>
                </c:pt>
                <c:pt idx="184">
                  <c:v>41295</c:v>
                </c:pt>
                <c:pt idx="185">
                  <c:v>41292</c:v>
                </c:pt>
                <c:pt idx="186">
                  <c:v>41291</c:v>
                </c:pt>
                <c:pt idx="187">
                  <c:v>41290</c:v>
                </c:pt>
                <c:pt idx="188">
                  <c:v>41289</c:v>
                </c:pt>
                <c:pt idx="189">
                  <c:v>41288</c:v>
                </c:pt>
                <c:pt idx="190">
                  <c:v>41285</c:v>
                </c:pt>
                <c:pt idx="191">
                  <c:v>41284</c:v>
                </c:pt>
                <c:pt idx="192">
                  <c:v>41283</c:v>
                </c:pt>
                <c:pt idx="193">
                  <c:v>41282</c:v>
                </c:pt>
                <c:pt idx="194">
                  <c:v>41281</c:v>
                </c:pt>
                <c:pt idx="195">
                  <c:v>41280</c:v>
                </c:pt>
                <c:pt idx="196">
                  <c:v>41279</c:v>
                </c:pt>
                <c:pt idx="197">
                  <c:v>41278</c:v>
                </c:pt>
              </c:numCache>
            </c:numRef>
          </c:cat>
          <c:val>
            <c:numRef>
              <c:f>Sheet1!$C$3:$C$200</c:f>
              <c:numCache>
                <c:formatCode>###,###,###,###,##0.0000_ </c:formatCode>
                <c:ptCount val="198"/>
                <c:pt idx="0">
                  <c:v>3.7014999999999998</c:v>
                </c:pt>
                <c:pt idx="1">
                  <c:v>3.4164999999999872</c:v>
                </c:pt>
                <c:pt idx="2">
                  <c:v>3.3663999999999987</c:v>
                </c:pt>
                <c:pt idx="3">
                  <c:v>4.0823999999999998</c:v>
                </c:pt>
                <c:pt idx="4">
                  <c:v>4.0042</c:v>
                </c:pt>
                <c:pt idx="5">
                  <c:v>4.2142999999999997</c:v>
                </c:pt>
                <c:pt idx="6">
                  <c:v>4.258</c:v>
                </c:pt>
                <c:pt idx="7">
                  <c:v>4.5744999999999996</c:v>
                </c:pt>
                <c:pt idx="8">
                  <c:v>4.5107999999999997</c:v>
                </c:pt>
                <c:pt idx="9">
                  <c:v>4.5153999999999996</c:v>
                </c:pt>
                <c:pt idx="10">
                  <c:v>4.3956</c:v>
                </c:pt>
                <c:pt idx="11">
                  <c:v>3.8893999999999997</c:v>
                </c:pt>
                <c:pt idx="12">
                  <c:v>4.2028999999999996</c:v>
                </c:pt>
                <c:pt idx="13">
                  <c:v>4.3226999999999975</c:v>
                </c:pt>
                <c:pt idx="14">
                  <c:v>4.6952999999999996</c:v>
                </c:pt>
                <c:pt idx="15">
                  <c:v>4.6964999999999995</c:v>
                </c:pt>
                <c:pt idx="16">
                  <c:v>4.3470999999999975</c:v>
                </c:pt>
                <c:pt idx="17">
                  <c:v>3.9683999999999999</c:v>
                </c:pt>
                <c:pt idx="18">
                  <c:v>3.83509999999999</c:v>
                </c:pt>
                <c:pt idx="19">
                  <c:v>3.7132000000000001</c:v>
                </c:pt>
                <c:pt idx="20">
                  <c:v>3.5952999999999977</c:v>
                </c:pt>
                <c:pt idx="21">
                  <c:v>3.6968999999999967</c:v>
                </c:pt>
                <c:pt idx="22">
                  <c:v>3.6248</c:v>
                </c:pt>
                <c:pt idx="23">
                  <c:v>3.6151</c:v>
                </c:pt>
                <c:pt idx="24">
                  <c:v>3.6852999999999998</c:v>
                </c:pt>
                <c:pt idx="25">
                  <c:v>3.6164999999999967</c:v>
                </c:pt>
                <c:pt idx="26">
                  <c:v>3.5317999999999987</c:v>
                </c:pt>
                <c:pt idx="27">
                  <c:v>3.5147999999999997</c:v>
                </c:pt>
                <c:pt idx="28">
                  <c:v>3.5827999999999998</c:v>
                </c:pt>
                <c:pt idx="29">
                  <c:v>3.7936999999999999</c:v>
                </c:pt>
                <c:pt idx="30">
                  <c:v>3.8021999999999987</c:v>
                </c:pt>
                <c:pt idx="31">
                  <c:v>3.8221999999999987</c:v>
                </c:pt>
                <c:pt idx="32">
                  <c:v>4.3977999999999975</c:v>
                </c:pt>
                <c:pt idx="33">
                  <c:v>4.3156999999999996</c:v>
                </c:pt>
                <c:pt idx="34">
                  <c:v>4.3159999999999945</c:v>
                </c:pt>
                <c:pt idx="35">
                  <c:v>4.1118999999999986</c:v>
                </c:pt>
                <c:pt idx="36">
                  <c:v>4.2174999999999985</c:v>
                </c:pt>
                <c:pt idx="37">
                  <c:v>4.1925999999999846</c:v>
                </c:pt>
                <c:pt idx="38">
                  <c:v>4.3057999999999996</c:v>
                </c:pt>
                <c:pt idx="39">
                  <c:v>4.4934000000000003</c:v>
                </c:pt>
                <c:pt idx="40">
                  <c:v>4.1361999999999997</c:v>
                </c:pt>
                <c:pt idx="41">
                  <c:v>3.8407</c:v>
                </c:pt>
                <c:pt idx="42">
                  <c:v>4.0401999999999996</c:v>
                </c:pt>
                <c:pt idx="43">
                  <c:v>4.0011000000000001</c:v>
                </c:pt>
                <c:pt idx="44">
                  <c:v>3.7770000000000001</c:v>
                </c:pt>
                <c:pt idx="45">
                  <c:v>3.6736</c:v>
                </c:pt>
                <c:pt idx="46">
                  <c:v>3.6692</c:v>
                </c:pt>
                <c:pt idx="47">
                  <c:v>3.7957000000000001</c:v>
                </c:pt>
                <c:pt idx="48">
                  <c:v>3.8945999999999987</c:v>
                </c:pt>
                <c:pt idx="49">
                  <c:v>4.1868999999999996</c:v>
                </c:pt>
                <c:pt idx="50">
                  <c:v>4.4468000000000014</c:v>
                </c:pt>
                <c:pt idx="51">
                  <c:v>4.4364000000000114</c:v>
                </c:pt>
                <c:pt idx="52">
                  <c:v>4.6380999999999997</c:v>
                </c:pt>
                <c:pt idx="53">
                  <c:v>5.0320999999999998</c:v>
                </c:pt>
                <c:pt idx="54">
                  <c:v>5.0130999999999997</c:v>
                </c:pt>
                <c:pt idx="55">
                  <c:v>5.1651999999999845</c:v>
                </c:pt>
                <c:pt idx="56">
                  <c:v>4.7611999999999997</c:v>
                </c:pt>
                <c:pt idx="57">
                  <c:v>4.2424999999999997</c:v>
                </c:pt>
                <c:pt idx="58">
                  <c:v>4.1059999999999945</c:v>
                </c:pt>
                <c:pt idx="59">
                  <c:v>4.0263999999999998</c:v>
                </c:pt>
                <c:pt idx="60">
                  <c:v>3.9819</c:v>
                </c:pt>
                <c:pt idx="61">
                  <c:v>3.9224999999999977</c:v>
                </c:pt>
                <c:pt idx="62">
                  <c:v>3.7412999999999998</c:v>
                </c:pt>
                <c:pt idx="63">
                  <c:v>3.6381999999999999</c:v>
                </c:pt>
                <c:pt idx="64">
                  <c:v>3.7286999999999999</c:v>
                </c:pt>
                <c:pt idx="65">
                  <c:v>3.8420999999999967</c:v>
                </c:pt>
                <c:pt idx="66">
                  <c:v>3.8426999999999967</c:v>
                </c:pt>
                <c:pt idx="67">
                  <c:v>3.8733999999999997</c:v>
                </c:pt>
                <c:pt idx="68">
                  <c:v>3.6840999999999999</c:v>
                </c:pt>
                <c:pt idx="69">
                  <c:v>3.6067</c:v>
                </c:pt>
                <c:pt idx="70">
                  <c:v>3.6913999999999998</c:v>
                </c:pt>
                <c:pt idx="71">
                  <c:v>3.8576999999999977</c:v>
                </c:pt>
                <c:pt idx="72">
                  <c:v>3.9553999999999987</c:v>
                </c:pt>
                <c:pt idx="73">
                  <c:v>4.3205999999999865</c:v>
                </c:pt>
                <c:pt idx="74">
                  <c:v>4.6782000000000004</c:v>
                </c:pt>
                <c:pt idx="75">
                  <c:v>5.4851999999999999</c:v>
                </c:pt>
                <c:pt idx="76">
                  <c:v>6.4633000000000003</c:v>
                </c:pt>
                <c:pt idx="77">
                  <c:v>6.8942999999999985</c:v>
                </c:pt>
                <c:pt idx="78">
                  <c:v>7.2727000000000004</c:v>
                </c:pt>
                <c:pt idx="79">
                  <c:v>7.7587999999999999</c:v>
                </c:pt>
                <c:pt idx="80">
                  <c:v>7.8756000000000004</c:v>
                </c:pt>
                <c:pt idx="81">
                  <c:v>9.2509000000000015</c:v>
                </c:pt>
                <c:pt idx="82">
                  <c:v>12.2521</c:v>
                </c:pt>
                <c:pt idx="83">
                  <c:v>8.1910999999999987</c:v>
                </c:pt>
                <c:pt idx="84">
                  <c:v>6.7465000000000002</c:v>
                </c:pt>
                <c:pt idx="85">
                  <c:v>6.8900999999999986</c:v>
                </c:pt>
                <c:pt idx="86">
                  <c:v>6.9988999999999999</c:v>
                </c:pt>
                <c:pt idx="87">
                  <c:v>6.8408999999999995</c:v>
                </c:pt>
                <c:pt idx="88">
                  <c:v>6.4763000000000224</c:v>
                </c:pt>
                <c:pt idx="89">
                  <c:v>7.6682999999999995</c:v>
                </c:pt>
                <c:pt idx="90">
                  <c:v>6.9935</c:v>
                </c:pt>
                <c:pt idx="91">
                  <c:v>5.6137999999999995</c:v>
                </c:pt>
                <c:pt idx="92">
                  <c:v>4.8943999999999965</c:v>
                </c:pt>
                <c:pt idx="93">
                  <c:v>4.8078999999999965</c:v>
                </c:pt>
                <c:pt idx="94">
                  <c:v>4.7134</c:v>
                </c:pt>
                <c:pt idx="95">
                  <c:v>4.8842999999999996</c:v>
                </c:pt>
                <c:pt idx="96">
                  <c:v>4.2926000000000002</c:v>
                </c:pt>
                <c:pt idx="97">
                  <c:v>3.7338</c:v>
                </c:pt>
                <c:pt idx="98">
                  <c:v>3.5518999999999967</c:v>
                </c:pt>
                <c:pt idx="99">
                  <c:v>4.1417000000000002</c:v>
                </c:pt>
                <c:pt idx="100">
                  <c:v>4.1798999999999999</c:v>
                </c:pt>
                <c:pt idx="101">
                  <c:v>4.3802000000000003</c:v>
                </c:pt>
                <c:pt idx="102">
                  <c:v>4.1332000000000004</c:v>
                </c:pt>
                <c:pt idx="103">
                  <c:v>4.4325000000000001</c:v>
                </c:pt>
                <c:pt idx="104">
                  <c:v>4.3154999999999966</c:v>
                </c:pt>
                <c:pt idx="105">
                  <c:v>3.6833000000000116</c:v>
                </c:pt>
                <c:pt idx="106">
                  <c:v>3.2664</c:v>
                </c:pt>
                <c:pt idx="107">
                  <c:v>2.9326999999999872</c:v>
                </c:pt>
                <c:pt idx="108">
                  <c:v>2.8483000000000001</c:v>
                </c:pt>
                <c:pt idx="109">
                  <c:v>2.9937999999999998</c:v>
                </c:pt>
                <c:pt idx="110">
                  <c:v>3.06</c:v>
                </c:pt>
                <c:pt idx="111">
                  <c:v>3.3171999999999997</c:v>
                </c:pt>
                <c:pt idx="112">
                  <c:v>3.2478000000000002</c:v>
                </c:pt>
                <c:pt idx="113">
                  <c:v>3.2216</c:v>
                </c:pt>
                <c:pt idx="114">
                  <c:v>3.2382</c:v>
                </c:pt>
                <c:pt idx="115">
                  <c:v>3.3024999999999967</c:v>
                </c:pt>
                <c:pt idx="116">
                  <c:v>3.0095000000000001</c:v>
                </c:pt>
                <c:pt idx="117">
                  <c:v>3.0922999999999967</c:v>
                </c:pt>
                <c:pt idx="118">
                  <c:v>3.5223</c:v>
                </c:pt>
                <c:pt idx="119">
                  <c:v>3.6171000000000002</c:v>
                </c:pt>
                <c:pt idx="120">
                  <c:v>5.0368000000000004</c:v>
                </c:pt>
                <c:pt idx="121">
                  <c:v>4.9403000000000024</c:v>
                </c:pt>
                <c:pt idx="122">
                  <c:v>3.7532999999999999</c:v>
                </c:pt>
                <c:pt idx="123">
                  <c:v>3.1789000000000001</c:v>
                </c:pt>
                <c:pt idx="124">
                  <c:v>3.1133000000000002</c:v>
                </c:pt>
                <c:pt idx="125">
                  <c:v>3.0333000000000001</c:v>
                </c:pt>
                <c:pt idx="126">
                  <c:v>3.0265</c:v>
                </c:pt>
                <c:pt idx="127">
                  <c:v>3.1783999999999999</c:v>
                </c:pt>
                <c:pt idx="128">
                  <c:v>3.0604</c:v>
                </c:pt>
                <c:pt idx="129">
                  <c:v>3.1299000000000001</c:v>
                </c:pt>
                <c:pt idx="130">
                  <c:v>3.093</c:v>
                </c:pt>
                <c:pt idx="131">
                  <c:v>3.2143000000000002</c:v>
                </c:pt>
                <c:pt idx="132">
                  <c:v>3.3264999999999967</c:v>
                </c:pt>
                <c:pt idx="133">
                  <c:v>3.3150999999999899</c:v>
                </c:pt>
                <c:pt idx="134">
                  <c:v>3.3313999999999977</c:v>
                </c:pt>
                <c:pt idx="135">
                  <c:v>3.2875000000000116</c:v>
                </c:pt>
                <c:pt idx="136">
                  <c:v>3.5177</c:v>
                </c:pt>
                <c:pt idx="137">
                  <c:v>3.4453999999999998</c:v>
                </c:pt>
                <c:pt idx="138">
                  <c:v>3.5733999999999999</c:v>
                </c:pt>
                <c:pt idx="139">
                  <c:v>3.2206999999999999</c:v>
                </c:pt>
                <c:pt idx="140">
                  <c:v>2.9653</c:v>
                </c:pt>
                <c:pt idx="141">
                  <c:v>3.0992999999999977</c:v>
                </c:pt>
                <c:pt idx="142">
                  <c:v>3.0097</c:v>
                </c:pt>
                <c:pt idx="143">
                  <c:v>3.0762999999999967</c:v>
                </c:pt>
                <c:pt idx="144">
                  <c:v>3.0933999999999999</c:v>
                </c:pt>
                <c:pt idx="145">
                  <c:v>3.3065999999999987</c:v>
                </c:pt>
                <c:pt idx="146">
                  <c:v>2.9944999999999977</c:v>
                </c:pt>
                <c:pt idx="147">
                  <c:v>3.1515</c:v>
                </c:pt>
                <c:pt idx="148">
                  <c:v>3.5434000000000001</c:v>
                </c:pt>
                <c:pt idx="149">
                  <c:v>3.1846999999999999</c:v>
                </c:pt>
                <c:pt idx="150">
                  <c:v>3.0482999999999998</c:v>
                </c:pt>
                <c:pt idx="151">
                  <c:v>3.1269</c:v>
                </c:pt>
                <c:pt idx="152">
                  <c:v>3.0757999999999988</c:v>
                </c:pt>
                <c:pt idx="153">
                  <c:v>2.5493000000000001</c:v>
                </c:pt>
                <c:pt idx="154">
                  <c:v>2.5567999999999977</c:v>
                </c:pt>
                <c:pt idx="155">
                  <c:v>3.0189999999999997</c:v>
                </c:pt>
                <c:pt idx="156">
                  <c:v>3.2443000000000102</c:v>
                </c:pt>
                <c:pt idx="157">
                  <c:v>4.3846999999999996</c:v>
                </c:pt>
                <c:pt idx="158">
                  <c:v>4.4087000000000014</c:v>
                </c:pt>
                <c:pt idx="159">
                  <c:v>4.3971999999999865</c:v>
                </c:pt>
                <c:pt idx="160">
                  <c:v>4.3094999999999999</c:v>
                </c:pt>
                <c:pt idx="161">
                  <c:v>3.8769999999999967</c:v>
                </c:pt>
                <c:pt idx="162">
                  <c:v>3.3214999999999977</c:v>
                </c:pt>
                <c:pt idx="163">
                  <c:v>3.1074999999999999</c:v>
                </c:pt>
                <c:pt idx="164">
                  <c:v>2.9899</c:v>
                </c:pt>
                <c:pt idx="165">
                  <c:v>3.0341999999999998</c:v>
                </c:pt>
                <c:pt idx="166">
                  <c:v>2.992699999999989</c:v>
                </c:pt>
                <c:pt idx="167">
                  <c:v>2.9796999999999967</c:v>
                </c:pt>
                <c:pt idx="168">
                  <c:v>3.0575999999999999</c:v>
                </c:pt>
                <c:pt idx="169">
                  <c:v>2.9185999999999988</c:v>
                </c:pt>
                <c:pt idx="170">
                  <c:v>3.5406</c:v>
                </c:pt>
                <c:pt idx="171">
                  <c:v>4.1860999999999997</c:v>
                </c:pt>
                <c:pt idx="172">
                  <c:v>3.8957999999999977</c:v>
                </c:pt>
                <c:pt idx="173">
                  <c:v>3.7044999999999999</c:v>
                </c:pt>
                <c:pt idx="174">
                  <c:v>3.5965999999999987</c:v>
                </c:pt>
                <c:pt idx="175">
                  <c:v>3.4563999999999977</c:v>
                </c:pt>
                <c:pt idx="176">
                  <c:v>3.3126999999999853</c:v>
                </c:pt>
                <c:pt idx="177">
                  <c:v>3.3073000000000001</c:v>
                </c:pt>
                <c:pt idx="178">
                  <c:v>3.1244000000000001</c:v>
                </c:pt>
                <c:pt idx="179">
                  <c:v>3.0495000000000001</c:v>
                </c:pt>
                <c:pt idx="180">
                  <c:v>2.7421000000000002</c:v>
                </c:pt>
                <c:pt idx="181">
                  <c:v>2.9041000000000001</c:v>
                </c:pt>
                <c:pt idx="182">
                  <c:v>3.0175999999999998</c:v>
                </c:pt>
                <c:pt idx="183">
                  <c:v>3.1534</c:v>
                </c:pt>
                <c:pt idx="184">
                  <c:v>3.0686</c:v>
                </c:pt>
                <c:pt idx="185">
                  <c:v>2.9515999999999987</c:v>
                </c:pt>
                <c:pt idx="186">
                  <c:v>3.0598999999999967</c:v>
                </c:pt>
                <c:pt idx="187">
                  <c:v>2.8734999999999977</c:v>
                </c:pt>
                <c:pt idx="188">
                  <c:v>2.9676</c:v>
                </c:pt>
                <c:pt idx="189">
                  <c:v>2.9064999999999968</c:v>
                </c:pt>
                <c:pt idx="190">
                  <c:v>2.8077000000000001</c:v>
                </c:pt>
                <c:pt idx="191">
                  <c:v>2.9855</c:v>
                </c:pt>
                <c:pt idx="192">
                  <c:v>3.0537999999999998</c:v>
                </c:pt>
                <c:pt idx="193">
                  <c:v>3.2191000000000001</c:v>
                </c:pt>
                <c:pt idx="194">
                  <c:v>3.3079999999999998</c:v>
                </c:pt>
                <c:pt idx="195">
                  <c:v>3.6036000000000001</c:v>
                </c:pt>
                <c:pt idx="196">
                  <c:v>3.8423999999999987</c:v>
                </c:pt>
                <c:pt idx="197">
                  <c:v>4.0872000000000002</c:v>
                </c:pt>
              </c:numCache>
            </c:numRef>
          </c:val>
        </c:ser>
        <c:marker val="1"/>
        <c:axId val="332021760"/>
        <c:axId val="332023296"/>
      </c:lineChart>
      <c:dateAx>
        <c:axId val="332021760"/>
        <c:scaling>
          <c:orientation val="minMax"/>
        </c:scaling>
        <c:axPos val="b"/>
        <c:numFmt formatCode="yyyy\-mm\-dd;@" sourceLinked="1"/>
        <c:tickLblPos val="nextTo"/>
        <c:crossAx val="332023296"/>
        <c:crosses val="autoZero"/>
        <c:auto val="1"/>
        <c:lblOffset val="100"/>
      </c:dateAx>
      <c:valAx>
        <c:axId val="332023296"/>
        <c:scaling>
          <c:orientation val="minMax"/>
        </c:scaling>
        <c:axPos val="l"/>
        <c:majorGridlines/>
        <c:numFmt formatCode="###,###,###,###,##0.0000_ " sourceLinked="1"/>
        <c:tickLblPos val="nextTo"/>
        <c:crossAx val="332021760"/>
        <c:crosses val="autoZero"/>
        <c:crossBetween val="between"/>
      </c:valAx>
    </c:plotArea>
    <c:legend>
      <c:legendPos val="b"/>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zh-CN"/>
  <c:chart>
    <c:plotArea>
      <c:layout/>
      <c:barChart>
        <c:barDir val="col"/>
        <c:grouping val="clustered"/>
        <c:ser>
          <c:idx val="2"/>
          <c:order val="2"/>
          <c:tx>
            <c:strRef>
              <c:f>Sheet1!$D$2</c:f>
              <c:strCache>
                <c:ptCount val="1"/>
                <c:pt idx="0">
                  <c:v>基差</c:v>
                </c:pt>
              </c:strCache>
            </c:strRef>
          </c:tx>
          <c:cat>
            <c:strRef>
              <c:f>Sheet1!$A$3:$A$14</c:f>
              <c:strCache>
                <c:ptCount val="12"/>
                <c:pt idx="0">
                  <c:v>1年央票</c:v>
                </c:pt>
                <c:pt idx="1">
                  <c:v>3年央票</c:v>
                </c:pt>
                <c:pt idx="2">
                  <c:v>1年国债</c:v>
                </c:pt>
                <c:pt idx="3">
                  <c:v>3年国债</c:v>
                </c:pt>
                <c:pt idx="4">
                  <c:v>5年国债</c:v>
                </c:pt>
                <c:pt idx="5">
                  <c:v>7年国债</c:v>
                </c:pt>
                <c:pt idx="6">
                  <c:v>10年国债</c:v>
                </c:pt>
                <c:pt idx="7">
                  <c:v>1年金融债</c:v>
                </c:pt>
                <c:pt idx="8">
                  <c:v>3年金融债</c:v>
                </c:pt>
                <c:pt idx="9">
                  <c:v>5年金融债</c:v>
                </c:pt>
                <c:pt idx="10">
                  <c:v>7年金融债</c:v>
                </c:pt>
                <c:pt idx="11">
                  <c:v>10年金融债</c:v>
                </c:pt>
              </c:strCache>
            </c:strRef>
          </c:cat>
          <c:val>
            <c:numRef>
              <c:f>Sheet1!$D$3:$D$14</c:f>
              <c:numCache>
                <c:formatCode>General</c:formatCode>
                <c:ptCount val="12"/>
                <c:pt idx="0">
                  <c:v>-3.9999999999995595E-2</c:v>
                </c:pt>
                <c:pt idx="1">
                  <c:v>1.0000000000000231</c:v>
                </c:pt>
                <c:pt idx="2">
                  <c:v>-8.78000000000001</c:v>
                </c:pt>
                <c:pt idx="3">
                  <c:v>-4.6600000000000081</c:v>
                </c:pt>
                <c:pt idx="4">
                  <c:v>-4.9999999999999822</c:v>
                </c:pt>
                <c:pt idx="5">
                  <c:v>-1.820000000000022</c:v>
                </c:pt>
                <c:pt idx="6">
                  <c:v>-3.9200000000000141</c:v>
                </c:pt>
                <c:pt idx="7">
                  <c:v>3.4999999999999227</c:v>
                </c:pt>
                <c:pt idx="8">
                  <c:v>15.410000000000002</c:v>
                </c:pt>
                <c:pt idx="9">
                  <c:v>12.430000000000001</c:v>
                </c:pt>
                <c:pt idx="10">
                  <c:v>8.0699999999999665</c:v>
                </c:pt>
                <c:pt idx="11">
                  <c:v>8.2799999999999763</c:v>
                </c:pt>
              </c:numCache>
            </c:numRef>
          </c:val>
        </c:ser>
        <c:axId val="332045696"/>
        <c:axId val="332051584"/>
      </c:barChart>
      <c:lineChart>
        <c:grouping val="standard"/>
        <c:ser>
          <c:idx val="0"/>
          <c:order val="0"/>
          <c:tx>
            <c:strRef>
              <c:f>Sheet1!$B$2</c:f>
              <c:strCache>
                <c:ptCount val="1"/>
                <c:pt idx="0">
                  <c:v>2013/8/30收益率（%）</c:v>
                </c:pt>
              </c:strCache>
            </c:strRef>
          </c:tx>
          <c:val>
            <c:numRef>
              <c:f>Sheet1!$B$3:$B$14</c:f>
              <c:numCache>
                <c:formatCode>General</c:formatCode>
                <c:ptCount val="12"/>
                <c:pt idx="0">
                  <c:v>3.7504</c:v>
                </c:pt>
                <c:pt idx="1">
                  <c:v>3.7709999999999999</c:v>
                </c:pt>
                <c:pt idx="2">
                  <c:v>3.6478000000000002</c:v>
                </c:pt>
                <c:pt idx="3">
                  <c:v>3.8465999999999987</c:v>
                </c:pt>
                <c:pt idx="4">
                  <c:v>3.94</c:v>
                </c:pt>
                <c:pt idx="5">
                  <c:v>4.0082000000000004</c:v>
                </c:pt>
                <c:pt idx="6">
                  <c:v>4.04</c:v>
                </c:pt>
                <c:pt idx="7">
                  <c:v>4.4766000000000137</c:v>
                </c:pt>
                <c:pt idx="8">
                  <c:v>4.5583</c:v>
                </c:pt>
                <c:pt idx="9">
                  <c:v>4.6303999999999998</c:v>
                </c:pt>
                <c:pt idx="10">
                  <c:v>4.7300000000000004</c:v>
                </c:pt>
                <c:pt idx="11">
                  <c:v>4.7472000000000003</c:v>
                </c:pt>
              </c:numCache>
            </c:numRef>
          </c:val>
        </c:ser>
        <c:ser>
          <c:idx val="1"/>
          <c:order val="1"/>
          <c:tx>
            <c:strRef>
              <c:f>Sheet1!$C$2</c:f>
              <c:strCache>
                <c:ptCount val="1"/>
                <c:pt idx="0">
                  <c:v>2013/9/30收益率（%）</c:v>
                </c:pt>
              </c:strCache>
            </c:strRef>
          </c:tx>
          <c:val>
            <c:numRef>
              <c:f>Sheet1!$C$3:$C$14</c:f>
              <c:numCache>
                <c:formatCode>General</c:formatCode>
                <c:ptCount val="12"/>
                <c:pt idx="0">
                  <c:v>3.75</c:v>
                </c:pt>
                <c:pt idx="1">
                  <c:v>3.7810000000000001</c:v>
                </c:pt>
                <c:pt idx="2">
                  <c:v>3.56</c:v>
                </c:pt>
                <c:pt idx="3">
                  <c:v>3.8</c:v>
                </c:pt>
                <c:pt idx="4">
                  <c:v>3.8899999999999997</c:v>
                </c:pt>
                <c:pt idx="5">
                  <c:v>3.9899999999999998</c:v>
                </c:pt>
                <c:pt idx="6">
                  <c:v>4.0007999999999999</c:v>
                </c:pt>
                <c:pt idx="7">
                  <c:v>4.5115999999999996</c:v>
                </c:pt>
                <c:pt idx="8">
                  <c:v>4.7123999999999997</c:v>
                </c:pt>
                <c:pt idx="9">
                  <c:v>4.7546999999999997</c:v>
                </c:pt>
                <c:pt idx="10">
                  <c:v>4.8106999999999998</c:v>
                </c:pt>
                <c:pt idx="11">
                  <c:v>4.83</c:v>
                </c:pt>
              </c:numCache>
            </c:numRef>
          </c:val>
        </c:ser>
        <c:marker val="1"/>
        <c:axId val="332071296"/>
        <c:axId val="332053120"/>
      </c:lineChart>
      <c:catAx>
        <c:axId val="332045696"/>
        <c:scaling>
          <c:orientation val="minMax"/>
        </c:scaling>
        <c:axPos val="b"/>
        <c:tickLblPos val="low"/>
        <c:crossAx val="332051584"/>
        <c:crosses val="autoZero"/>
        <c:auto val="1"/>
        <c:lblAlgn val="ctr"/>
        <c:lblOffset val="100"/>
      </c:catAx>
      <c:valAx>
        <c:axId val="332051584"/>
        <c:scaling>
          <c:orientation val="minMax"/>
        </c:scaling>
        <c:axPos val="l"/>
        <c:majorGridlines/>
        <c:numFmt formatCode="General" sourceLinked="1"/>
        <c:tickLblPos val="nextTo"/>
        <c:crossAx val="332045696"/>
        <c:crosses val="autoZero"/>
        <c:crossBetween val="between"/>
      </c:valAx>
      <c:valAx>
        <c:axId val="332053120"/>
        <c:scaling>
          <c:orientation val="minMax"/>
        </c:scaling>
        <c:axPos val="r"/>
        <c:numFmt formatCode="General" sourceLinked="1"/>
        <c:tickLblPos val="nextTo"/>
        <c:crossAx val="332071296"/>
        <c:crosses val="max"/>
        <c:crossBetween val="between"/>
      </c:valAx>
      <c:catAx>
        <c:axId val="332071296"/>
        <c:scaling>
          <c:orientation val="minMax"/>
        </c:scaling>
        <c:delete val="1"/>
        <c:axPos val="b"/>
        <c:tickLblPos val="none"/>
        <c:crossAx val="332053120"/>
        <c:crosses val="autoZero"/>
        <c:auto val="1"/>
        <c:lblAlgn val="ctr"/>
        <c:lblOffset val="100"/>
      </c:catAx>
    </c:plotArea>
    <c:legend>
      <c:legendPos val="b"/>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zh-CN"/>
  <c:chart>
    <c:plotArea>
      <c:layout/>
      <c:barChart>
        <c:barDir val="col"/>
        <c:grouping val="clustered"/>
        <c:ser>
          <c:idx val="0"/>
          <c:order val="0"/>
          <c:tx>
            <c:strRef>
              <c:f>Sheet3!$I$3</c:f>
              <c:strCache>
                <c:ptCount val="1"/>
                <c:pt idx="0">
                  <c:v>1年期短融</c:v>
                </c:pt>
              </c:strCache>
            </c:strRef>
          </c:tx>
          <c:cat>
            <c:strRef>
              <c:f>Sheet3!$H$4:$H$8</c:f>
              <c:strCache>
                <c:ptCount val="5"/>
                <c:pt idx="0">
                  <c:v>AAA+</c:v>
                </c:pt>
                <c:pt idx="1">
                  <c:v>AAA</c:v>
                </c:pt>
                <c:pt idx="2">
                  <c:v>AA+</c:v>
                </c:pt>
                <c:pt idx="3">
                  <c:v>AA</c:v>
                </c:pt>
                <c:pt idx="4">
                  <c:v>AA-</c:v>
                </c:pt>
              </c:strCache>
            </c:strRef>
          </c:cat>
          <c:val>
            <c:numRef>
              <c:f>Sheet3!$I$4:$I$8</c:f>
              <c:numCache>
                <c:formatCode>General</c:formatCode>
                <c:ptCount val="5"/>
                <c:pt idx="0">
                  <c:v>11.000000000000032</c:v>
                </c:pt>
                <c:pt idx="1">
                  <c:v>14.180000000000001</c:v>
                </c:pt>
                <c:pt idx="2">
                  <c:v>-0.68999999999999062</c:v>
                </c:pt>
                <c:pt idx="3">
                  <c:v>-2.970000000000006</c:v>
                </c:pt>
                <c:pt idx="4">
                  <c:v>73.290000000000077</c:v>
                </c:pt>
              </c:numCache>
            </c:numRef>
          </c:val>
        </c:ser>
        <c:ser>
          <c:idx val="1"/>
          <c:order val="1"/>
          <c:tx>
            <c:strRef>
              <c:f>Sheet3!$J$3</c:f>
              <c:strCache>
                <c:ptCount val="1"/>
                <c:pt idx="0">
                  <c:v>3年期中票</c:v>
                </c:pt>
              </c:strCache>
            </c:strRef>
          </c:tx>
          <c:cat>
            <c:strRef>
              <c:f>Sheet3!$H$4:$H$8</c:f>
              <c:strCache>
                <c:ptCount val="5"/>
                <c:pt idx="0">
                  <c:v>AAA+</c:v>
                </c:pt>
                <c:pt idx="1">
                  <c:v>AAA</c:v>
                </c:pt>
                <c:pt idx="2">
                  <c:v>AA+</c:v>
                </c:pt>
                <c:pt idx="3">
                  <c:v>AA</c:v>
                </c:pt>
                <c:pt idx="4">
                  <c:v>AA-</c:v>
                </c:pt>
              </c:strCache>
            </c:strRef>
          </c:cat>
          <c:val>
            <c:numRef>
              <c:f>Sheet3!$J$4:$J$8</c:f>
              <c:numCache>
                <c:formatCode>General</c:formatCode>
                <c:ptCount val="5"/>
                <c:pt idx="0">
                  <c:v>13.479999999999974</c:v>
                </c:pt>
                <c:pt idx="1">
                  <c:v>3.0000000000000249</c:v>
                </c:pt>
                <c:pt idx="2">
                  <c:v>1.349999999999959</c:v>
                </c:pt>
                <c:pt idx="3">
                  <c:v>6.8100000000000271</c:v>
                </c:pt>
                <c:pt idx="4">
                  <c:v>34.15</c:v>
                </c:pt>
              </c:numCache>
            </c:numRef>
          </c:val>
        </c:ser>
        <c:ser>
          <c:idx val="2"/>
          <c:order val="2"/>
          <c:tx>
            <c:strRef>
              <c:f>Sheet3!$K$3</c:f>
              <c:strCache>
                <c:ptCount val="1"/>
                <c:pt idx="0">
                  <c:v>5年期中票</c:v>
                </c:pt>
              </c:strCache>
            </c:strRef>
          </c:tx>
          <c:cat>
            <c:strRef>
              <c:f>Sheet3!$H$4:$H$8</c:f>
              <c:strCache>
                <c:ptCount val="5"/>
                <c:pt idx="0">
                  <c:v>AAA+</c:v>
                </c:pt>
                <c:pt idx="1">
                  <c:v>AAA</c:v>
                </c:pt>
                <c:pt idx="2">
                  <c:v>AA+</c:v>
                </c:pt>
                <c:pt idx="3">
                  <c:v>AA</c:v>
                </c:pt>
                <c:pt idx="4">
                  <c:v>AA-</c:v>
                </c:pt>
              </c:strCache>
            </c:strRef>
          </c:cat>
          <c:val>
            <c:numRef>
              <c:f>Sheet3!$K$4:$K$8</c:f>
              <c:numCache>
                <c:formatCode>General</c:formatCode>
                <c:ptCount val="5"/>
                <c:pt idx="0">
                  <c:v>16.459999999999987</c:v>
                </c:pt>
                <c:pt idx="1">
                  <c:v>8.0699999999999665</c:v>
                </c:pt>
                <c:pt idx="2">
                  <c:v>5.1899999999999835</c:v>
                </c:pt>
                <c:pt idx="3">
                  <c:v>16.000000000000014</c:v>
                </c:pt>
                <c:pt idx="4">
                  <c:v>24.66999999999997</c:v>
                </c:pt>
              </c:numCache>
            </c:numRef>
          </c:val>
        </c:ser>
        <c:axId val="332080256"/>
        <c:axId val="332081792"/>
      </c:barChart>
      <c:catAx>
        <c:axId val="332080256"/>
        <c:scaling>
          <c:orientation val="minMax"/>
        </c:scaling>
        <c:axPos val="b"/>
        <c:tickLblPos val="nextTo"/>
        <c:crossAx val="332081792"/>
        <c:crosses val="autoZero"/>
        <c:auto val="1"/>
        <c:lblAlgn val="ctr"/>
        <c:lblOffset val="100"/>
      </c:catAx>
      <c:valAx>
        <c:axId val="332081792"/>
        <c:scaling>
          <c:orientation val="minMax"/>
        </c:scaling>
        <c:axPos val="l"/>
        <c:majorGridlines/>
        <c:numFmt formatCode="General" sourceLinked="1"/>
        <c:tickLblPos val="nextTo"/>
        <c:crossAx val="332080256"/>
        <c:crosses val="autoZero"/>
        <c:crossBetween val="between"/>
      </c:valAx>
    </c:plotArea>
    <c:legend>
      <c:legendPos val="b"/>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272734033245845"/>
          <c:y val="0.11545626564121364"/>
          <c:w val="0.52032163742690063"/>
          <c:h val="0.78826135105204709"/>
        </c:manualLayout>
      </c:layout>
      <c:pieChart>
        <c:varyColors val="1"/>
        <c:ser>
          <c:idx val="0"/>
          <c:order val="0"/>
          <c:dLbls>
            <c:dLbl>
              <c:idx val="0"/>
              <c:layout>
                <c:manualLayout>
                  <c:x val="4.7777547543399183E-2"/>
                  <c:y val="3.8521115093171486E-2"/>
                </c:manualLayout>
              </c:layout>
              <c:showCatName val="1"/>
              <c:showPercent val="1"/>
            </c:dLbl>
            <c:dLbl>
              <c:idx val="1"/>
              <c:layout>
                <c:manualLayout>
                  <c:x val="1.5791229221347361E-2"/>
                  <c:y val="6.5473899095946433E-2"/>
                </c:manualLayout>
              </c:layout>
              <c:showCatName val="1"/>
              <c:showPercent val="1"/>
            </c:dLbl>
            <c:dLbl>
              <c:idx val="2"/>
              <c:layout>
                <c:manualLayout>
                  <c:x val="3.1461832895888012E-2"/>
                  <c:y val="-4.1624380285797458E-2"/>
                </c:manualLayout>
              </c:layout>
              <c:showCatName val="1"/>
              <c:showPercent val="1"/>
            </c:dLbl>
            <c:dLbl>
              <c:idx val="3"/>
              <c:layout>
                <c:manualLayout>
                  <c:x val="-4.3358158355205602E-2"/>
                  <c:y val="-3.5251531058617676E-2"/>
                </c:manualLayout>
              </c:layout>
              <c:showCatName val="1"/>
              <c:showPercent val="1"/>
            </c:dLbl>
            <c:dLbl>
              <c:idx val="5"/>
              <c:layout>
                <c:manualLayout>
                  <c:x val="4.9400009209375199E-2"/>
                  <c:y val="0"/>
                </c:manualLayout>
              </c:layout>
              <c:showCatName val="1"/>
              <c:showPercent val="1"/>
            </c:dLbl>
            <c:numFmt formatCode="0.00%" sourceLinked="0"/>
            <c:showCatName val="1"/>
            <c:showPercent val="1"/>
            <c:showLeaderLines val="1"/>
          </c:dLbls>
          <c:cat>
            <c:strRef>
              <c:f>Sheet23!$A$1:$F$1</c:f>
              <c:strCache>
                <c:ptCount val="6"/>
                <c:pt idx="0">
                  <c:v>股权投资</c:v>
                </c:pt>
                <c:pt idx="1">
                  <c:v>其他投资</c:v>
                </c:pt>
                <c:pt idx="2">
                  <c:v>权益投资</c:v>
                </c:pt>
                <c:pt idx="3">
                  <c:v>信托贷款</c:v>
                </c:pt>
                <c:pt idx="4">
                  <c:v>证券投资</c:v>
                </c:pt>
                <c:pt idx="5">
                  <c:v>组合投资</c:v>
                </c:pt>
              </c:strCache>
            </c:strRef>
          </c:cat>
          <c:val>
            <c:numRef>
              <c:f>Sheet23!$A$2:$F$2</c:f>
              <c:numCache>
                <c:formatCode>0.00%</c:formatCode>
                <c:ptCount val="6"/>
                <c:pt idx="0">
                  <c:v>0.1183</c:v>
                </c:pt>
                <c:pt idx="1">
                  <c:v>0.10940000000000009</c:v>
                </c:pt>
                <c:pt idx="2">
                  <c:v>0.23469999999999999</c:v>
                </c:pt>
                <c:pt idx="3">
                  <c:v>0.45629999999999998</c:v>
                </c:pt>
                <c:pt idx="4">
                  <c:v>5.6599999999999998E-2</c:v>
                </c:pt>
                <c:pt idx="5">
                  <c:v>2.4799999999999999E-2</c:v>
                </c:pt>
              </c:numCache>
            </c:numRef>
          </c:val>
        </c:ser>
        <c:dLbls>
          <c:showCatName val="1"/>
          <c:showPercent val="1"/>
        </c:dLbls>
        <c:firstSliceAng val="0"/>
      </c:pieChart>
    </c:plotArea>
    <c:plotVisOnly val="1"/>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23750000000000004"/>
          <c:y val="6.25E-2"/>
          <c:w val="0.54166666666666652"/>
          <c:h val="0.90277777777777779"/>
        </c:manualLayout>
      </c:layout>
      <c:pieChart>
        <c:varyColors val="1"/>
        <c:ser>
          <c:idx val="0"/>
          <c:order val="0"/>
          <c:dLbls>
            <c:dLbl>
              <c:idx val="0"/>
              <c:layout>
                <c:manualLayout>
                  <c:x val="-2.7684930008748984E-2"/>
                  <c:y val="-9.9831219014290026E-2"/>
                </c:manualLayout>
              </c:layout>
              <c:showCatName val="1"/>
              <c:showPercent val="1"/>
            </c:dLbl>
            <c:dLbl>
              <c:idx val="1"/>
              <c:layout>
                <c:manualLayout>
                  <c:x val="-0.17475218722659674"/>
                  <c:y val="-2.0815106445027829E-4"/>
                </c:manualLayout>
              </c:layout>
              <c:showCatName val="1"/>
              <c:showPercent val="1"/>
            </c:dLbl>
            <c:dLbl>
              <c:idx val="2"/>
              <c:layout>
                <c:manualLayout>
                  <c:x val="3.6512467191601051E-3"/>
                  <c:y val="2.9016477107028291E-2"/>
                </c:manualLayout>
              </c:layout>
              <c:showCatName val="1"/>
              <c:showPercent val="1"/>
            </c:dLbl>
            <c:dLbl>
              <c:idx val="4"/>
              <c:layout>
                <c:manualLayout>
                  <c:x val="7.9610673665791998E-3"/>
                  <c:y val="2.3148148148148147E-3"/>
                </c:manualLayout>
              </c:layout>
              <c:showCatName val="1"/>
              <c:showPercent val="1"/>
            </c:dLbl>
            <c:numFmt formatCode="0.00%" sourceLinked="0"/>
            <c:showCatName val="1"/>
            <c:showPercent val="1"/>
            <c:showLeaderLines val="1"/>
          </c:dLbls>
          <c:cat>
            <c:strRef>
              <c:f>Sheet22!$A$1:$E$1</c:f>
              <c:strCache>
                <c:ptCount val="5"/>
                <c:pt idx="0">
                  <c:v>工商企业</c:v>
                </c:pt>
                <c:pt idx="1">
                  <c:v>房地产</c:v>
                </c:pt>
                <c:pt idx="2">
                  <c:v>基础设施</c:v>
                </c:pt>
                <c:pt idx="3">
                  <c:v>金融市场</c:v>
                </c:pt>
                <c:pt idx="4">
                  <c:v>其他</c:v>
                </c:pt>
              </c:strCache>
            </c:strRef>
          </c:cat>
          <c:val>
            <c:numRef>
              <c:f>Sheet22!$A$2:$E$2</c:f>
              <c:numCache>
                <c:formatCode>0.00%</c:formatCode>
                <c:ptCount val="5"/>
                <c:pt idx="0">
                  <c:v>0.36420000000000002</c:v>
                </c:pt>
                <c:pt idx="1">
                  <c:v>0.30790000000000134</c:v>
                </c:pt>
                <c:pt idx="2">
                  <c:v>0.16089999999999999</c:v>
                </c:pt>
                <c:pt idx="3">
                  <c:v>6.9200000000000012E-2</c:v>
                </c:pt>
                <c:pt idx="4">
                  <c:v>9.7700000000000023E-2</c:v>
                </c:pt>
              </c:numCache>
            </c:numRef>
          </c:val>
        </c:ser>
        <c:dLbls>
          <c:showCatName val="1"/>
          <c:showPercent val="1"/>
        </c:dLbls>
        <c:firstSliceAng val="0"/>
      </c:pieChart>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strRef>
              <c:f>Sheet1!$B$1:$B$3</c:f>
              <c:strCache>
                <c:ptCount val="1"/>
                <c:pt idx="0">
                  <c:v>汇丰PMI:制造业 月 %</c:v>
                </c:pt>
              </c:strCache>
            </c:strRef>
          </c:tx>
          <c:marker>
            <c:symbol val="none"/>
          </c:marker>
          <c:cat>
            <c:numRef>
              <c:f>Sheet1!$A$4:$A$100</c:f>
              <c:numCache>
                <c:formatCode>yyyy\-mm;@</c:formatCode>
                <c:ptCount val="97"/>
                <c:pt idx="0">
                  <c:v>41547</c:v>
                </c:pt>
                <c:pt idx="1">
                  <c:v>41517</c:v>
                </c:pt>
                <c:pt idx="2">
                  <c:v>41486</c:v>
                </c:pt>
                <c:pt idx="3">
                  <c:v>41455</c:v>
                </c:pt>
                <c:pt idx="4">
                  <c:v>41425</c:v>
                </c:pt>
                <c:pt idx="5">
                  <c:v>41394</c:v>
                </c:pt>
                <c:pt idx="6">
                  <c:v>41364</c:v>
                </c:pt>
                <c:pt idx="7">
                  <c:v>41333</c:v>
                </c:pt>
                <c:pt idx="8">
                  <c:v>41305</c:v>
                </c:pt>
                <c:pt idx="9">
                  <c:v>41274</c:v>
                </c:pt>
                <c:pt idx="10">
                  <c:v>41243</c:v>
                </c:pt>
                <c:pt idx="11">
                  <c:v>41213</c:v>
                </c:pt>
                <c:pt idx="12">
                  <c:v>41182</c:v>
                </c:pt>
                <c:pt idx="13">
                  <c:v>41152</c:v>
                </c:pt>
                <c:pt idx="14">
                  <c:v>41121</c:v>
                </c:pt>
                <c:pt idx="15">
                  <c:v>41090</c:v>
                </c:pt>
                <c:pt idx="16">
                  <c:v>41060</c:v>
                </c:pt>
                <c:pt idx="17">
                  <c:v>41029</c:v>
                </c:pt>
                <c:pt idx="18">
                  <c:v>40999</c:v>
                </c:pt>
                <c:pt idx="19">
                  <c:v>40968</c:v>
                </c:pt>
                <c:pt idx="20">
                  <c:v>40939</c:v>
                </c:pt>
                <c:pt idx="21">
                  <c:v>40908</c:v>
                </c:pt>
                <c:pt idx="22">
                  <c:v>40877</c:v>
                </c:pt>
                <c:pt idx="23">
                  <c:v>40847</c:v>
                </c:pt>
                <c:pt idx="24">
                  <c:v>40816</c:v>
                </c:pt>
                <c:pt idx="25">
                  <c:v>40786</c:v>
                </c:pt>
                <c:pt idx="26">
                  <c:v>40755</c:v>
                </c:pt>
                <c:pt idx="27">
                  <c:v>40724</c:v>
                </c:pt>
                <c:pt idx="28">
                  <c:v>40694</c:v>
                </c:pt>
                <c:pt idx="29">
                  <c:v>40663</c:v>
                </c:pt>
                <c:pt idx="30">
                  <c:v>40633</c:v>
                </c:pt>
                <c:pt idx="31">
                  <c:v>40602</c:v>
                </c:pt>
                <c:pt idx="32">
                  <c:v>40574</c:v>
                </c:pt>
                <c:pt idx="33">
                  <c:v>40543</c:v>
                </c:pt>
                <c:pt idx="34">
                  <c:v>40512</c:v>
                </c:pt>
                <c:pt idx="35">
                  <c:v>40482</c:v>
                </c:pt>
                <c:pt idx="36">
                  <c:v>40451</c:v>
                </c:pt>
                <c:pt idx="37">
                  <c:v>40421</c:v>
                </c:pt>
                <c:pt idx="38">
                  <c:v>40390</c:v>
                </c:pt>
                <c:pt idx="39">
                  <c:v>40359</c:v>
                </c:pt>
                <c:pt idx="40">
                  <c:v>40329</c:v>
                </c:pt>
                <c:pt idx="41">
                  <c:v>40298</c:v>
                </c:pt>
                <c:pt idx="42">
                  <c:v>40268</c:v>
                </c:pt>
                <c:pt idx="43">
                  <c:v>40237</c:v>
                </c:pt>
                <c:pt idx="44">
                  <c:v>40209</c:v>
                </c:pt>
                <c:pt idx="45">
                  <c:v>40178</c:v>
                </c:pt>
                <c:pt idx="46">
                  <c:v>40147</c:v>
                </c:pt>
                <c:pt idx="47">
                  <c:v>40117</c:v>
                </c:pt>
                <c:pt idx="48">
                  <c:v>40086</c:v>
                </c:pt>
                <c:pt idx="49">
                  <c:v>40056</c:v>
                </c:pt>
                <c:pt idx="50">
                  <c:v>40025</c:v>
                </c:pt>
                <c:pt idx="51">
                  <c:v>39994</c:v>
                </c:pt>
                <c:pt idx="52">
                  <c:v>39964</c:v>
                </c:pt>
                <c:pt idx="53">
                  <c:v>39933</c:v>
                </c:pt>
                <c:pt idx="54">
                  <c:v>39903</c:v>
                </c:pt>
                <c:pt idx="55">
                  <c:v>39872</c:v>
                </c:pt>
                <c:pt idx="56">
                  <c:v>39844</c:v>
                </c:pt>
                <c:pt idx="57">
                  <c:v>39813</c:v>
                </c:pt>
                <c:pt idx="58">
                  <c:v>39782</c:v>
                </c:pt>
                <c:pt idx="59">
                  <c:v>39752</c:v>
                </c:pt>
                <c:pt idx="60">
                  <c:v>39721</c:v>
                </c:pt>
                <c:pt idx="61">
                  <c:v>39691</c:v>
                </c:pt>
                <c:pt idx="62">
                  <c:v>39660</c:v>
                </c:pt>
                <c:pt idx="63">
                  <c:v>39629</c:v>
                </c:pt>
                <c:pt idx="64">
                  <c:v>39599</c:v>
                </c:pt>
                <c:pt idx="65">
                  <c:v>39568</c:v>
                </c:pt>
                <c:pt idx="66">
                  <c:v>39538</c:v>
                </c:pt>
                <c:pt idx="67">
                  <c:v>39507</c:v>
                </c:pt>
                <c:pt idx="68">
                  <c:v>39478</c:v>
                </c:pt>
                <c:pt idx="69">
                  <c:v>39447</c:v>
                </c:pt>
                <c:pt idx="70">
                  <c:v>39416</c:v>
                </c:pt>
                <c:pt idx="71">
                  <c:v>39386</c:v>
                </c:pt>
                <c:pt idx="72">
                  <c:v>39355</c:v>
                </c:pt>
                <c:pt idx="73">
                  <c:v>39325</c:v>
                </c:pt>
                <c:pt idx="74">
                  <c:v>39294</c:v>
                </c:pt>
                <c:pt idx="75">
                  <c:v>39263</c:v>
                </c:pt>
                <c:pt idx="76">
                  <c:v>39233</c:v>
                </c:pt>
                <c:pt idx="77">
                  <c:v>39202</c:v>
                </c:pt>
                <c:pt idx="78">
                  <c:v>39172</c:v>
                </c:pt>
                <c:pt idx="79">
                  <c:v>39141</c:v>
                </c:pt>
                <c:pt idx="80">
                  <c:v>39113</c:v>
                </c:pt>
                <c:pt idx="81">
                  <c:v>39082</c:v>
                </c:pt>
                <c:pt idx="82">
                  <c:v>39051</c:v>
                </c:pt>
                <c:pt idx="83">
                  <c:v>39021</c:v>
                </c:pt>
                <c:pt idx="84">
                  <c:v>38990</c:v>
                </c:pt>
                <c:pt idx="85">
                  <c:v>38960</c:v>
                </c:pt>
                <c:pt idx="86">
                  <c:v>38929</c:v>
                </c:pt>
                <c:pt idx="87">
                  <c:v>38898</c:v>
                </c:pt>
                <c:pt idx="88">
                  <c:v>38868</c:v>
                </c:pt>
                <c:pt idx="89">
                  <c:v>38837</c:v>
                </c:pt>
                <c:pt idx="90">
                  <c:v>38807</c:v>
                </c:pt>
                <c:pt idx="91">
                  <c:v>38776</c:v>
                </c:pt>
                <c:pt idx="92">
                  <c:v>38748</c:v>
                </c:pt>
                <c:pt idx="93">
                  <c:v>38717</c:v>
                </c:pt>
                <c:pt idx="94">
                  <c:v>38686</c:v>
                </c:pt>
                <c:pt idx="95">
                  <c:v>38656</c:v>
                </c:pt>
                <c:pt idx="96">
                  <c:v>38625</c:v>
                </c:pt>
              </c:numCache>
            </c:numRef>
          </c:cat>
          <c:val>
            <c:numRef>
              <c:f>Sheet1!$B$4:$B$100</c:f>
              <c:numCache>
                <c:formatCode>#,##0.00_ </c:formatCode>
                <c:ptCount val="97"/>
                <c:pt idx="0" formatCode="0.00_ ">
                  <c:v>50.2</c:v>
                </c:pt>
                <c:pt idx="1">
                  <c:v>50.1</c:v>
                </c:pt>
                <c:pt idx="2">
                  <c:v>47.7</c:v>
                </c:pt>
                <c:pt idx="3">
                  <c:v>48.2</c:v>
                </c:pt>
                <c:pt idx="4">
                  <c:v>49.2</c:v>
                </c:pt>
                <c:pt idx="5">
                  <c:v>50.4</c:v>
                </c:pt>
                <c:pt idx="6">
                  <c:v>51.6</c:v>
                </c:pt>
                <c:pt idx="7">
                  <c:v>50.4</c:v>
                </c:pt>
                <c:pt idx="8">
                  <c:v>52.3</c:v>
                </c:pt>
                <c:pt idx="9">
                  <c:v>51.5</c:v>
                </c:pt>
                <c:pt idx="10">
                  <c:v>50.5</c:v>
                </c:pt>
                <c:pt idx="11">
                  <c:v>49.5</c:v>
                </c:pt>
                <c:pt idx="12">
                  <c:v>47.9</c:v>
                </c:pt>
                <c:pt idx="13">
                  <c:v>47.6</c:v>
                </c:pt>
                <c:pt idx="14">
                  <c:v>49.3</c:v>
                </c:pt>
                <c:pt idx="15">
                  <c:v>48.2</c:v>
                </c:pt>
                <c:pt idx="16">
                  <c:v>48.4</c:v>
                </c:pt>
                <c:pt idx="17">
                  <c:v>49.3</c:v>
                </c:pt>
                <c:pt idx="18">
                  <c:v>48.3</c:v>
                </c:pt>
                <c:pt idx="19">
                  <c:v>49.6</c:v>
                </c:pt>
                <c:pt idx="20">
                  <c:v>48.8</c:v>
                </c:pt>
                <c:pt idx="21">
                  <c:v>48.7</c:v>
                </c:pt>
                <c:pt idx="22">
                  <c:v>47.7</c:v>
                </c:pt>
                <c:pt idx="23">
                  <c:v>51</c:v>
                </c:pt>
                <c:pt idx="24">
                  <c:v>49.9</c:v>
                </c:pt>
                <c:pt idx="25">
                  <c:v>49.9</c:v>
                </c:pt>
                <c:pt idx="26">
                  <c:v>49.3</c:v>
                </c:pt>
                <c:pt idx="27">
                  <c:v>50.1</c:v>
                </c:pt>
                <c:pt idx="28">
                  <c:v>51.6</c:v>
                </c:pt>
                <c:pt idx="29">
                  <c:v>51.8</c:v>
                </c:pt>
                <c:pt idx="30">
                  <c:v>51.8</c:v>
                </c:pt>
                <c:pt idx="31">
                  <c:v>51.7</c:v>
                </c:pt>
                <c:pt idx="32">
                  <c:v>54.5</c:v>
                </c:pt>
                <c:pt idx="33">
                  <c:v>54.4</c:v>
                </c:pt>
                <c:pt idx="34">
                  <c:v>55.3</c:v>
                </c:pt>
                <c:pt idx="35">
                  <c:v>54.8</c:v>
                </c:pt>
                <c:pt idx="36">
                  <c:v>52.9</c:v>
                </c:pt>
                <c:pt idx="37">
                  <c:v>51.9</c:v>
                </c:pt>
                <c:pt idx="38">
                  <c:v>49.4</c:v>
                </c:pt>
                <c:pt idx="39">
                  <c:v>50.4</c:v>
                </c:pt>
                <c:pt idx="40">
                  <c:v>52.7</c:v>
                </c:pt>
                <c:pt idx="41">
                  <c:v>55.2</c:v>
                </c:pt>
                <c:pt idx="42">
                  <c:v>57</c:v>
                </c:pt>
                <c:pt idx="43">
                  <c:v>55.8</c:v>
                </c:pt>
                <c:pt idx="44">
                  <c:v>57.4</c:v>
                </c:pt>
                <c:pt idx="45">
                  <c:v>56.1</c:v>
                </c:pt>
                <c:pt idx="46">
                  <c:v>55.7</c:v>
                </c:pt>
                <c:pt idx="47">
                  <c:v>55.4</c:v>
                </c:pt>
                <c:pt idx="48">
                  <c:v>55</c:v>
                </c:pt>
                <c:pt idx="49">
                  <c:v>55.1</c:v>
                </c:pt>
                <c:pt idx="50">
                  <c:v>52.8</c:v>
                </c:pt>
                <c:pt idx="51">
                  <c:v>51.8</c:v>
                </c:pt>
                <c:pt idx="52">
                  <c:v>51.2</c:v>
                </c:pt>
                <c:pt idx="53">
                  <c:v>50.1</c:v>
                </c:pt>
                <c:pt idx="54">
                  <c:v>44.8</c:v>
                </c:pt>
                <c:pt idx="55">
                  <c:v>45.1</c:v>
                </c:pt>
                <c:pt idx="56">
                  <c:v>42.2</c:v>
                </c:pt>
                <c:pt idx="57">
                  <c:v>41.2</c:v>
                </c:pt>
                <c:pt idx="58">
                  <c:v>40.9</c:v>
                </c:pt>
                <c:pt idx="59">
                  <c:v>45.2</c:v>
                </c:pt>
                <c:pt idx="60">
                  <c:v>47.7</c:v>
                </c:pt>
                <c:pt idx="61">
                  <c:v>49.2</c:v>
                </c:pt>
                <c:pt idx="62">
                  <c:v>53.3</c:v>
                </c:pt>
                <c:pt idx="63">
                  <c:v>53.3</c:v>
                </c:pt>
                <c:pt idx="64">
                  <c:v>54.7</c:v>
                </c:pt>
                <c:pt idx="65">
                  <c:v>55.4</c:v>
                </c:pt>
                <c:pt idx="66">
                  <c:v>54.4</c:v>
                </c:pt>
                <c:pt idx="67">
                  <c:v>52.8</c:v>
                </c:pt>
                <c:pt idx="68">
                  <c:v>53.2</c:v>
                </c:pt>
                <c:pt idx="69">
                  <c:v>53.3</c:v>
                </c:pt>
                <c:pt idx="70">
                  <c:v>52.8</c:v>
                </c:pt>
                <c:pt idx="71">
                  <c:v>55.2</c:v>
                </c:pt>
                <c:pt idx="72">
                  <c:v>55</c:v>
                </c:pt>
                <c:pt idx="73">
                  <c:v>53.4</c:v>
                </c:pt>
                <c:pt idx="74">
                  <c:v>53.2</c:v>
                </c:pt>
                <c:pt idx="75">
                  <c:v>55</c:v>
                </c:pt>
                <c:pt idx="76">
                  <c:v>54.1</c:v>
                </c:pt>
                <c:pt idx="77">
                  <c:v>53.3</c:v>
                </c:pt>
                <c:pt idx="78">
                  <c:v>52.3</c:v>
                </c:pt>
                <c:pt idx="79">
                  <c:v>53</c:v>
                </c:pt>
                <c:pt idx="80">
                  <c:v>52</c:v>
                </c:pt>
                <c:pt idx="81">
                  <c:v>52.4</c:v>
                </c:pt>
                <c:pt idx="82">
                  <c:v>53</c:v>
                </c:pt>
                <c:pt idx="83">
                  <c:v>52.1</c:v>
                </c:pt>
                <c:pt idx="84">
                  <c:v>52.4</c:v>
                </c:pt>
                <c:pt idx="85">
                  <c:v>52.6</c:v>
                </c:pt>
                <c:pt idx="86">
                  <c:v>53</c:v>
                </c:pt>
                <c:pt idx="87">
                  <c:v>52.9</c:v>
                </c:pt>
                <c:pt idx="88">
                  <c:v>52.8</c:v>
                </c:pt>
                <c:pt idx="89">
                  <c:v>52.7</c:v>
                </c:pt>
                <c:pt idx="90">
                  <c:v>51</c:v>
                </c:pt>
                <c:pt idx="91">
                  <c:v>50.7</c:v>
                </c:pt>
                <c:pt idx="92">
                  <c:v>50.2</c:v>
                </c:pt>
                <c:pt idx="93">
                  <c:v>50.1</c:v>
                </c:pt>
                <c:pt idx="94">
                  <c:v>49.8</c:v>
                </c:pt>
                <c:pt idx="95">
                  <c:v>50.1</c:v>
                </c:pt>
                <c:pt idx="96">
                  <c:v>50.9</c:v>
                </c:pt>
              </c:numCache>
            </c:numRef>
          </c:val>
        </c:ser>
        <c:ser>
          <c:idx val="1"/>
          <c:order val="1"/>
          <c:tx>
            <c:strRef>
              <c:f>Sheet1!$C$1:$C$3</c:f>
              <c:strCache>
                <c:ptCount val="1"/>
                <c:pt idx="0">
                  <c:v>制造业PMI 月 %</c:v>
                </c:pt>
              </c:strCache>
            </c:strRef>
          </c:tx>
          <c:marker>
            <c:symbol val="none"/>
          </c:marker>
          <c:cat>
            <c:numRef>
              <c:f>Sheet1!$A$4:$A$100</c:f>
              <c:numCache>
                <c:formatCode>yyyy\-mm;@</c:formatCode>
                <c:ptCount val="97"/>
                <c:pt idx="0">
                  <c:v>41547</c:v>
                </c:pt>
                <c:pt idx="1">
                  <c:v>41517</c:v>
                </c:pt>
                <c:pt idx="2">
                  <c:v>41486</c:v>
                </c:pt>
                <c:pt idx="3">
                  <c:v>41455</c:v>
                </c:pt>
                <c:pt idx="4">
                  <c:v>41425</c:v>
                </c:pt>
                <c:pt idx="5">
                  <c:v>41394</c:v>
                </c:pt>
                <c:pt idx="6">
                  <c:v>41364</c:v>
                </c:pt>
                <c:pt idx="7">
                  <c:v>41333</c:v>
                </c:pt>
                <c:pt idx="8">
                  <c:v>41305</c:v>
                </c:pt>
                <c:pt idx="9">
                  <c:v>41274</c:v>
                </c:pt>
                <c:pt idx="10">
                  <c:v>41243</c:v>
                </c:pt>
                <c:pt idx="11">
                  <c:v>41213</c:v>
                </c:pt>
                <c:pt idx="12">
                  <c:v>41182</c:v>
                </c:pt>
                <c:pt idx="13">
                  <c:v>41152</c:v>
                </c:pt>
                <c:pt idx="14">
                  <c:v>41121</c:v>
                </c:pt>
                <c:pt idx="15">
                  <c:v>41090</c:v>
                </c:pt>
                <c:pt idx="16">
                  <c:v>41060</c:v>
                </c:pt>
                <c:pt idx="17">
                  <c:v>41029</c:v>
                </c:pt>
                <c:pt idx="18">
                  <c:v>40999</c:v>
                </c:pt>
                <c:pt idx="19">
                  <c:v>40968</c:v>
                </c:pt>
                <c:pt idx="20">
                  <c:v>40939</c:v>
                </c:pt>
                <c:pt idx="21">
                  <c:v>40908</c:v>
                </c:pt>
                <c:pt idx="22">
                  <c:v>40877</c:v>
                </c:pt>
                <c:pt idx="23">
                  <c:v>40847</c:v>
                </c:pt>
                <c:pt idx="24">
                  <c:v>40816</c:v>
                </c:pt>
                <c:pt idx="25">
                  <c:v>40786</c:v>
                </c:pt>
                <c:pt idx="26">
                  <c:v>40755</c:v>
                </c:pt>
                <c:pt idx="27">
                  <c:v>40724</c:v>
                </c:pt>
                <c:pt idx="28">
                  <c:v>40694</c:v>
                </c:pt>
                <c:pt idx="29">
                  <c:v>40663</c:v>
                </c:pt>
                <c:pt idx="30">
                  <c:v>40633</c:v>
                </c:pt>
                <c:pt idx="31">
                  <c:v>40602</c:v>
                </c:pt>
                <c:pt idx="32">
                  <c:v>40574</c:v>
                </c:pt>
                <c:pt idx="33">
                  <c:v>40543</c:v>
                </c:pt>
                <c:pt idx="34">
                  <c:v>40512</c:v>
                </c:pt>
                <c:pt idx="35">
                  <c:v>40482</c:v>
                </c:pt>
                <c:pt idx="36">
                  <c:v>40451</c:v>
                </c:pt>
                <c:pt idx="37">
                  <c:v>40421</c:v>
                </c:pt>
                <c:pt idx="38">
                  <c:v>40390</c:v>
                </c:pt>
                <c:pt idx="39">
                  <c:v>40359</c:v>
                </c:pt>
                <c:pt idx="40">
                  <c:v>40329</c:v>
                </c:pt>
                <c:pt idx="41">
                  <c:v>40298</c:v>
                </c:pt>
                <c:pt idx="42">
                  <c:v>40268</c:v>
                </c:pt>
                <c:pt idx="43">
                  <c:v>40237</c:v>
                </c:pt>
                <c:pt idx="44">
                  <c:v>40209</c:v>
                </c:pt>
                <c:pt idx="45">
                  <c:v>40178</c:v>
                </c:pt>
                <c:pt idx="46">
                  <c:v>40147</c:v>
                </c:pt>
                <c:pt idx="47">
                  <c:v>40117</c:v>
                </c:pt>
                <c:pt idx="48">
                  <c:v>40086</c:v>
                </c:pt>
                <c:pt idx="49">
                  <c:v>40056</c:v>
                </c:pt>
                <c:pt idx="50">
                  <c:v>40025</c:v>
                </c:pt>
                <c:pt idx="51">
                  <c:v>39994</c:v>
                </c:pt>
                <c:pt idx="52">
                  <c:v>39964</c:v>
                </c:pt>
                <c:pt idx="53">
                  <c:v>39933</c:v>
                </c:pt>
                <c:pt idx="54">
                  <c:v>39903</c:v>
                </c:pt>
                <c:pt idx="55">
                  <c:v>39872</c:v>
                </c:pt>
                <c:pt idx="56">
                  <c:v>39844</c:v>
                </c:pt>
                <c:pt idx="57">
                  <c:v>39813</c:v>
                </c:pt>
                <c:pt idx="58">
                  <c:v>39782</c:v>
                </c:pt>
                <c:pt idx="59">
                  <c:v>39752</c:v>
                </c:pt>
                <c:pt idx="60">
                  <c:v>39721</c:v>
                </c:pt>
                <c:pt idx="61">
                  <c:v>39691</c:v>
                </c:pt>
                <c:pt idx="62">
                  <c:v>39660</c:v>
                </c:pt>
                <c:pt idx="63">
                  <c:v>39629</c:v>
                </c:pt>
                <c:pt idx="64">
                  <c:v>39599</c:v>
                </c:pt>
                <c:pt idx="65">
                  <c:v>39568</c:v>
                </c:pt>
                <c:pt idx="66">
                  <c:v>39538</c:v>
                </c:pt>
                <c:pt idx="67">
                  <c:v>39507</c:v>
                </c:pt>
                <c:pt idx="68">
                  <c:v>39478</c:v>
                </c:pt>
                <c:pt idx="69">
                  <c:v>39447</c:v>
                </c:pt>
                <c:pt idx="70">
                  <c:v>39416</c:v>
                </c:pt>
                <c:pt idx="71">
                  <c:v>39386</c:v>
                </c:pt>
                <c:pt idx="72">
                  <c:v>39355</c:v>
                </c:pt>
                <c:pt idx="73">
                  <c:v>39325</c:v>
                </c:pt>
                <c:pt idx="74">
                  <c:v>39294</c:v>
                </c:pt>
                <c:pt idx="75">
                  <c:v>39263</c:v>
                </c:pt>
                <c:pt idx="76">
                  <c:v>39233</c:v>
                </c:pt>
                <c:pt idx="77">
                  <c:v>39202</c:v>
                </c:pt>
                <c:pt idx="78">
                  <c:v>39172</c:v>
                </c:pt>
                <c:pt idx="79">
                  <c:v>39141</c:v>
                </c:pt>
                <c:pt idx="80">
                  <c:v>39113</c:v>
                </c:pt>
                <c:pt idx="81">
                  <c:v>39082</c:v>
                </c:pt>
                <c:pt idx="82">
                  <c:v>39051</c:v>
                </c:pt>
                <c:pt idx="83">
                  <c:v>39021</c:v>
                </c:pt>
                <c:pt idx="84">
                  <c:v>38990</c:v>
                </c:pt>
                <c:pt idx="85">
                  <c:v>38960</c:v>
                </c:pt>
                <c:pt idx="86">
                  <c:v>38929</c:v>
                </c:pt>
                <c:pt idx="87">
                  <c:v>38898</c:v>
                </c:pt>
                <c:pt idx="88">
                  <c:v>38868</c:v>
                </c:pt>
                <c:pt idx="89">
                  <c:v>38837</c:v>
                </c:pt>
                <c:pt idx="90">
                  <c:v>38807</c:v>
                </c:pt>
                <c:pt idx="91">
                  <c:v>38776</c:v>
                </c:pt>
                <c:pt idx="92">
                  <c:v>38748</c:v>
                </c:pt>
                <c:pt idx="93">
                  <c:v>38717</c:v>
                </c:pt>
                <c:pt idx="94">
                  <c:v>38686</c:v>
                </c:pt>
                <c:pt idx="95">
                  <c:v>38656</c:v>
                </c:pt>
                <c:pt idx="96">
                  <c:v>38625</c:v>
                </c:pt>
              </c:numCache>
            </c:numRef>
          </c:cat>
          <c:val>
            <c:numRef>
              <c:f>Sheet1!$C$4:$C$100</c:f>
              <c:numCache>
                <c:formatCode>#,##0.00_ </c:formatCode>
                <c:ptCount val="97"/>
                <c:pt idx="0" formatCode="0.00_ ">
                  <c:v>51.1</c:v>
                </c:pt>
                <c:pt idx="1">
                  <c:v>51</c:v>
                </c:pt>
                <c:pt idx="2">
                  <c:v>50.3</c:v>
                </c:pt>
                <c:pt idx="3">
                  <c:v>50.1</c:v>
                </c:pt>
                <c:pt idx="4">
                  <c:v>50.8</c:v>
                </c:pt>
                <c:pt idx="5">
                  <c:v>50.6</c:v>
                </c:pt>
                <c:pt idx="6">
                  <c:v>50.9</c:v>
                </c:pt>
                <c:pt idx="7">
                  <c:v>50.1</c:v>
                </c:pt>
                <c:pt idx="8">
                  <c:v>50.4</c:v>
                </c:pt>
                <c:pt idx="9">
                  <c:v>50.6</c:v>
                </c:pt>
                <c:pt idx="10">
                  <c:v>50.6</c:v>
                </c:pt>
                <c:pt idx="11">
                  <c:v>50.2</c:v>
                </c:pt>
                <c:pt idx="12">
                  <c:v>49.8</c:v>
                </c:pt>
                <c:pt idx="13">
                  <c:v>49.2</c:v>
                </c:pt>
                <c:pt idx="14">
                  <c:v>50.1</c:v>
                </c:pt>
                <c:pt idx="15">
                  <c:v>50.2</c:v>
                </c:pt>
                <c:pt idx="16">
                  <c:v>50.4</c:v>
                </c:pt>
                <c:pt idx="17">
                  <c:v>53.3</c:v>
                </c:pt>
                <c:pt idx="18">
                  <c:v>53.1</c:v>
                </c:pt>
                <c:pt idx="19">
                  <c:v>51</c:v>
                </c:pt>
                <c:pt idx="20">
                  <c:v>50.5</c:v>
                </c:pt>
                <c:pt idx="21">
                  <c:v>50.3</c:v>
                </c:pt>
                <c:pt idx="22">
                  <c:v>49</c:v>
                </c:pt>
                <c:pt idx="23">
                  <c:v>50.4</c:v>
                </c:pt>
                <c:pt idx="24">
                  <c:v>51.2</c:v>
                </c:pt>
                <c:pt idx="25">
                  <c:v>50.9</c:v>
                </c:pt>
                <c:pt idx="26">
                  <c:v>50.7</c:v>
                </c:pt>
                <c:pt idx="27">
                  <c:v>50.9</c:v>
                </c:pt>
                <c:pt idx="28">
                  <c:v>52</c:v>
                </c:pt>
                <c:pt idx="29">
                  <c:v>52.9</c:v>
                </c:pt>
                <c:pt idx="30">
                  <c:v>53.4</c:v>
                </c:pt>
                <c:pt idx="31">
                  <c:v>52.2</c:v>
                </c:pt>
                <c:pt idx="32">
                  <c:v>52.9</c:v>
                </c:pt>
                <c:pt idx="33">
                  <c:v>53.9</c:v>
                </c:pt>
                <c:pt idx="34">
                  <c:v>55.2</c:v>
                </c:pt>
                <c:pt idx="35">
                  <c:v>54.7</c:v>
                </c:pt>
                <c:pt idx="36">
                  <c:v>53.8</c:v>
                </c:pt>
                <c:pt idx="37">
                  <c:v>51.7</c:v>
                </c:pt>
                <c:pt idx="38">
                  <c:v>51.2</c:v>
                </c:pt>
                <c:pt idx="39">
                  <c:v>52.1</c:v>
                </c:pt>
                <c:pt idx="40">
                  <c:v>53.9</c:v>
                </c:pt>
                <c:pt idx="41">
                  <c:v>55.7</c:v>
                </c:pt>
                <c:pt idx="42">
                  <c:v>55.1</c:v>
                </c:pt>
                <c:pt idx="43">
                  <c:v>52</c:v>
                </c:pt>
                <c:pt idx="44">
                  <c:v>55.8</c:v>
                </c:pt>
                <c:pt idx="45">
                  <c:v>56.6</c:v>
                </c:pt>
                <c:pt idx="46">
                  <c:v>55.2</c:v>
                </c:pt>
                <c:pt idx="47">
                  <c:v>55.2</c:v>
                </c:pt>
                <c:pt idx="48">
                  <c:v>54.3</c:v>
                </c:pt>
                <c:pt idx="49">
                  <c:v>54</c:v>
                </c:pt>
                <c:pt idx="50">
                  <c:v>53.3</c:v>
                </c:pt>
                <c:pt idx="51">
                  <c:v>53.2</c:v>
                </c:pt>
                <c:pt idx="52">
                  <c:v>53.1</c:v>
                </c:pt>
                <c:pt idx="53">
                  <c:v>53.5</c:v>
                </c:pt>
                <c:pt idx="54">
                  <c:v>52.4</c:v>
                </c:pt>
                <c:pt idx="55">
                  <c:v>49</c:v>
                </c:pt>
                <c:pt idx="56">
                  <c:v>45.3</c:v>
                </c:pt>
                <c:pt idx="57">
                  <c:v>41.2</c:v>
                </c:pt>
                <c:pt idx="58">
                  <c:v>38.800000000000004</c:v>
                </c:pt>
                <c:pt idx="59">
                  <c:v>44.6</c:v>
                </c:pt>
                <c:pt idx="60">
                  <c:v>51.2</c:v>
                </c:pt>
                <c:pt idx="61">
                  <c:v>48.4</c:v>
                </c:pt>
                <c:pt idx="62">
                  <c:v>48.4</c:v>
                </c:pt>
                <c:pt idx="63">
                  <c:v>52</c:v>
                </c:pt>
                <c:pt idx="64">
                  <c:v>53.3</c:v>
                </c:pt>
                <c:pt idx="65">
                  <c:v>59.2</c:v>
                </c:pt>
                <c:pt idx="66">
                  <c:v>58.4</c:v>
                </c:pt>
                <c:pt idx="67">
                  <c:v>53.4</c:v>
                </c:pt>
                <c:pt idx="68">
                  <c:v>53</c:v>
                </c:pt>
                <c:pt idx="69">
                  <c:v>55.3</c:v>
                </c:pt>
                <c:pt idx="70">
                  <c:v>55.4</c:v>
                </c:pt>
                <c:pt idx="71">
                  <c:v>53.2</c:v>
                </c:pt>
                <c:pt idx="72">
                  <c:v>56.1</c:v>
                </c:pt>
                <c:pt idx="73">
                  <c:v>54</c:v>
                </c:pt>
                <c:pt idx="74">
                  <c:v>53.3</c:v>
                </c:pt>
                <c:pt idx="75">
                  <c:v>54.5</c:v>
                </c:pt>
                <c:pt idx="76">
                  <c:v>55.7</c:v>
                </c:pt>
                <c:pt idx="77">
                  <c:v>58.6</c:v>
                </c:pt>
                <c:pt idx="78">
                  <c:v>56.1</c:v>
                </c:pt>
                <c:pt idx="79">
                  <c:v>53.1</c:v>
                </c:pt>
                <c:pt idx="80">
                  <c:v>55.1</c:v>
                </c:pt>
                <c:pt idx="81">
                  <c:v>54.8</c:v>
                </c:pt>
                <c:pt idx="82">
                  <c:v>55.3</c:v>
                </c:pt>
                <c:pt idx="83">
                  <c:v>54.7</c:v>
                </c:pt>
                <c:pt idx="84">
                  <c:v>57</c:v>
                </c:pt>
                <c:pt idx="85">
                  <c:v>53.1</c:v>
                </c:pt>
                <c:pt idx="86">
                  <c:v>52.4</c:v>
                </c:pt>
                <c:pt idx="87">
                  <c:v>54.1</c:v>
                </c:pt>
                <c:pt idx="88">
                  <c:v>54.8</c:v>
                </c:pt>
                <c:pt idx="89">
                  <c:v>58.1</c:v>
                </c:pt>
                <c:pt idx="90">
                  <c:v>55.3</c:v>
                </c:pt>
                <c:pt idx="91">
                  <c:v>52.1</c:v>
                </c:pt>
                <c:pt idx="92">
                  <c:v>52.1</c:v>
                </c:pt>
                <c:pt idx="93">
                  <c:v>54.3</c:v>
                </c:pt>
                <c:pt idx="94">
                  <c:v>54.1</c:v>
                </c:pt>
                <c:pt idx="95">
                  <c:v>54.1</c:v>
                </c:pt>
                <c:pt idx="96">
                  <c:v>55.1</c:v>
                </c:pt>
              </c:numCache>
            </c:numRef>
          </c:val>
        </c:ser>
        <c:ser>
          <c:idx val="2"/>
          <c:order val="2"/>
          <c:tx>
            <c:strRef>
              <c:f>Sheet1!$D$1:$D$3</c:f>
              <c:strCache>
                <c:ptCount val="1"/>
                <c:pt idx="0">
                  <c:v>制造业PMI:原材料库存 月 %</c:v>
                </c:pt>
              </c:strCache>
            </c:strRef>
          </c:tx>
          <c:marker>
            <c:symbol val="none"/>
          </c:marker>
          <c:cat>
            <c:numRef>
              <c:f>Sheet1!$A$4:$A$100</c:f>
              <c:numCache>
                <c:formatCode>yyyy\-mm;@</c:formatCode>
                <c:ptCount val="97"/>
                <c:pt idx="0">
                  <c:v>41547</c:v>
                </c:pt>
                <c:pt idx="1">
                  <c:v>41517</c:v>
                </c:pt>
                <c:pt idx="2">
                  <c:v>41486</c:v>
                </c:pt>
                <c:pt idx="3">
                  <c:v>41455</c:v>
                </c:pt>
                <c:pt idx="4">
                  <c:v>41425</c:v>
                </c:pt>
                <c:pt idx="5">
                  <c:v>41394</c:v>
                </c:pt>
                <c:pt idx="6">
                  <c:v>41364</c:v>
                </c:pt>
                <c:pt idx="7">
                  <c:v>41333</c:v>
                </c:pt>
                <c:pt idx="8">
                  <c:v>41305</c:v>
                </c:pt>
                <c:pt idx="9">
                  <c:v>41274</c:v>
                </c:pt>
                <c:pt idx="10">
                  <c:v>41243</c:v>
                </c:pt>
                <c:pt idx="11">
                  <c:v>41213</c:v>
                </c:pt>
                <c:pt idx="12">
                  <c:v>41182</c:v>
                </c:pt>
                <c:pt idx="13">
                  <c:v>41152</c:v>
                </c:pt>
                <c:pt idx="14">
                  <c:v>41121</c:v>
                </c:pt>
                <c:pt idx="15">
                  <c:v>41090</c:v>
                </c:pt>
                <c:pt idx="16">
                  <c:v>41060</c:v>
                </c:pt>
                <c:pt idx="17">
                  <c:v>41029</c:v>
                </c:pt>
                <c:pt idx="18">
                  <c:v>40999</c:v>
                </c:pt>
                <c:pt idx="19">
                  <c:v>40968</c:v>
                </c:pt>
                <c:pt idx="20">
                  <c:v>40939</c:v>
                </c:pt>
                <c:pt idx="21">
                  <c:v>40908</c:v>
                </c:pt>
                <c:pt idx="22">
                  <c:v>40877</c:v>
                </c:pt>
                <c:pt idx="23">
                  <c:v>40847</c:v>
                </c:pt>
                <c:pt idx="24">
                  <c:v>40816</c:v>
                </c:pt>
                <c:pt idx="25">
                  <c:v>40786</c:v>
                </c:pt>
                <c:pt idx="26">
                  <c:v>40755</c:v>
                </c:pt>
                <c:pt idx="27">
                  <c:v>40724</c:v>
                </c:pt>
                <c:pt idx="28">
                  <c:v>40694</c:v>
                </c:pt>
                <c:pt idx="29">
                  <c:v>40663</c:v>
                </c:pt>
                <c:pt idx="30">
                  <c:v>40633</c:v>
                </c:pt>
                <c:pt idx="31">
                  <c:v>40602</c:v>
                </c:pt>
                <c:pt idx="32">
                  <c:v>40574</c:v>
                </c:pt>
                <c:pt idx="33">
                  <c:v>40543</c:v>
                </c:pt>
                <c:pt idx="34">
                  <c:v>40512</c:v>
                </c:pt>
                <c:pt idx="35">
                  <c:v>40482</c:v>
                </c:pt>
                <c:pt idx="36">
                  <c:v>40451</c:v>
                </c:pt>
                <c:pt idx="37">
                  <c:v>40421</c:v>
                </c:pt>
                <c:pt idx="38">
                  <c:v>40390</c:v>
                </c:pt>
                <c:pt idx="39">
                  <c:v>40359</c:v>
                </c:pt>
                <c:pt idx="40">
                  <c:v>40329</c:v>
                </c:pt>
                <c:pt idx="41">
                  <c:v>40298</c:v>
                </c:pt>
                <c:pt idx="42">
                  <c:v>40268</c:v>
                </c:pt>
                <c:pt idx="43">
                  <c:v>40237</c:v>
                </c:pt>
                <c:pt idx="44">
                  <c:v>40209</c:v>
                </c:pt>
                <c:pt idx="45">
                  <c:v>40178</c:v>
                </c:pt>
                <c:pt idx="46">
                  <c:v>40147</c:v>
                </c:pt>
                <c:pt idx="47">
                  <c:v>40117</c:v>
                </c:pt>
                <c:pt idx="48">
                  <c:v>40086</c:v>
                </c:pt>
                <c:pt idx="49">
                  <c:v>40056</c:v>
                </c:pt>
                <c:pt idx="50">
                  <c:v>40025</c:v>
                </c:pt>
                <c:pt idx="51">
                  <c:v>39994</c:v>
                </c:pt>
                <c:pt idx="52">
                  <c:v>39964</c:v>
                </c:pt>
                <c:pt idx="53">
                  <c:v>39933</c:v>
                </c:pt>
                <c:pt idx="54">
                  <c:v>39903</c:v>
                </c:pt>
                <c:pt idx="55">
                  <c:v>39872</c:v>
                </c:pt>
                <c:pt idx="56">
                  <c:v>39844</c:v>
                </c:pt>
                <c:pt idx="57">
                  <c:v>39813</c:v>
                </c:pt>
                <c:pt idx="58">
                  <c:v>39782</c:v>
                </c:pt>
                <c:pt idx="59">
                  <c:v>39752</c:v>
                </c:pt>
                <c:pt idx="60">
                  <c:v>39721</c:v>
                </c:pt>
                <c:pt idx="61">
                  <c:v>39691</c:v>
                </c:pt>
                <c:pt idx="62">
                  <c:v>39660</c:v>
                </c:pt>
                <c:pt idx="63">
                  <c:v>39629</c:v>
                </c:pt>
                <c:pt idx="64">
                  <c:v>39599</c:v>
                </c:pt>
                <c:pt idx="65">
                  <c:v>39568</c:v>
                </c:pt>
                <c:pt idx="66">
                  <c:v>39538</c:v>
                </c:pt>
                <c:pt idx="67">
                  <c:v>39507</c:v>
                </c:pt>
                <c:pt idx="68">
                  <c:v>39478</c:v>
                </c:pt>
                <c:pt idx="69">
                  <c:v>39447</c:v>
                </c:pt>
                <c:pt idx="70">
                  <c:v>39416</c:v>
                </c:pt>
                <c:pt idx="71">
                  <c:v>39386</c:v>
                </c:pt>
                <c:pt idx="72">
                  <c:v>39355</c:v>
                </c:pt>
                <c:pt idx="73">
                  <c:v>39325</c:v>
                </c:pt>
                <c:pt idx="74">
                  <c:v>39294</c:v>
                </c:pt>
                <c:pt idx="75">
                  <c:v>39263</c:v>
                </c:pt>
                <c:pt idx="76">
                  <c:v>39233</c:v>
                </c:pt>
                <c:pt idx="77">
                  <c:v>39202</c:v>
                </c:pt>
                <c:pt idx="78">
                  <c:v>39172</c:v>
                </c:pt>
                <c:pt idx="79">
                  <c:v>39141</c:v>
                </c:pt>
                <c:pt idx="80">
                  <c:v>39113</c:v>
                </c:pt>
                <c:pt idx="81">
                  <c:v>39082</c:v>
                </c:pt>
                <c:pt idx="82">
                  <c:v>39051</c:v>
                </c:pt>
                <c:pt idx="83">
                  <c:v>39021</c:v>
                </c:pt>
                <c:pt idx="84">
                  <c:v>38990</c:v>
                </c:pt>
                <c:pt idx="85">
                  <c:v>38960</c:v>
                </c:pt>
                <c:pt idx="86">
                  <c:v>38929</c:v>
                </c:pt>
                <c:pt idx="87">
                  <c:v>38898</c:v>
                </c:pt>
                <c:pt idx="88">
                  <c:v>38868</c:v>
                </c:pt>
                <c:pt idx="89">
                  <c:v>38837</c:v>
                </c:pt>
                <c:pt idx="90">
                  <c:v>38807</c:v>
                </c:pt>
                <c:pt idx="91">
                  <c:v>38776</c:v>
                </c:pt>
                <c:pt idx="92">
                  <c:v>38748</c:v>
                </c:pt>
                <c:pt idx="93">
                  <c:v>38717</c:v>
                </c:pt>
                <c:pt idx="94">
                  <c:v>38686</c:v>
                </c:pt>
                <c:pt idx="95">
                  <c:v>38656</c:v>
                </c:pt>
                <c:pt idx="96">
                  <c:v>38625</c:v>
                </c:pt>
              </c:numCache>
            </c:numRef>
          </c:cat>
          <c:val>
            <c:numRef>
              <c:f>Sheet1!$D$4:$D$100</c:f>
              <c:numCache>
                <c:formatCode>#,##0.00_ </c:formatCode>
                <c:ptCount val="97"/>
                <c:pt idx="0" formatCode="0.00_ ">
                  <c:v>48.5</c:v>
                </c:pt>
                <c:pt idx="1">
                  <c:v>48</c:v>
                </c:pt>
                <c:pt idx="2">
                  <c:v>47.6</c:v>
                </c:pt>
                <c:pt idx="3">
                  <c:v>47.4</c:v>
                </c:pt>
                <c:pt idx="4">
                  <c:v>47.6</c:v>
                </c:pt>
                <c:pt idx="5">
                  <c:v>47.5</c:v>
                </c:pt>
                <c:pt idx="6">
                  <c:v>47.5</c:v>
                </c:pt>
                <c:pt idx="7">
                  <c:v>49.5</c:v>
                </c:pt>
                <c:pt idx="8">
                  <c:v>50.1</c:v>
                </c:pt>
                <c:pt idx="9">
                  <c:v>47.3</c:v>
                </c:pt>
                <c:pt idx="10">
                  <c:v>47.9</c:v>
                </c:pt>
                <c:pt idx="11">
                  <c:v>47.3</c:v>
                </c:pt>
                <c:pt idx="12">
                  <c:v>47</c:v>
                </c:pt>
                <c:pt idx="13">
                  <c:v>45.1</c:v>
                </c:pt>
                <c:pt idx="14">
                  <c:v>48.5</c:v>
                </c:pt>
                <c:pt idx="15">
                  <c:v>48.2</c:v>
                </c:pt>
                <c:pt idx="16">
                  <c:v>45.1</c:v>
                </c:pt>
                <c:pt idx="17">
                  <c:v>48.5</c:v>
                </c:pt>
                <c:pt idx="18">
                  <c:v>49.5</c:v>
                </c:pt>
                <c:pt idx="19">
                  <c:v>48.8</c:v>
                </c:pt>
                <c:pt idx="20">
                  <c:v>49.7</c:v>
                </c:pt>
                <c:pt idx="21">
                  <c:v>48.3</c:v>
                </c:pt>
                <c:pt idx="22">
                  <c:v>46.7</c:v>
                </c:pt>
                <c:pt idx="23">
                  <c:v>48.5</c:v>
                </c:pt>
                <c:pt idx="24">
                  <c:v>49</c:v>
                </c:pt>
                <c:pt idx="25">
                  <c:v>48.8</c:v>
                </c:pt>
                <c:pt idx="26">
                  <c:v>47.6</c:v>
                </c:pt>
                <c:pt idx="27">
                  <c:v>48.5</c:v>
                </c:pt>
                <c:pt idx="28">
                  <c:v>49.5</c:v>
                </c:pt>
                <c:pt idx="29">
                  <c:v>52</c:v>
                </c:pt>
                <c:pt idx="30">
                  <c:v>51.6</c:v>
                </c:pt>
                <c:pt idx="31">
                  <c:v>49.5</c:v>
                </c:pt>
                <c:pt idx="32">
                  <c:v>52</c:v>
                </c:pt>
                <c:pt idx="33">
                  <c:v>50.8</c:v>
                </c:pt>
                <c:pt idx="34">
                  <c:v>49.7</c:v>
                </c:pt>
                <c:pt idx="35">
                  <c:v>49.5</c:v>
                </c:pt>
                <c:pt idx="36">
                  <c:v>49.1</c:v>
                </c:pt>
                <c:pt idx="37">
                  <c:v>47.3</c:v>
                </c:pt>
                <c:pt idx="38">
                  <c:v>47.8</c:v>
                </c:pt>
                <c:pt idx="39">
                  <c:v>49.4</c:v>
                </c:pt>
                <c:pt idx="40">
                  <c:v>51</c:v>
                </c:pt>
                <c:pt idx="41">
                  <c:v>51.5</c:v>
                </c:pt>
                <c:pt idx="42">
                  <c:v>50.6</c:v>
                </c:pt>
                <c:pt idx="43">
                  <c:v>48.1</c:v>
                </c:pt>
                <c:pt idx="44">
                  <c:v>52.2</c:v>
                </c:pt>
                <c:pt idx="45">
                  <c:v>51.4</c:v>
                </c:pt>
                <c:pt idx="46">
                  <c:v>51.4</c:v>
                </c:pt>
                <c:pt idx="47">
                  <c:v>49</c:v>
                </c:pt>
                <c:pt idx="48">
                  <c:v>47.9</c:v>
                </c:pt>
                <c:pt idx="49">
                  <c:v>48.8</c:v>
                </c:pt>
                <c:pt idx="50">
                  <c:v>48.1</c:v>
                </c:pt>
                <c:pt idx="51">
                  <c:v>47.4</c:v>
                </c:pt>
                <c:pt idx="52">
                  <c:v>46.1</c:v>
                </c:pt>
                <c:pt idx="53">
                  <c:v>46.9</c:v>
                </c:pt>
                <c:pt idx="54">
                  <c:v>47.5</c:v>
                </c:pt>
                <c:pt idx="55">
                  <c:v>45.6</c:v>
                </c:pt>
                <c:pt idx="56">
                  <c:v>43.9</c:v>
                </c:pt>
                <c:pt idx="57">
                  <c:v>40.6</c:v>
                </c:pt>
                <c:pt idx="58">
                  <c:v>39.5</c:v>
                </c:pt>
                <c:pt idx="59">
                  <c:v>42.6</c:v>
                </c:pt>
                <c:pt idx="60">
                  <c:v>47.5</c:v>
                </c:pt>
                <c:pt idx="61">
                  <c:v>46.8</c:v>
                </c:pt>
                <c:pt idx="62">
                  <c:v>48</c:v>
                </c:pt>
                <c:pt idx="63">
                  <c:v>47.8</c:v>
                </c:pt>
                <c:pt idx="64">
                  <c:v>48.1</c:v>
                </c:pt>
                <c:pt idx="65">
                  <c:v>51.2</c:v>
                </c:pt>
                <c:pt idx="66">
                  <c:v>50.8</c:v>
                </c:pt>
                <c:pt idx="67">
                  <c:v>45.1</c:v>
                </c:pt>
                <c:pt idx="68">
                  <c:v>49.2</c:v>
                </c:pt>
                <c:pt idx="69">
                  <c:v>50.7</c:v>
                </c:pt>
                <c:pt idx="70">
                  <c:v>50.4</c:v>
                </c:pt>
                <c:pt idx="71">
                  <c:v>48.5</c:v>
                </c:pt>
                <c:pt idx="72">
                  <c:v>48.4</c:v>
                </c:pt>
                <c:pt idx="73">
                  <c:v>50.3</c:v>
                </c:pt>
                <c:pt idx="74">
                  <c:v>50.4</c:v>
                </c:pt>
                <c:pt idx="75">
                  <c:v>49.1</c:v>
                </c:pt>
                <c:pt idx="76">
                  <c:v>49.1</c:v>
                </c:pt>
                <c:pt idx="77">
                  <c:v>50.3</c:v>
                </c:pt>
                <c:pt idx="78">
                  <c:v>50.8</c:v>
                </c:pt>
                <c:pt idx="79">
                  <c:v>47.4</c:v>
                </c:pt>
                <c:pt idx="80">
                  <c:v>50.6</c:v>
                </c:pt>
                <c:pt idx="81">
                  <c:v>49.5</c:v>
                </c:pt>
                <c:pt idx="82">
                  <c:v>48.8</c:v>
                </c:pt>
                <c:pt idx="83">
                  <c:v>47.8</c:v>
                </c:pt>
                <c:pt idx="84">
                  <c:v>50.1</c:v>
                </c:pt>
                <c:pt idx="85">
                  <c:v>45.1</c:v>
                </c:pt>
                <c:pt idx="86">
                  <c:v>46.8</c:v>
                </c:pt>
                <c:pt idx="87">
                  <c:v>46.6</c:v>
                </c:pt>
                <c:pt idx="88">
                  <c:v>45.6</c:v>
                </c:pt>
                <c:pt idx="89">
                  <c:v>47.9</c:v>
                </c:pt>
                <c:pt idx="90">
                  <c:v>48.9</c:v>
                </c:pt>
                <c:pt idx="91">
                  <c:v>45.7</c:v>
                </c:pt>
                <c:pt idx="92">
                  <c:v>47.4</c:v>
                </c:pt>
                <c:pt idx="93">
                  <c:v>48.1</c:v>
                </c:pt>
                <c:pt idx="94">
                  <c:v>46.4</c:v>
                </c:pt>
                <c:pt idx="95">
                  <c:v>45.5</c:v>
                </c:pt>
                <c:pt idx="96">
                  <c:v>48</c:v>
                </c:pt>
              </c:numCache>
            </c:numRef>
          </c:val>
        </c:ser>
        <c:ser>
          <c:idx val="3"/>
          <c:order val="3"/>
          <c:tx>
            <c:strRef>
              <c:f>Sheet1!$E$1:$E$3</c:f>
              <c:strCache>
                <c:ptCount val="1"/>
                <c:pt idx="0">
                  <c:v>制造业PMI:产成品库存 月 %</c:v>
                </c:pt>
              </c:strCache>
            </c:strRef>
          </c:tx>
          <c:marker>
            <c:symbol val="none"/>
          </c:marker>
          <c:cat>
            <c:numRef>
              <c:f>Sheet1!$A$4:$A$100</c:f>
              <c:numCache>
                <c:formatCode>yyyy\-mm;@</c:formatCode>
                <c:ptCount val="97"/>
                <c:pt idx="0">
                  <c:v>41547</c:v>
                </c:pt>
                <c:pt idx="1">
                  <c:v>41517</c:v>
                </c:pt>
                <c:pt idx="2">
                  <c:v>41486</c:v>
                </c:pt>
                <c:pt idx="3">
                  <c:v>41455</c:v>
                </c:pt>
                <c:pt idx="4">
                  <c:v>41425</c:v>
                </c:pt>
                <c:pt idx="5">
                  <c:v>41394</c:v>
                </c:pt>
                <c:pt idx="6">
                  <c:v>41364</c:v>
                </c:pt>
                <c:pt idx="7">
                  <c:v>41333</c:v>
                </c:pt>
                <c:pt idx="8">
                  <c:v>41305</c:v>
                </c:pt>
                <c:pt idx="9">
                  <c:v>41274</c:v>
                </c:pt>
                <c:pt idx="10">
                  <c:v>41243</c:v>
                </c:pt>
                <c:pt idx="11">
                  <c:v>41213</c:v>
                </c:pt>
                <c:pt idx="12">
                  <c:v>41182</c:v>
                </c:pt>
                <c:pt idx="13">
                  <c:v>41152</c:v>
                </c:pt>
                <c:pt idx="14">
                  <c:v>41121</c:v>
                </c:pt>
                <c:pt idx="15">
                  <c:v>41090</c:v>
                </c:pt>
                <c:pt idx="16">
                  <c:v>41060</c:v>
                </c:pt>
                <c:pt idx="17">
                  <c:v>41029</c:v>
                </c:pt>
                <c:pt idx="18">
                  <c:v>40999</c:v>
                </c:pt>
                <c:pt idx="19">
                  <c:v>40968</c:v>
                </c:pt>
                <c:pt idx="20">
                  <c:v>40939</c:v>
                </c:pt>
                <c:pt idx="21">
                  <c:v>40908</c:v>
                </c:pt>
                <c:pt idx="22">
                  <c:v>40877</c:v>
                </c:pt>
                <c:pt idx="23">
                  <c:v>40847</c:v>
                </c:pt>
                <c:pt idx="24">
                  <c:v>40816</c:v>
                </c:pt>
                <c:pt idx="25">
                  <c:v>40786</c:v>
                </c:pt>
                <c:pt idx="26">
                  <c:v>40755</c:v>
                </c:pt>
                <c:pt idx="27">
                  <c:v>40724</c:v>
                </c:pt>
                <c:pt idx="28">
                  <c:v>40694</c:v>
                </c:pt>
                <c:pt idx="29">
                  <c:v>40663</c:v>
                </c:pt>
                <c:pt idx="30">
                  <c:v>40633</c:v>
                </c:pt>
                <c:pt idx="31">
                  <c:v>40602</c:v>
                </c:pt>
                <c:pt idx="32">
                  <c:v>40574</c:v>
                </c:pt>
                <c:pt idx="33">
                  <c:v>40543</c:v>
                </c:pt>
                <c:pt idx="34">
                  <c:v>40512</c:v>
                </c:pt>
                <c:pt idx="35">
                  <c:v>40482</c:v>
                </c:pt>
                <c:pt idx="36">
                  <c:v>40451</c:v>
                </c:pt>
                <c:pt idx="37">
                  <c:v>40421</c:v>
                </c:pt>
                <c:pt idx="38">
                  <c:v>40390</c:v>
                </c:pt>
                <c:pt idx="39">
                  <c:v>40359</c:v>
                </c:pt>
                <c:pt idx="40">
                  <c:v>40329</c:v>
                </c:pt>
                <c:pt idx="41">
                  <c:v>40298</c:v>
                </c:pt>
                <c:pt idx="42">
                  <c:v>40268</c:v>
                </c:pt>
                <c:pt idx="43">
                  <c:v>40237</c:v>
                </c:pt>
                <c:pt idx="44">
                  <c:v>40209</c:v>
                </c:pt>
                <c:pt idx="45">
                  <c:v>40178</c:v>
                </c:pt>
                <c:pt idx="46">
                  <c:v>40147</c:v>
                </c:pt>
                <c:pt idx="47">
                  <c:v>40117</c:v>
                </c:pt>
                <c:pt idx="48">
                  <c:v>40086</c:v>
                </c:pt>
                <c:pt idx="49">
                  <c:v>40056</c:v>
                </c:pt>
                <c:pt idx="50">
                  <c:v>40025</c:v>
                </c:pt>
                <c:pt idx="51">
                  <c:v>39994</c:v>
                </c:pt>
                <c:pt idx="52">
                  <c:v>39964</c:v>
                </c:pt>
                <c:pt idx="53">
                  <c:v>39933</c:v>
                </c:pt>
                <c:pt idx="54">
                  <c:v>39903</c:v>
                </c:pt>
                <c:pt idx="55">
                  <c:v>39872</c:v>
                </c:pt>
                <c:pt idx="56">
                  <c:v>39844</c:v>
                </c:pt>
                <c:pt idx="57">
                  <c:v>39813</c:v>
                </c:pt>
                <c:pt idx="58">
                  <c:v>39782</c:v>
                </c:pt>
                <c:pt idx="59">
                  <c:v>39752</c:v>
                </c:pt>
                <c:pt idx="60">
                  <c:v>39721</c:v>
                </c:pt>
                <c:pt idx="61">
                  <c:v>39691</c:v>
                </c:pt>
                <c:pt idx="62">
                  <c:v>39660</c:v>
                </c:pt>
                <c:pt idx="63">
                  <c:v>39629</c:v>
                </c:pt>
                <c:pt idx="64">
                  <c:v>39599</c:v>
                </c:pt>
                <c:pt idx="65">
                  <c:v>39568</c:v>
                </c:pt>
                <c:pt idx="66">
                  <c:v>39538</c:v>
                </c:pt>
                <c:pt idx="67">
                  <c:v>39507</c:v>
                </c:pt>
                <c:pt idx="68">
                  <c:v>39478</c:v>
                </c:pt>
                <c:pt idx="69">
                  <c:v>39447</c:v>
                </c:pt>
                <c:pt idx="70">
                  <c:v>39416</c:v>
                </c:pt>
                <c:pt idx="71">
                  <c:v>39386</c:v>
                </c:pt>
                <c:pt idx="72">
                  <c:v>39355</c:v>
                </c:pt>
                <c:pt idx="73">
                  <c:v>39325</c:v>
                </c:pt>
                <c:pt idx="74">
                  <c:v>39294</c:v>
                </c:pt>
                <c:pt idx="75">
                  <c:v>39263</c:v>
                </c:pt>
                <c:pt idx="76">
                  <c:v>39233</c:v>
                </c:pt>
                <c:pt idx="77">
                  <c:v>39202</c:v>
                </c:pt>
                <c:pt idx="78">
                  <c:v>39172</c:v>
                </c:pt>
                <c:pt idx="79">
                  <c:v>39141</c:v>
                </c:pt>
                <c:pt idx="80">
                  <c:v>39113</c:v>
                </c:pt>
                <c:pt idx="81">
                  <c:v>39082</c:v>
                </c:pt>
                <c:pt idx="82">
                  <c:v>39051</c:v>
                </c:pt>
                <c:pt idx="83">
                  <c:v>39021</c:v>
                </c:pt>
                <c:pt idx="84">
                  <c:v>38990</c:v>
                </c:pt>
                <c:pt idx="85">
                  <c:v>38960</c:v>
                </c:pt>
                <c:pt idx="86">
                  <c:v>38929</c:v>
                </c:pt>
                <c:pt idx="87">
                  <c:v>38898</c:v>
                </c:pt>
                <c:pt idx="88">
                  <c:v>38868</c:v>
                </c:pt>
                <c:pt idx="89">
                  <c:v>38837</c:v>
                </c:pt>
                <c:pt idx="90">
                  <c:v>38807</c:v>
                </c:pt>
                <c:pt idx="91">
                  <c:v>38776</c:v>
                </c:pt>
                <c:pt idx="92">
                  <c:v>38748</c:v>
                </c:pt>
                <c:pt idx="93">
                  <c:v>38717</c:v>
                </c:pt>
                <c:pt idx="94">
                  <c:v>38686</c:v>
                </c:pt>
                <c:pt idx="95">
                  <c:v>38656</c:v>
                </c:pt>
                <c:pt idx="96">
                  <c:v>38625</c:v>
                </c:pt>
              </c:numCache>
            </c:numRef>
          </c:cat>
          <c:val>
            <c:numRef>
              <c:f>Sheet1!$E$4:$E$100</c:f>
              <c:numCache>
                <c:formatCode>#,##0.00_ </c:formatCode>
                <c:ptCount val="97"/>
                <c:pt idx="0" formatCode="0.00_ ">
                  <c:v>47.4</c:v>
                </c:pt>
                <c:pt idx="1">
                  <c:v>47.6</c:v>
                </c:pt>
                <c:pt idx="2">
                  <c:v>47.3</c:v>
                </c:pt>
                <c:pt idx="3">
                  <c:v>48.2</c:v>
                </c:pt>
                <c:pt idx="4">
                  <c:v>48.6</c:v>
                </c:pt>
                <c:pt idx="5">
                  <c:v>47.7</c:v>
                </c:pt>
                <c:pt idx="6">
                  <c:v>50.2</c:v>
                </c:pt>
                <c:pt idx="7">
                  <c:v>46.6</c:v>
                </c:pt>
                <c:pt idx="8">
                  <c:v>47.4</c:v>
                </c:pt>
                <c:pt idx="9">
                  <c:v>49.4</c:v>
                </c:pt>
                <c:pt idx="10">
                  <c:v>48.8</c:v>
                </c:pt>
                <c:pt idx="11">
                  <c:v>48.1</c:v>
                </c:pt>
                <c:pt idx="12">
                  <c:v>47.9</c:v>
                </c:pt>
                <c:pt idx="13">
                  <c:v>48.2</c:v>
                </c:pt>
                <c:pt idx="14">
                  <c:v>48</c:v>
                </c:pt>
                <c:pt idx="15">
                  <c:v>52.3</c:v>
                </c:pt>
                <c:pt idx="16">
                  <c:v>52.2</c:v>
                </c:pt>
                <c:pt idx="17">
                  <c:v>49.5</c:v>
                </c:pt>
                <c:pt idx="18">
                  <c:v>50.8</c:v>
                </c:pt>
                <c:pt idx="19">
                  <c:v>50.5</c:v>
                </c:pt>
                <c:pt idx="20">
                  <c:v>48</c:v>
                </c:pt>
                <c:pt idx="21">
                  <c:v>50.6</c:v>
                </c:pt>
                <c:pt idx="22">
                  <c:v>53.1</c:v>
                </c:pt>
                <c:pt idx="23">
                  <c:v>50.3</c:v>
                </c:pt>
                <c:pt idx="24">
                  <c:v>49.9</c:v>
                </c:pt>
                <c:pt idx="25">
                  <c:v>48.9</c:v>
                </c:pt>
                <c:pt idx="26">
                  <c:v>49.2</c:v>
                </c:pt>
                <c:pt idx="27">
                  <c:v>51</c:v>
                </c:pt>
                <c:pt idx="28">
                  <c:v>50</c:v>
                </c:pt>
                <c:pt idx="29">
                  <c:v>50.8</c:v>
                </c:pt>
                <c:pt idx="30">
                  <c:v>51.3</c:v>
                </c:pt>
                <c:pt idx="31">
                  <c:v>46.4</c:v>
                </c:pt>
                <c:pt idx="32">
                  <c:v>47.9</c:v>
                </c:pt>
                <c:pt idx="33">
                  <c:v>48.7</c:v>
                </c:pt>
                <c:pt idx="34">
                  <c:v>47.7</c:v>
                </c:pt>
                <c:pt idx="35">
                  <c:v>45.7</c:v>
                </c:pt>
                <c:pt idx="36">
                  <c:v>45</c:v>
                </c:pt>
                <c:pt idx="37">
                  <c:v>46.9</c:v>
                </c:pt>
                <c:pt idx="38">
                  <c:v>49.9</c:v>
                </c:pt>
                <c:pt idx="39">
                  <c:v>51.3</c:v>
                </c:pt>
                <c:pt idx="40">
                  <c:v>49.8</c:v>
                </c:pt>
                <c:pt idx="41">
                  <c:v>46.2</c:v>
                </c:pt>
                <c:pt idx="42">
                  <c:v>48.3</c:v>
                </c:pt>
                <c:pt idx="43">
                  <c:v>47.3</c:v>
                </c:pt>
                <c:pt idx="44">
                  <c:v>47.3</c:v>
                </c:pt>
                <c:pt idx="45">
                  <c:v>47.1</c:v>
                </c:pt>
                <c:pt idx="46">
                  <c:v>45.4</c:v>
                </c:pt>
                <c:pt idx="47">
                  <c:v>43.4</c:v>
                </c:pt>
                <c:pt idx="48">
                  <c:v>46</c:v>
                </c:pt>
                <c:pt idx="49">
                  <c:v>46.5</c:v>
                </c:pt>
                <c:pt idx="50">
                  <c:v>45.6</c:v>
                </c:pt>
                <c:pt idx="51">
                  <c:v>45</c:v>
                </c:pt>
                <c:pt idx="52">
                  <c:v>46.2</c:v>
                </c:pt>
                <c:pt idx="53">
                  <c:v>44.8</c:v>
                </c:pt>
                <c:pt idx="54">
                  <c:v>46.7</c:v>
                </c:pt>
                <c:pt idx="55">
                  <c:v>47.7</c:v>
                </c:pt>
                <c:pt idx="56">
                  <c:v>43.5</c:v>
                </c:pt>
                <c:pt idx="57">
                  <c:v>44.7</c:v>
                </c:pt>
                <c:pt idx="58">
                  <c:v>50.8</c:v>
                </c:pt>
                <c:pt idx="59">
                  <c:v>51.4</c:v>
                </c:pt>
                <c:pt idx="60">
                  <c:v>50.5</c:v>
                </c:pt>
                <c:pt idx="61">
                  <c:v>49</c:v>
                </c:pt>
                <c:pt idx="62">
                  <c:v>47.8</c:v>
                </c:pt>
                <c:pt idx="63">
                  <c:v>49.5</c:v>
                </c:pt>
                <c:pt idx="64">
                  <c:v>48.7</c:v>
                </c:pt>
                <c:pt idx="65">
                  <c:v>47.2</c:v>
                </c:pt>
                <c:pt idx="66">
                  <c:v>47.3</c:v>
                </c:pt>
                <c:pt idx="67">
                  <c:v>47.3</c:v>
                </c:pt>
                <c:pt idx="68">
                  <c:v>48.4</c:v>
                </c:pt>
                <c:pt idx="69">
                  <c:v>47.2</c:v>
                </c:pt>
                <c:pt idx="70">
                  <c:v>48.6</c:v>
                </c:pt>
                <c:pt idx="71">
                  <c:v>47.6</c:v>
                </c:pt>
                <c:pt idx="72">
                  <c:v>47.4</c:v>
                </c:pt>
                <c:pt idx="73">
                  <c:v>45.7</c:v>
                </c:pt>
                <c:pt idx="74">
                  <c:v>47.5</c:v>
                </c:pt>
                <c:pt idx="75">
                  <c:v>47.3</c:v>
                </c:pt>
                <c:pt idx="76">
                  <c:v>44.5</c:v>
                </c:pt>
                <c:pt idx="77">
                  <c:v>46.8</c:v>
                </c:pt>
                <c:pt idx="78">
                  <c:v>45.8</c:v>
                </c:pt>
                <c:pt idx="79">
                  <c:v>44</c:v>
                </c:pt>
                <c:pt idx="80">
                  <c:v>45.5</c:v>
                </c:pt>
                <c:pt idx="81">
                  <c:v>46.5</c:v>
                </c:pt>
                <c:pt idx="82">
                  <c:v>45.2</c:v>
                </c:pt>
                <c:pt idx="83">
                  <c:v>44</c:v>
                </c:pt>
                <c:pt idx="84">
                  <c:v>44.7</c:v>
                </c:pt>
                <c:pt idx="85">
                  <c:v>44.5</c:v>
                </c:pt>
                <c:pt idx="86">
                  <c:v>48</c:v>
                </c:pt>
                <c:pt idx="87">
                  <c:v>46.8</c:v>
                </c:pt>
                <c:pt idx="88">
                  <c:v>42.9</c:v>
                </c:pt>
                <c:pt idx="89">
                  <c:v>44.8</c:v>
                </c:pt>
                <c:pt idx="90">
                  <c:v>46.8</c:v>
                </c:pt>
                <c:pt idx="91">
                  <c:v>45.9</c:v>
                </c:pt>
                <c:pt idx="92">
                  <c:v>44.6</c:v>
                </c:pt>
                <c:pt idx="93">
                  <c:v>44.7</c:v>
                </c:pt>
                <c:pt idx="94">
                  <c:v>44.8</c:v>
                </c:pt>
                <c:pt idx="95">
                  <c:v>46.2</c:v>
                </c:pt>
                <c:pt idx="96">
                  <c:v>45.8</c:v>
                </c:pt>
              </c:numCache>
            </c:numRef>
          </c:val>
        </c:ser>
        <c:marker val="1"/>
        <c:axId val="346474368"/>
        <c:axId val="346763264"/>
      </c:lineChart>
      <c:dateAx>
        <c:axId val="346474368"/>
        <c:scaling>
          <c:orientation val="minMax"/>
        </c:scaling>
        <c:axPos val="b"/>
        <c:numFmt formatCode="yyyy\-mm;@" sourceLinked="1"/>
        <c:tickLblPos val="nextTo"/>
        <c:crossAx val="346763264"/>
        <c:crosses val="autoZero"/>
        <c:auto val="1"/>
        <c:lblOffset val="100"/>
      </c:dateAx>
      <c:valAx>
        <c:axId val="346763264"/>
        <c:scaling>
          <c:orientation val="minMax"/>
          <c:min val="30"/>
        </c:scaling>
        <c:axPos val="l"/>
        <c:majorGridlines/>
        <c:numFmt formatCode="0.00_ " sourceLinked="1"/>
        <c:tickLblPos val="nextTo"/>
        <c:crossAx val="346474368"/>
        <c:crosses val="autoZero"/>
        <c:crossBetween val="between"/>
      </c:valAx>
    </c:plotArea>
    <c:legend>
      <c:legendPos val="b"/>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clustered"/>
        <c:ser>
          <c:idx val="0"/>
          <c:order val="0"/>
          <c:tx>
            <c:strRef>
              <c:f>Sheet2!$B$1</c:f>
              <c:strCache>
                <c:ptCount val="1"/>
                <c:pt idx="0">
                  <c:v>月初以来</c:v>
                </c:pt>
              </c:strCache>
            </c:strRef>
          </c:tx>
          <c:cat>
            <c:strRef>
              <c:f>Sheet2!$A$2:$A$9</c:f>
              <c:strCache>
                <c:ptCount val="8"/>
                <c:pt idx="0">
                  <c:v>上证50</c:v>
                </c:pt>
                <c:pt idx="1">
                  <c:v>上证综指</c:v>
                </c:pt>
                <c:pt idx="2">
                  <c:v>上证180</c:v>
                </c:pt>
                <c:pt idx="3">
                  <c:v>沪深300</c:v>
                </c:pt>
                <c:pt idx="4">
                  <c:v>万得全A</c:v>
                </c:pt>
                <c:pt idx="5">
                  <c:v>深证综指</c:v>
                </c:pt>
                <c:pt idx="6">
                  <c:v>中小扳指</c:v>
                </c:pt>
                <c:pt idx="7">
                  <c:v>创业扳指</c:v>
                </c:pt>
              </c:strCache>
            </c:strRef>
          </c:cat>
          <c:val>
            <c:numRef>
              <c:f>Sheet2!$B$2:$B$9</c:f>
              <c:numCache>
                <c:formatCode>General</c:formatCode>
                <c:ptCount val="8"/>
                <c:pt idx="0">
                  <c:v>3.4</c:v>
                </c:pt>
                <c:pt idx="1">
                  <c:v>3.6</c:v>
                </c:pt>
                <c:pt idx="2">
                  <c:v>4</c:v>
                </c:pt>
                <c:pt idx="3">
                  <c:v>4.0999999999999996</c:v>
                </c:pt>
                <c:pt idx="4">
                  <c:v>5.4</c:v>
                </c:pt>
                <c:pt idx="5">
                  <c:v>6</c:v>
                </c:pt>
                <c:pt idx="6">
                  <c:v>7.7</c:v>
                </c:pt>
                <c:pt idx="7">
                  <c:v>15.4</c:v>
                </c:pt>
              </c:numCache>
            </c:numRef>
          </c:val>
        </c:ser>
        <c:axId val="332194944"/>
        <c:axId val="332196480"/>
      </c:barChart>
      <c:catAx>
        <c:axId val="332194944"/>
        <c:scaling>
          <c:orientation val="maxMin"/>
        </c:scaling>
        <c:axPos val="l"/>
        <c:tickLblPos val="nextTo"/>
        <c:crossAx val="332196480"/>
        <c:crosses val="autoZero"/>
        <c:auto val="1"/>
        <c:lblAlgn val="ctr"/>
        <c:lblOffset val="100"/>
      </c:catAx>
      <c:valAx>
        <c:axId val="332196480"/>
        <c:scaling>
          <c:orientation val="minMax"/>
        </c:scaling>
        <c:axPos val="t"/>
        <c:majorGridlines/>
        <c:numFmt formatCode="General" sourceLinked="1"/>
        <c:tickLblPos val="nextTo"/>
        <c:crossAx val="332194944"/>
        <c:crosses val="autoZero"/>
        <c:crossBetween val="between"/>
      </c:valAx>
    </c:plotArea>
    <c:legend>
      <c:legendPos val="b"/>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clustered"/>
        <c:ser>
          <c:idx val="0"/>
          <c:order val="0"/>
          <c:tx>
            <c:strRef>
              <c:f>Sheet2!$F$1</c:f>
              <c:strCache>
                <c:ptCount val="1"/>
                <c:pt idx="0">
                  <c:v>年初以来</c:v>
                </c:pt>
              </c:strCache>
            </c:strRef>
          </c:tx>
          <c:cat>
            <c:strRef>
              <c:f>Sheet2!$E$2:$E$9</c:f>
              <c:strCache>
                <c:ptCount val="8"/>
                <c:pt idx="0">
                  <c:v>上证50</c:v>
                </c:pt>
                <c:pt idx="1">
                  <c:v>上证180</c:v>
                </c:pt>
                <c:pt idx="2">
                  <c:v>沪深300</c:v>
                </c:pt>
                <c:pt idx="3">
                  <c:v>上证综指</c:v>
                </c:pt>
                <c:pt idx="4">
                  <c:v>万得全A</c:v>
                </c:pt>
                <c:pt idx="5">
                  <c:v>深证综指</c:v>
                </c:pt>
                <c:pt idx="6">
                  <c:v>中小扳指</c:v>
                </c:pt>
                <c:pt idx="7">
                  <c:v>创业扳指</c:v>
                </c:pt>
              </c:strCache>
            </c:strRef>
          </c:cat>
          <c:val>
            <c:numRef>
              <c:f>Sheet2!$F$2:$F$9</c:f>
              <c:numCache>
                <c:formatCode>General</c:formatCode>
                <c:ptCount val="8"/>
                <c:pt idx="0">
                  <c:v>-11.6</c:v>
                </c:pt>
                <c:pt idx="1">
                  <c:v>-6.1</c:v>
                </c:pt>
                <c:pt idx="2">
                  <c:v>-4.5</c:v>
                </c:pt>
                <c:pt idx="3">
                  <c:v>-4.2</c:v>
                </c:pt>
                <c:pt idx="4">
                  <c:v>7.3</c:v>
                </c:pt>
                <c:pt idx="5">
                  <c:v>19.899999999999999</c:v>
                </c:pt>
                <c:pt idx="6">
                  <c:v>23.6</c:v>
                </c:pt>
                <c:pt idx="7">
                  <c:v>91.6</c:v>
                </c:pt>
              </c:numCache>
            </c:numRef>
          </c:val>
        </c:ser>
        <c:axId val="332363648"/>
        <c:axId val="332365184"/>
      </c:barChart>
      <c:catAx>
        <c:axId val="332363648"/>
        <c:scaling>
          <c:orientation val="maxMin"/>
        </c:scaling>
        <c:axPos val="l"/>
        <c:tickLblPos val="low"/>
        <c:crossAx val="332365184"/>
        <c:crosses val="autoZero"/>
        <c:auto val="1"/>
        <c:lblAlgn val="ctr"/>
        <c:lblOffset val="100"/>
      </c:catAx>
      <c:valAx>
        <c:axId val="332365184"/>
        <c:scaling>
          <c:orientation val="minMax"/>
        </c:scaling>
        <c:axPos val="t"/>
        <c:majorGridlines/>
        <c:numFmt formatCode="General" sourceLinked="1"/>
        <c:tickLblPos val="nextTo"/>
        <c:crossAx val="332363648"/>
        <c:crosses val="autoZero"/>
        <c:crossBetween val="between"/>
      </c:valAx>
    </c:plotArea>
    <c:legend>
      <c:legendPos val="b"/>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clustered"/>
        <c:ser>
          <c:idx val="0"/>
          <c:order val="0"/>
          <c:tx>
            <c:strRef>
              <c:f>Sheet1!$B$1</c:f>
              <c:strCache>
                <c:ptCount val="1"/>
                <c:pt idx="0">
                  <c:v>大类行业9月表现</c:v>
                </c:pt>
              </c:strCache>
            </c:strRef>
          </c:tx>
          <c:cat>
            <c:strRef>
              <c:f>Sheet1!$A$2:$A$24</c:f>
              <c:strCache>
                <c:ptCount val="23"/>
                <c:pt idx="0">
                  <c:v>有色金属</c:v>
                </c:pt>
                <c:pt idx="1">
                  <c:v>房地产</c:v>
                </c:pt>
                <c:pt idx="2">
                  <c:v>建筑建材</c:v>
                </c:pt>
                <c:pt idx="3">
                  <c:v>交通运输</c:v>
                </c:pt>
                <c:pt idx="4">
                  <c:v>采掘</c:v>
                </c:pt>
                <c:pt idx="5">
                  <c:v>黑色金属</c:v>
                </c:pt>
                <c:pt idx="6">
                  <c:v>化工</c:v>
                </c:pt>
                <c:pt idx="7">
                  <c:v>公用事业</c:v>
                </c:pt>
                <c:pt idx="8">
                  <c:v>电子</c:v>
                </c:pt>
                <c:pt idx="9">
                  <c:v>食品饮料</c:v>
                </c:pt>
                <c:pt idx="10">
                  <c:v>综合</c:v>
                </c:pt>
                <c:pt idx="11">
                  <c:v>金融服务</c:v>
                </c:pt>
                <c:pt idx="12">
                  <c:v>交运设备</c:v>
                </c:pt>
                <c:pt idx="13">
                  <c:v>家用电器</c:v>
                </c:pt>
                <c:pt idx="14">
                  <c:v>纺织服装</c:v>
                </c:pt>
                <c:pt idx="15">
                  <c:v>轻工制造</c:v>
                </c:pt>
                <c:pt idx="16">
                  <c:v>机械设备</c:v>
                </c:pt>
                <c:pt idx="17">
                  <c:v>医药生物</c:v>
                </c:pt>
                <c:pt idx="18">
                  <c:v>信息设备</c:v>
                </c:pt>
                <c:pt idx="19">
                  <c:v>餐饮旅游</c:v>
                </c:pt>
                <c:pt idx="20">
                  <c:v>农林牧渔</c:v>
                </c:pt>
                <c:pt idx="21">
                  <c:v>商业贸易</c:v>
                </c:pt>
                <c:pt idx="22">
                  <c:v>信息服务</c:v>
                </c:pt>
              </c:strCache>
            </c:strRef>
          </c:cat>
          <c:val>
            <c:numRef>
              <c:f>Sheet1!$B$2:$B$24</c:f>
              <c:numCache>
                <c:formatCode>General</c:formatCode>
                <c:ptCount val="23"/>
                <c:pt idx="0">
                  <c:v>-0.9</c:v>
                </c:pt>
                <c:pt idx="1">
                  <c:v>-0.60000000000000064</c:v>
                </c:pt>
                <c:pt idx="2">
                  <c:v>-0.5</c:v>
                </c:pt>
                <c:pt idx="3">
                  <c:v>1</c:v>
                </c:pt>
                <c:pt idx="4">
                  <c:v>1.2</c:v>
                </c:pt>
                <c:pt idx="5">
                  <c:v>1.2</c:v>
                </c:pt>
                <c:pt idx="6">
                  <c:v>1.7</c:v>
                </c:pt>
                <c:pt idx="7">
                  <c:v>1.8</c:v>
                </c:pt>
                <c:pt idx="8">
                  <c:v>3.7</c:v>
                </c:pt>
                <c:pt idx="9">
                  <c:v>4.2</c:v>
                </c:pt>
                <c:pt idx="10">
                  <c:v>4.4000000000000004</c:v>
                </c:pt>
                <c:pt idx="11">
                  <c:v>4.8</c:v>
                </c:pt>
                <c:pt idx="12">
                  <c:v>4.9000000000000004</c:v>
                </c:pt>
                <c:pt idx="13">
                  <c:v>4.9000000000000004</c:v>
                </c:pt>
                <c:pt idx="14">
                  <c:v>5.2</c:v>
                </c:pt>
                <c:pt idx="15">
                  <c:v>5.3</c:v>
                </c:pt>
                <c:pt idx="16">
                  <c:v>5.9</c:v>
                </c:pt>
                <c:pt idx="17">
                  <c:v>7.9</c:v>
                </c:pt>
                <c:pt idx="18">
                  <c:v>8.2000000000000011</c:v>
                </c:pt>
                <c:pt idx="19">
                  <c:v>9.3000000000000007</c:v>
                </c:pt>
                <c:pt idx="20">
                  <c:v>10.9</c:v>
                </c:pt>
                <c:pt idx="21">
                  <c:v>16.399999999999999</c:v>
                </c:pt>
                <c:pt idx="22">
                  <c:v>20.8</c:v>
                </c:pt>
              </c:numCache>
            </c:numRef>
          </c:val>
        </c:ser>
        <c:axId val="332393856"/>
        <c:axId val="332493952"/>
      </c:barChart>
      <c:catAx>
        <c:axId val="332393856"/>
        <c:scaling>
          <c:orientation val="maxMin"/>
        </c:scaling>
        <c:axPos val="l"/>
        <c:tickLblPos val="low"/>
        <c:crossAx val="332493952"/>
        <c:crosses val="autoZero"/>
        <c:auto val="1"/>
        <c:lblAlgn val="ctr"/>
        <c:lblOffset val="100"/>
      </c:catAx>
      <c:valAx>
        <c:axId val="332493952"/>
        <c:scaling>
          <c:orientation val="minMax"/>
        </c:scaling>
        <c:axPos val="t"/>
        <c:majorGridlines/>
        <c:numFmt formatCode="General" sourceLinked="1"/>
        <c:tickLblPos val="nextTo"/>
        <c:crossAx val="332393856"/>
        <c:crosses val="autoZero"/>
        <c:crossBetween val="between"/>
      </c:valAx>
    </c:plotArea>
    <c:legend>
      <c:legendPos val="b"/>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clustered"/>
        <c:ser>
          <c:idx val="0"/>
          <c:order val="0"/>
          <c:tx>
            <c:strRef>
              <c:f>Sheet1!$G$1</c:f>
              <c:strCache>
                <c:ptCount val="1"/>
                <c:pt idx="0">
                  <c:v>大类行业年初以来表现</c:v>
                </c:pt>
              </c:strCache>
            </c:strRef>
          </c:tx>
          <c:cat>
            <c:strRef>
              <c:f>Sheet1!$F$2:$F$24</c:f>
              <c:strCache>
                <c:ptCount val="23"/>
                <c:pt idx="0">
                  <c:v>采掘</c:v>
                </c:pt>
                <c:pt idx="1">
                  <c:v>有色金属</c:v>
                </c:pt>
                <c:pt idx="2">
                  <c:v>黑色金属</c:v>
                </c:pt>
                <c:pt idx="3">
                  <c:v>建筑建材</c:v>
                </c:pt>
                <c:pt idx="4">
                  <c:v>房地产</c:v>
                </c:pt>
                <c:pt idx="5">
                  <c:v>金融服务</c:v>
                </c:pt>
                <c:pt idx="6">
                  <c:v>食品饮料</c:v>
                </c:pt>
                <c:pt idx="7">
                  <c:v>纺织服装</c:v>
                </c:pt>
                <c:pt idx="8">
                  <c:v>交通运输</c:v>
                </c:pt>
                <c:pt idx="9">
                  <c:v>化工</c:v>
                </c:pt>
                <c:pt idx="10">
                  <c:v>公用事业</c:v>
                </c:pt>
                <c:pt idx="11">
                  <c:v>农林牧渔</c:v>
                </c:pt>
                <c:pt idx="12">
                  <c:v>交运设备</c:v>
                </c:pt>
                <c:pt idx="13">
                  <c:v>机械设备</c:v>
                </c:pt>
                <c:pt idx="14">
                  <c:v>家用电器</c:v>
                </c:pt>
                <c:pt idx="15">
                  <c:v>综合</c:v>
                </c:pt>
                <c:pt idx="16">
                  <c:v>轻工制造</c:v>
                </c:pt>
                <c:pt idx="17">
                  <c:v>商业贸易</c:v>
                </c:pt>
                <c:pt idx="18">
                  <c:v>餐饮旅游</c:v>
                </c:pt>
                <c:pt idx="19">
                  <c:v>医药生物</c:v>
                </c:pt>
                <c:pt idx="20">
                  <c:v>电子</c:v>
                </c:pt>
                <c:pt idx="21">
                  <c:v>信息设备</c:v>
                </c:pt>
                <c:pt idx="22">
                  <c:v>信息服务</c:v>
                </c:pt>
              </c:strCache>
            </c:strRef>
          </c:cat>
          <c:val>
            <c:numRef>
              <c:f>Sheet1!$G$2:$G$24</c:f>
              <c:numCache>
                <c:formatCode>General</c:formatCode>
                <c:ptCount val="23"/>
                <c:pt idx="0">
                  <c:v>-26.2</c:v>
                </c:pt>
                <c:pt idx="1">
                  <c:v>-21.3</c:v>
                </c:pt>
                <c:pt idx="2">
                  <c:v>-17.399999999999999</c:v>
                </c:pt>
                <c:pt idx="3">
                  <c:v>-11.2</c:v>
                </c:pt>
                <c:pt idx="4">
                  <c:v>-5.0999999999999996</c:v>
                </c:pt>
                <c:pt idx="5">
                  <c:v>-4.9000000000000004</c:v>
                </c:pt>
                <c:pt idx="6">
                  <c:v>-2.6</c:v>
                </c:pt>
                <c:pt idx="7">
                  <c:v>3.1</c:v>
                </c:pt>
                <c:pt idx="8">
                  <c:v>5.7</c:v>
                </c:pt>
                <c:pt idx="9">
                  <c:v>6.9</c:v>
                </c:pt>
                <c:pt idx="10">
                  <c:v>8.1</c:v>
                </c:pt>
                <c:pt idx="11">
                  <c:v>10</c:v>
                </c:pt>
                <c:pt idx="12">
                  <c:v>11.7</c:v>
                </c:pt>
                <c:pt idx="13">
                  <c:v>13.6</c:v>
                </c:pt>
                <c:pt idx="14">
                  <c:v>17.7</c:v>
                </c:pt>
                <c:pt idx="15">
                  <c:v>18.2</c:v>
                </c:pt>
                <c:pt idx="16">
                  <c:v>19.100000000000001</c:v>
                </c:pt>
                <c:pt idx="17">
                  <c:v>23.5</c:v>
                </c:pt>
                <c:pt idx="18">
                  <c:v>25.9</c:v>
                </c:pt>
                <c:pt idx="19">
                  <c:v>40.300000000000004</c:v>
                </c:pt>
                <c:pt idx="20">
                  <c:v>41.4</c:v>
                </c:pt>
                <c:pt idx="21">
                  <c:v>54</c:v>
                </c:pt>
                <c:pt idx="22">
                  <c:v>103</c:v>
                </c:pt>
              </c:numCache>
            </c:numRef>
          </c:val>
        </c:ser>
        <c:axId val="332669312"/>
        <c:axId val="332670848"/>
      </c:barChart>
      <c:catAx>
        <c:axId val="332669312"/>
        <c:scaling>
          <c:orientation val="maxMin"/>
        </c:scaling>
        <c:axPos val="l"/>
        <c:tickLblPos val="low"/>
        <c:crossAx val="332670848"/>
        <c:crosses val="autoZero"/>
        <c:auto val="1"/>
        <c:lblAlgn val="ctr"/>
        <c:lblOffset val="100"/>
      </c:catAx>
      <c:valAx>
        <c:axId val="332670848"/>
        <c:scaling>
          <c:orientation val="minMax"/>
        </c:scaling>
        <c:axPos val="t"/>
        <c:majorGridlines/>
        <c:numFmt formatCode="General" sourceLinked="1"/>
        <c:tickLblPos val="nextTo"/>
        <c:crossAx val="332669312"/>
        <c:crosses val="autoZero"/>
        <c:crossBetween val="between"/>
      </c:valAx>
    </c:plotArea>
    <c:legend>
      <c:legendPos val="b"/>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Sheet1!$B$1</c:f>
              <c:strCache>
                <c:ptCount val="1"/>
                <c:pt idx="0">
                  <c:v>募资金额（US＄M）</c:v>
                </c:pt>
              </c:strCache>
            </c:strRef>
          </c:tx>
          <c:dLbls>
            <c:dLbl>
              <c:idx val="3"/>
              <c:layout>
                <c:manualLayout>
                  <c:x val="0"/>
                  <c:y val="1.1695906432748536E-2"/>
                </c:manualLayout>
              </c:layout>
              <c:dLblPos val="outEnd"/>
              <c:showVal val="1"/>
            </c:dLbl>
            <c:dLbl>
              <c:idx val="9"/>
              <c:layout>
                <c:manualLayout>
                  <c:x val="0"/>
                  <c:y val="2.3391812865497082E-2"/>
                </c:manualLayout>
              </c:layout>
              <c:dLblPos val="outEnd"/>
              <c:showVal val="1"/>
            </c:dLbl>
            <c:dLbl>
              <c:idx val="10"/>
              <c:layout>
                <c:manualLayout>
                  <c:x val="0"/>
                  <c:y val="-7.407407407407407E-2"/>
                </c:manualLayout>
              </c:layout>
              <c:dLblPos val="outEnd"/>
              <c:showVal val="1"/>
            </c:dLbl>
            <c:txPr>
              <a:bodyPr/>
              <a:lstStyle/>
              <a:p>
                <a:pPr>
                  <a:defRPr sz="800" baseline="0"/>
                </a:pPr>
                <a:endParaRPr lang="zh-CN"/>
              </a:p>
            </c:txPr>
            <c:dLblPos val="outEnd"/>
            <c:showVal val="1"/>
          </c:dLbls>
          <c:cat>
            <c:strRef>
              <c:f>Sheet1!$A$2:$A$12</c:f>
              <c:strCache>
                <c:ptCount val="11"/>
                <c:pt idx="0">
                  <c:v>Q1'11</c:v>
                </c:pt>
                <c:pt idx="1">
                  <c:v>Q2'11</c:v>
                </c:pt>
                <c:pt idx="2">
                  <c:v>Q3'11</c:v>
                </c:pt>
                <c:pt idx="3">
                  <c:v>Q4'11</c:v>
                </c:pt>
                <c:pt idx="4">
                  <c:v>Q1'12</c:v>
                </c:pt>
                <c:pt idx="5">
                  <c:v>Q2'12</c:v>
                </c:pt>
                <c:pt idx="6">
                  <c:v>Q3'12</c:v>
                </c:pt>
                <c:pt idx="7">
                  <c:v>Q4'12</c:v>
                </c:pt>
                <c:pt idx="8">
                  <c:v>Q1'13</c:v>
                </c:pt>
                <c:pt idx="9">
                  <c:v>Q2'13</c:v>
                </c:pt>
                <c:pt idx="10">
                  <c:v>Q3'13</c:v>
                </c:pt>
              </c:strCache>
            </c:strRef>
          </c:cat>
          <c:val>
            <c:numRef>
              <c:f>Sheet1!$B$2:$B$12</c:f>
              <c:numCache>
                <c:formatCode>#,##0.00;[Red]\-#,##0.00</c:formatCode>
                <c:ptCount val="11"/>
                <c:pt idx="0">
                  <c:v>12328.15</c:v>
                </c:pt>
                <c:pt idx="1">
                  <c:v>10447.15</c:v>
                </c:pt>
                <c:pt idx="2">
                  <c:v>12923.25</c:v>
                </c:pt>
                <c:pt idx="3">
                  <c:v>3158.96</c:v>
                </c:pt>
                <c:pt idx="4">
                  <c:v>6693.59</c:v>
                </c:pt>
                <c:pt idx="5">
                  <c:v>7398.48</c:v>
                </c:pt>
                <c:pt idx="6">
                  <c:v>5969.6900000000014</c:v>
                </c:pt>
                <c:pt idx="7">
                  <c:v>5250.9</c:v>
                </c:pt>
                <c:pt idx="8">
                  <c:v>3063.2599999999998</c:v>
                </c:pt>
                <c:pt idx="9">
                  <c:v>3138.92</c:v>
                </c:pt>
                <c:pt idx="10">
                  <c:v>4145.7700000000013</c:v>
                </c:pt>
              </c:numCache>
            </c:numRef>
          </c:val>
        </c:ser>
        <c:dLbls>
          <c:showVal val="1"/>
        </c:dLbls>
        <c:gapWidth val="75"/>
        <c:axId val="333415168"/>
        <c:axId val="333416704"/>
      </c:barChart>
      <c:lineChart>
        <c:grouping val="standard"/>
        <c:ser>
          <c:idx val="1"/>
          <c:order val="1"/>
          <c:tx>
            <c:strRef>
              <c:f>Sheet1!$C$1</c:f>
              <c:strCache>
                <c:ptCount val="1"/>
                <c:pt idx="0">
                  <c:v>新募基金数</c:v>
                </c:pt>
              </c:strCache>
            </c:strRef>
          </c:tx>
          <c:dLbls>
            <c:dLbl>
              <c:idx val="3"/>
              <c:layout>
                <c:manualLayout>
                  <c:x val="-3.4376918354818861E-2"/>
                  <c:y val="-5.8479532163742687E-2"/>
                </c:manualLayout>
              </c:layout>
              <c:showVal val="1"/>
            </c:dLbl>
            <c:dLbl>
              <c:idx val="8"/>
              <c:layout>
                <c:manualLayout>
                  <c:x val="-3.1921424186617559E-2"/>
                  <c:y val="-4.2884990253411852E-2"/>
                </c:manualLayout>
              </c:layout>
              <c:showVal val="1"/>
            </c:dLbl>
            <c:dLbl>
              <c:idx val="9"/>
              <c:layout>
                <c:manualLayout>
                  <c:x val="-3.437691835481891E-2"/>
                  <c:y val="-4.2884990253411852E-2"/>
                </c:manualLayout>
              </c:layout>
              <c:showVal val="1"/>
            </c:dLbl>
            <c:dLbl>
              <c:idx val="10"/>
              <c:layout>
                <c:manualLayout>
                  <c:x val="-1.2277470841006761E-2"/>
                  <c:y val="-3.8986354775828458E-3"/>
                </c:manualLayout>
              </c:layout>
              <c:showVal val="1"/>
            </c:dLbl>
            <c:txPr>
              <a:bodyPr/>
              <a:lstStyle/>
              <a:p>
                <a:pPr>
                  <a:defRPr sz="800" baseline="0"/>
                </a:pPr>
                <a:endParaRPr lang="zh-CN"/>
              </a:p>
            </c:txPr>
            <c:showVal val="1"/>
          </c:dLbls>
          <c:cat>
            <c:strRef>
              <c:f>Sheet1!$A$2:$A$12</c:f>
              <c:strCache>
                <c:ptCount val="11"/>
                <c:pt idx="0">
                  <c:v>Q1'11</c:v>
                </c:pt>
                <c:pt idx="1">
                  <c:v>Q2'11</c:v>
                </c:pt>
                <c:pt idx="2">
                  <c:v>Q3'11</c:v>
                </c:pt>
                <c:pt idx="3">
                  <c:v>Q4'11</c:v>
                </c:pt>
                <c:pt idx="4">
                  <c:v>Q1'12</c:v>
                </c:pt>
                <c:pt idx="5">
                  <c:v>Q2'12</c:v>
                </c:pt>
                <c:pt idx="6">
                  <c:v>Q3'12</c:v>
                </c:pt>
                <c:pt idx="7">
                  <c:v>Q4'12</c:v>
                </c:pt>
                <c:pt idx="8">
                  <c:v>Q1'13</c:v>
                </c:pt>
                <c:pt idx="9">
                  <c:v>Q2'13</c:v>
                </c:pt>
                <c:pt idx="10">
                  <c:v>Q3'13</c:v>
                </c:pt>
              </c:strCache>
            </c:strRef>
          </c:cat>
          <c:val>
            <c:numRef>
              <c:f>Sheet1!$C$2:$C$12</c:f>
              <c:numCache>
                <c:formatCode>General</c:formatCode>
                <c:ptCount val="11"/>
                <c:pt idx="0">
                  <c:v>44</c:v>
                </c:pt>
                <c:pt idx="1">
                  <c:v>71</c:v>
                </c:pt>
                <c:pt idx="2">
                  <c:v>85</c:v>
                </c:pt>
                <c:pt idx="3">
                  <c:v>35</c:v>
                </c:pt>
                <c:pt idx="4">
                  <c:v>95</c:v>
                </c:pt>
                <c:pt idx="5">
                  <c:v>102</c:v>
                </c:pt>
                <c:pt idx="6">
                  <c:v>110</c:v>
                </c:pt>
                <c:pt idx="7">
                  <c:v>62</c:v>
                </c:pt>
                <c:pt idx="8">
                  <c:v>36</c:v>
                </c:pt>
                <c:pt idx="9">
                  <c:v>34</c:v>
                </c:pt>
                <c:pt idx="10">
                  <c:v>42</c:v>
                </c:pt>
              </c:numCache>
            </c:numRef>
          </c:val>
        </c:ser>
        <c:dLbls>
          <c:showVal val="1"/>
        </c:dLbls>
        <c:marker val="1"/>
        <c:axId val="333424128"/>
        <c:axId val="333422592"/>
      </c:lineChart>
      <c:catAx>
        <c:axId val="333415168"/>
        <c:scaling>
          <c:orientation val="minMax"/>
        </c:scaling>
        <c:axPos val="b"/>
        <c:majorTickMark val="none"/>
        <c:tickLblPos val="nextTo"/>
        <c:txPr>
          <a:bodyPr/>
          <a:lstStyle/>
          <a:p>
            <a:pPr>
              <a:defRPr sz="800" baseline="0"/>
            </a:pPr>
            <a:endParaRPr lang="zh-CN"/>
          </a:p>
        </c:txPr>
        <c:crossAx val="333416704"/>
        <c:crosses val="autoZero"/>
        <c:auto val="1"/>
        <c:lblAlgn val="ctr"/>
        <c:lblOffset val="100"/>
      </c:catAx>
      <c:valAx>
        <c:axId val="333416704"/>
        <c:scaling>
          <c:orientation val="minMax"/>
        </c:scaling>
        <c:axPos val="l"/>
        <c:numFmt formatCode="#,##0.00;[Red]\-#,##0.00" sourceLinked="1"/>
        <c:majorTickMark val="none"/>
        <c:tickLblPos val="nextTo"/>
        <c:txPr>
          <a:bodyPr/>
          <a:lstStyle/>
          <a:p>
            <a:pPr>
              <a:defRPr sz="800" baseline="0"/>
            </a:pPr>
            <a:endParaRPr lang="zh-CN"/>
          </a:p>
        </c:txPr>
        <c:crossAx val="333415168"/>
        <c:crosses val="autoZero"/>
        <c:crossBetween val="between"/>
      </c:valAx>
      <c:valAx>
        <c:axId val="333422592"/>
        <c:scaling>
          <c:orientation val="minMax"/>
        </c:scaling>
        <c:axPos val="r"/>
        <c:numFmt formatCode="General" sourceLinked="1"/>
        <c:tickLblPos val="nextTo"/>
        <c:txPr>
          <a:bodyPr/>
          <a:lstStyle/>
          <a:p>
            <a:pPr>
              <a:defRPr sz="800" baseline="0"/>
            </a:pPr>
            <a:endParaRPr lang="zh-CN"/>
          </a:p>
        </c:txPr>
        <c:crossAx val="333424128"/>
        <c:crosses val="max"/>
        <c:crossBetween val="between"/>
      </c:valAx>
      <c:catAx>
        <c:axId val="333424128"/>
        <c:scaling>
          <c:orientation val="minMax"/>
        </c:scaling>
        <c:delete val="1"/>
        <c:axPos val="b"/>
        <c:tickLblPos val="none"/>
        <c:crossAx val="333422592"/>
        <c:crosses val="autoZero"/>
        <c:auto val="1"/>
        <c:lblAlgn val="ctr"/>
        <c:lblOffset val="100"/>
      </c:catAx>
    </c:plotArea>
    <c:legend>
      <c:legendPos val="b"/>
      <c:txPr>
        <a:bodyPr/>
        <a:lstStyle/>
        <a:p>
          <a:pPr>
            <a:defRPr sz="800" baseline="0"/>
          </a:pPr>
          <a:endParaRPr lang="zh-CN"/>
        </a:p>
      </c:txPr>
    </c:legend>
    <c:plotVisOnly val="1"/>
    <c:dispBlanksAs val="gap"/>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25680055510302591"/>
          <c:y val="3.625312583958501E-2"/>
          <c:w val="0.53544079403867662"/>
          <c:h val="0.91699506065678982"/>
        </c:manualLayout>
      </c:layout>
      <c:pieChart>
        <c:varyColors val="1"/>
        <c:ser>
          <c:idx val="0"/>
          <c:order val="0"/>
          <c:tx>
            <c:strRef>
              <c:f>Sheet2!$A$2</c:f>
              <c:strCache>
                <c:ptCount val="1"/>
                <c:pt idx="0">
                  <c:v>募资金额</c:v>
                </c:pt>
              </c:strCache>
            </c:strRef>
          </c:tx>
          <c:dLbls>
            <c:dLbl>
              <c:idx val="0"/>
              <c:layout>
                <c:manualLayout>
                  <c:x val="3.8446918273146891E-2"/>
                  <c:y val="8.1716163432326867E-4"/>
                </c:manualLayout>
              </c:layout>
              <c:dLblPos val="bestFit"/>
              <c:showVal val="1"/>
              <c:showCatName val="1"/>
              <c:showPercent val="1"/>
            </c:dLbl>
            <c:dLbl>
              <c:idx val="1"/>
              <c:layout>
                <c:manualLayout>
                  <c:x val="-1.3427459498597224E-2"/>
                  <c:y val="-1.9701986070638822E-2"/>
                </c:manualLayout>
              </c:layout>
              <c:dLblPos val="bestFit"/>
              <c:showVal val="1"/>
              <c:showCatName val="1"/>
              <c:showPercent val="1"/>
            </c:dLbl>
            <c:dLbl>
              <c:idx val="4"/>
              <c:layout>
                <c:manualLayout>
                  <c:x val="4.5280719220442293E-2"/>
                  <c:y val="2.3622047244094488E-2"/>
                </c:manualLayout>
              </c:layout>
              <c:dLblPos val="bestFit"/>
              <c:showVal val="1"/>
              <c:showCatName val="1"/>
              <c:showPercent val="1"/>
            </c:dLbl>
            <c:numFmt formatCode="0.00%" sourceLinked="0"/>
            <c:dLblPos val="bestFit"/>
            <c:showVal val="1"/>
            <c:showCatName val="1"/>
            <c:showPercent val="1"/>
            <c:showLeaderLines val="1"/>
          </c:dLbls>
          <c:cat>
            <c:strRef>
              <c:f>Sheet2!$B$1:$F$1</c:f>
              <c:strCache>
                <c:ptCount val="5"/>
                <c:pt idx="0">
                  <c:v>房地产基金</c:v>
                </c:pt>
                <c:pt idx="1">
                  <c:v>成长基金</c:v>
                </c:pt>
                <c:pt idx="2">
                  <c:v>并购基金</c:v>
                </c:pt>
                <c:pt idx="3">
                  <c:v>夹层基金</c:v>
                </c:pt>
                <c:pt idx="4">
                  <c:v>其他</c:v>
                </c:pt>
              </c:strCache>
            </c:strRef>
          </c:cat>
          <c:val>
            <c:numRef>
              <c:f>Sheet2!$B$2:$F$2</c:f>
              <c:numCache>
                <c:formatCode>General</c:formatCode>
                <c:ptCount val="5"/>
                <c:pt idx="0">
                  <c:v>2396.1799999999998</c:v>
                </c:pt>
                <c:pt idx="1">
                  <c:v>732.84999999999798</c:v>
                </c:pt>
                <c:pt idx="2">
                  <c:v>379.35</c:v>
                </c:pt>
                <c:pt idx="3">
                  <c:v>16.260000000000002</c:v>
                </c:pt>
                <c:pt idx="4">
                  <c:v>621.14</c:v>
                </c:pt>
              </c:numCache>
            </c:numRef>
          </c:val>
        </c:ser>
        <c:dLbls>
          <c:showCatName val="1"/>
          <c:showPercent val="1"/>
        </c:dLbls>
        <c:firstSliceAng val="0"/>
      </c:pieChart>
    </c:plotArea>
    <c:plotVisOnly val="1"/>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Sheet4!$B$1</c:f>
              <c:strCache>
                <c:ptCount val="1"/>
                <c:pt idx="0">
                  <c:v>投资金额（US＄M）</c:v>
                </c:pt>
              </c:strCache>
            </c:strRef>
          </c:tx>
          <c:dLbls>
            <c:dLbl>
              <c:idx val="5"/>
              <c:layout>
                <c:manualLayout>
                  <c:x val="0"/>
                  <c:y val="2.7777777777778078E-2"/>
                </c:manualLayout>
              </c:layout>
              <c:showVal val="1"/>
            </c:dLbl>
            <c:txPr>
              <a:bodyPr/>
              <a:lstStyle/>
              <a:p>
                <a:pPr>
                  <a:defRPr sz="800" baseline="0"/>
                </a:pPr>
                <a:endParaRPr lang="zh-CN"/>
              </a:p>
            </c:txPr>
            <c:showVal val="1"/>
          </c:dLbls>
          <c:cat>
            <c:strRef>
              <c:f>Sheet4!$A$2:$A$12</c:f>
              <c:strCache>
                <c:ptCount val="11"/>
                <c:pt idx="0">
                  <c:v>Q1'11</c:v>
                </c:pt>
                <c:pt idx="1">
                  <c:v>Q2'11</c:v>
                </c:pt>
                <c:pt idx="2">
                  <c:v>Q3'11</c:v>
                </c:pt>
                <c:pt idx="3">
                  <c:v>Q4'11</c:v>
                </c:pt>
                <c:pt idx="4">
                  <c:v>Q1'12</c:v>
                </c:pt>
                <c:pt idx="5">
                  <c:v>Q2'12</c:v>
                </c:pt>
                <c:pt idx="6">
                  <c:v>Q3'12</c:v>
                </c:pt>
                <c:pt idx="7">
                  <c:v>Q4'12</c:v>
                </c:pt>
                <c:pt idx="8">
                  <c:v>Q1'13</c:v>
                </c:pt>
                <c:pt idx="9">
                  <c:v>Q2'13</c:v>
                </c:pt>
                <c:pt idx="10">
                  <c:v>Q3'13</c:v>
                </c:pt>
              </c:strCache>
            </c:strRef>
          </c:cat>
          <c:val>
            <c:numRef>
              <c:f>Sheet4!$B$2:$B$12</c:f>
              <c:numCache>
                <c:formatCode>#,##0.00;[Red]\-#,##0.00</c:formatCode>
                <c:ptCount val="11"/>
                <c:pt idx="0">
                  <c:v>4633.8600000000024</c:v>
                </c:pt>
                <c:pt idx="1">
                  <c:v>10563.14000000001</c:v>
                </c:pt>
                <c:pt idx="2">
                  <c:v>5770.02</c:v>
                </c:pt>
                <c:pt idx="3">
                  <c:v>6630.28</c:v>
                </c:pt>
                <c:pt idx="4">
                  <c:v>4658.63</c:v>
                </c:pt>
                <c:pt idx="5">
                  <c:v>4375.5</c:v>
                </c:pt>
                <c:pt idx="6">
                  <c:v>8003.9299999999994</c:v>
                </c:pt>
                <c:pt idx="7">
                  <c:v>2746.4500000000012</c:v>
                </c:pt>
                <c:pt idx="8">
                  <c:v>2231.9699999999998</c:v>
                </c:pt>
                <c:pt idx="9">
                  <c:v>5805.44</c:v>
                </c:pt>
                <c:pt idx="10">
                  <c:v>3310.4500000000012</c:v>
                </c:pt>
              </c:numCache>
            </c:numRef>
          </c:val>
        </c:ser>
        <c:dLbls>
          <c:showVal val="1"/>
        </c:dLbls>
        <c:gapWidth val="75"/>
        <c:axId val="333509760"/>
        <c:axId val="333511296"/>
      </c:barChart>
      <c:lineChart>
        <c:grouping val="standard"/>
        <c:ser>
          <c:idx val="1"/>
          <c:order val="1"/>
          <c:tx>
            <c:strRef>
              <c:f>Sheet4!$C$1</c:f>
              <c:strCache>
                <c:ptCount val="1"/>
                <c:pt idx="0">
                  <c:v>案例数量</c:v>
                </c:pt>
              </c:strCache>
            </c:strRef>
          </c:tx>
          <c:dLbls>
            <c:dLbl>
              <c:idx val="2"/>
              <c:layout>
                <c:manualLayout>
                  <c:x val="0"/>
                  <c:y val="0.1111111111111111"/>
                </c:manualLayout>
              </c:layout>
              <c:dLblPos val="t"/>
              <c:showVal val="1"/>
            </c:dLbl>
            <c:txPr>
              <a:bodyPr/>
              <a:lstStyle/>
              <a:p>
                <a:pPr>
                  <a:defRPr sz="800" baseline="0"/>
                </a:pPr>
                <a:endParaRPr lang="zh-CN"/>
              </a:p>
            </c:txPr>
            <c:dLblPos val="t"/>
            <c:showVal val="1"/>
          </c:dLbls>
          <c:cat>
            <c:strRef>
              <c:f>Sheet4!$A$2:$A$12</c:f>
              <c:strCache>
                <c:ptCount val="11"/>
                <c:pt idx="0">
                  <c:v>Q1'11</c:v>
                </c:pt>
                <c:pt idx="1">
                  <c:v>Q2'11</c:v>
                </c:pt>
                <c:pt idx="2">
                  <c:v>Q3'11</c:v>
                </c:pt>
                <c:pt idx="3">
                  <c:v>Q4'11</c:v>
                </c:pt>
                <c:pt idx="4">
                  <c:v>Q1'12</c:v>
                </c:pt>
                <c:pt idx="5">
                  <c:v>Q2'12</c:v>
                </c:pt>
                <c:pt idx="6">
                  <c:v>Q3'12</c:v>
                </c:pt>
                <c:pt idx="7">
                  <c:v>Q4'12</c:v>
                </c:pt>
                <c:pt idx="8">
                  <c:v>Q1'13</c:v>
                </c:pt>
                <c:pt idx="9">
                  <c:v>Q2'13</c:v>
                </c:pt>
                <c:pt idx="10">
                  <c:v>Q3'13</c:v>
                </c:pt>
              </c:strCache>
            </c:strRef>
          </c:cat>
          <c:val>
            <c:numRef>
              <c:f>Sheet4!$C$2:$C$12</c:f>
              <c:numCache>
                <c:formatCode>General</c:formatCode>
                <c:ptCount val="11"/>
                <c:pt idx="0">
                  <c:v>150</c:v>
                </c:pt>
                <c:pt idx="1">
                  <c:v>175</c:v>
                </c:pt>
                <c:pt idx="2">
                  <c:v>214</c:v>
                </c:pt>
                <c:pt idx="3">
                  <c:v>156</c:v>
                </c:pt>
                <c:pt idx="4">
                  <c:v>175</c:v>
                </c:pt>
                <c:pt idx="5">
                  <c:v>193</c:v>
                </c:pt>
                <c:pt idx="6">
                  <c:v>194</c:v>
                </c:pt>
                <c:pt idx="7">
                  <c:v>118</c:v>
                </c:pt>
                <c:pt idx="8">
                  <c:v>92</c:v>
                </c:pt>
                <c:pt idx="9">
                  <c:v>88</c:v>
                </c:pt>
                <c:pt idx="10">
                  <c:v>109</c:v>
                </c:pt>
              </c:numCache>
            </c:numRef>
          </c:val>
        </c:ser>
        <c:marker val="1"/>
        <c:axId val="333522816"/>
        <c:axId val="333521280"/>
      </c:lineChart>
      <c:catAx>
        <c:axId val="333509760"/>
        <c:scaling>
          <c:orientation val="minMax"/>
        </c:scaling>
        <c:axPos val="b"/>
        <c:majorTickMark val="none"/>
        <c:tickLblPos val="nextTo"/>
        <c:txPr>
          <a:bodyPr/>
          <a:lstStyle/>
          <a:p>
            <a:pPr>
              <a:defRPr sz="800" baseline="0"/>
            </a:pPr>
            <a:endParaRPr lang="zh-CN"/>
          </a:p>
        </c:txPr>
        <c:crossAx val="333511296"/>
        <c:crosses val="autoZero"/>
        <c:auto val="1"/>
        <c:lblAlgn val="ctr"/>
        <c:lblOffset val="100"/>
      </c:catAx>
      <c:valAx>
        <c:axId val="333511296"/>
        <c:scaling>
          <c:orientation val="minMax"/>
        </c:scaling>
        <c:axPos val="l"/>
        <c:numFmt formatCode="#,##0.00;[Red]\-#,##0.00" sourceLinked="1"/>
        <c:majorTickMark val="none"/>
        <c:tickLblPos val="nextTo"/>
        <c:txPr>
          <a:bodyPr/>
          <a:lstStyle/>
          <a:p>
            <a:pPr>
              <a:defRPr sz="800" baseline="0"/>
            </a:pPr>
            <a:endParaRPr lang="zh-CN"/>
          </a:p>
        </c:txPr>
        <c:crossAx val="333509760"/>
        <c:crosses val="autoZero"/>
        <c:crossBetween val="between"/>
      </c:valAx>
      <c:valAx>
        <c:axId val="333521280"/>
        <c:scaling>
          <c:orientation val="minMax"/>
        </c:scaling>
        <c:axPos val="r"/>
        <c:numFmt formatCode="General" sourceLinked="1"/>
        <c:tickLblPos val="nextTo"/>
        <c:txPr>
          <a:bodyPr/>
          <a:lstStyle/>
          <a:p>
            <a:pPr>
              <a:defRPr sz="800" baseline="0"/>
            </a:pPr>
            <a:endParaRPr lang="zh-CN"/>
          </a:p>
        </c:txPr>
        <c:crossAx val="333522816"/>
        <c:crosses val="max"/>
        <c:crossBetween val="between"/>
      </c:valAx>
      <c:catAx>
        <c:axId val="333522816"/>
        <c:scaling>
          <c:orientation val="minMax"/>
        </c:scaling>
        <c:delete val="1"/>
        <c:axPos val="b"/>
        <c:tickLblPos val="none"/>
        <c:crossAx val="333521280"/>
        <c:crosses val="autoZero"/>
        <c:auto val="1"/>
        <c:lblAlgn val="ctr"/>
        <c:lblOffset val="100"/>
      </c:catAx>
    </c:plotArea>
    <c:legend>
      <c:legendPos val="b"/>
      <c:txPr>
        <a:bodyPr/>
        <a:lstStyle/>
        <a:p>
          <a:pPr>
            <a:defRPr sz="800" baseline="0"/>
          </a:pPr>
          <a:endParaRPr lang="zh-CN"/>
        </a:p>
      </c:txPr>
    </c:legend>
    <c:plotVisOnly val="1"/>
    <c:dispBlanksAs val="gap"/>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22228767394641705"/>
          <c:y val="4.7115283666464766E-2"/>
          <c:w val="0.58372653889961856"/>
          <c:h val="0.95192327882091654"/>
        </c:manualLayout>
      </c:layout>
      <c:pieChart>
        <c:varyColors val="1"/>
        <c:ser>
          <c:idx val="0"/>
          <c:order val="0"/>
          <c:dLbls>
            <c:dLbl>
              <c:idx val="0"/>
              <c:layout>
                <c:manualLayout>
                  <c:x val="1.2952013073837469E-2"/>
                  <c:y val="0.10335715727841713"/>
                </c:manualLayout>
              </c:layout>
              <c:showVal val="1"/>
              <c:showCatName val="1"/>
              <c:showPercent val="1"/>
            </c:dLbl>
            <c:dLbl>
              <c:idx val="1"/>
              <c:layout>
                <c:manualLayout>
                  <c:x val="-1.4331822908928836E-2"/>
                  <c:y val="-7.8683626085200908E-2"/>
                </c:manualLayout>
              </c:layout>
              <c:showVal val="1"/>
              <c:showCatName val="1"/>
              <c:showPercent val="1"/>
            </c:dLbl>
            <c:dLbl>
              <c:idx val="2"/>
              <c:layout>
                <c:manualLayout>
                  <c:x val="-1.5814391125637602E-2"/>
                  <c:y val="3.0642035130224194E-2"/>
                </c:manualLayout>
              </c:layout>
              <c:showVal val="1"/>
              <c:showCatName val="1"/>
              <c:showPercent val="1"/>
            </c:dLbl>
            <c:numFmt formatCode="0.00%" sourceLinked="0"/>
            <c:showVal val="1"/>
            <c:showCatName val="1"/>
            <c:showPercent val="1"/>
            <c:showLeaderLines val="1"/>
          </c:dLbls>
          <c:cat>
            <c:strRef>
              <c:f>Sheet5!$A$1:$D$1</c:f>
              <c:strCache>
                <c:ptCount val="4"/>
                <c:pt idx="0">
                  <c:v>成长资本</c:v>
                </c:pt>
                <c:pt idx="1">
                  <c:v>房地产投资</c:v>
                </c:pt>
                <c:pt idx="2">
                  <c:v>PIPE</c:v>
                </c:pt>
                <c:pt idx="3">
                  <c:v>未披露</c:v>
                </c:pt>
              </c:strCache>
            </c:strRef>
          </c:cat>
          <c:val>
            <c:numRef>
              <c:f>Sheet5!$A$2:$D$2</c:f>
              <c:numCache>
                <c:formatCode>General</c:formatCode>
                <c:ptCount val="4"/>
                <c:pt idx="0">
                  <c:v>1612.53</c:v>
                </c:pt>
                <c:pt idx="1">
                  <c:v>949.8</c:v>
                </c:pt>
                <c:pt idx="2">
                  <c:v>747.14</c:v>
                </c:pt>
                <c:pt idx="3">
                  <c:v>0.98</c:v>
                </c:pt>
              </c:numCache>
            </c:numRef>
          </c:val>
        </c:ser>
        <c:dLbls>
          <c:showCatName val="1"/>
          <c:showPercent val="1"/>
        </c:dLbls>
        <c:firstSliceAng val="0"/>
      </c:pieChart>
    </c:plotArea>
    <c:plotVisOnly val="1"/>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bar"/>
        <c:grouping val="clustered"/>
        <c:ser>
          <c:idx val="0"/>
          <c:order val="0"/>
          <c:cat>
            <c:strRef>
              <c:f>Sheet6!$A$2:$A$22</c:f>
              <c:strCache>
                <c:ptCount val="21"/>
                <c:pt idx="0">
                  <c:v>半导体</c:v>
                </c:pt>
                <c:pt idx="1">
                  <c:v>纺织及服装</c:v>
                </c:pt>
                <c:pt idx="2">
                  <c:v>能源及矿产</c:v>
                </c:pt>
                <c:pt idx="3">
                  <c:v>其他</c:v>
                </c:pt>
                <c:pt idx="4">
                  <c:v>未披露</c:v>
                </c:pt>
                <c:pt idx="5">
                  <c:v>汽车</c:v>
                </c:pt>
                <c:pt idx="6">
                  <c:v>食品饮料</c:v>
                </c:pt>
                <c:pt idx="7">
                  <c:v>物流</c:v>
                </c:pt>
                <c:pt idx="8">
                  <c:v>农林牧渔</c:v>
                </c:pt>
                <c:pt idx="9">
                  <c:v>连锁及零售</c:v>
                </c:pt>
                <c:pt idx="10">
                  <c:v>食品&amp;饮料</c:v>
                </c:pt>
                <c:pt idx="11">
                  <c:v>化工原料及加工</c:v>
                </c:pt>
                <c:pt idx="12">
                  <c:v>机械制造</c:v>
                </c:pt>
                <c:pt idx="13">
                  <c:v>娱乐传媒</c:v>
                </c:pt>
                <c:pt idx="14">
                  <c:v>IT</c:v>
                </c:pt>
                <c:pt idx="15">
                  <c:v>电子及光电设备</c:v>
                </c:pt>
                <c:pt idx="16">
                  <c:v>房地产</c:v>
                </c:pt>
                <c:pt idx="17">
                  <c:v>清洁技术</c:v>
                </c:pt>
                <c:pt idx="18">
                  <c:v>电信及增值业务</c:v>
                </c:pt>
                <c:pt idx="19">
                  <c:v>互联网</c:v>
                </c:pt>
                <c:pt idx="20">
                  <c:v>生物技术/医疗健康</c:v>
                </c:pt>
              </c:strCache>
            </c:strRef>
          </c:cat>
          <c:val>
            <c:numRef>
              <c:f>Sheet6!$B$2:$B$22</c:f>
              <c:numCache>
                <c:formatCode>General</c:formatCode>
                <c:ptCount val="21"/>
                <c:pt idx="0">
                  <c:v>1</c:v>
                </c:pt>
                <c:pt idx="1">
                  <c:v>1</c:v>
                </c:pt>
                <c:pt idx="2">
                  <c:v>1</c:v>
                </c:pt>
                <c:pt idx="3">
                  <c:v>1</c:v>
                </c:pt>
                <c:pt idx="4">
                  <c:v>1</c:v>
                </c:pt>
                <c:pt idx="5">
                  <c:v>2</c:v>
                </c:pt>
                <c:pt idx="6">
                  <c:v>2</c:v>
                </c:pt>
                <c:pt idx="7">
                  <c:v>2</c:v>
                </c:pt>
                <c:pt idx="8">
                  <c:v>3</c:v>
                </c:pt>
                <c:pt idx="9">
                  <c:v>3</c:v>
                </c:pt>
                <c:pt idx="10">
                  <c:v>4</c:v>
                </c:pt>
                <c:pt idx="11">
                  <c:v>4</c:v>
                </c:pt>
                <c:pt idx="12">
                  <c:v>5</c:v>
                </c:pt>
                <c:pt idx="13">
                  <c:v>6</c:v>
                </c:pt>
                <c:pt idx="14">
                  <c:v>8</c:v>
                </c:pt>
                <c:pt idx="15">
                  <c:v>8</c:v>
                </c:pt>
                <c:pt idx="16">
                  <c:v>10</c:v>
                </c:pt>
                <c:pt idx="17">
                  <c:v>11</c:v>
                </c:pt>
                <c:pt idx="18">
                  <c:v>11</c:v>
                </c:pt>
                <c:pt idx="19">
                  <c:v>12</c:v>
                </c:pt>
                <c:pt idx="20">
                  <c:v>13</c:v>
                </c:pt>
              </c:numCache>
            </c:numRef>
          </c:val>
        </c:ser>
        <c:dLbls>
          <c:showVal val="1"/>
        </c:dLbls>
        <c:overlap val="-25"/>
        <c:axId val="336808192"/>
        <c:axId val="336838656"/>
      </c:barChart>
      <c:catAx>
        <c:axId val="336808192"/>
        <c:scaling>
          <c:orientation val="minMax"/>
        </c:scaling>
        <c:axPos val="l"/>
        <c:majorTickMark val="none"/>
        <c:tickLblPos val="nextTo"/>
        <c:crossAx val="336838656"/>
        <c:crosses val="autoZero"/>
        <c:auto val="1"/>
        <c:lblAlgn val="ctr"/>
        <c:lblOffset val="100"/>
      </c:catAx>
      <c:valAx>
        <c:axId val="336838656"/>
        <c:scaling>
          <c:orientation val="minMax"/>
        </c:scaling>
        <c:delete val="1"/>
        <c:axPos val="b"/>
        <c:numFmt formatCode="General" sourceLinked="1"/>
        <c:majorTickMark val="none"/>
        <c:tickLblPos val="none"/>
        <c:crossAx val="336808192"/>
        <c:crosses val="autoZero"/>
        <c:crossBetween val="between"/>
      </c:valAx>
    </c:plotArea>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zh-CN"/>
  <c:chart>
    <c:plotArea>
      <c:layout/>
      <c:barChart>
        <c:barDir val="bar"/>
        <c:grouping val="clustered"/>
        <c:ser>
          <c:idx val="0"/>
          <c:order val="0"/>
          <c:cat>
            <c:strRef>
              <c:f>Sheet7!$A$1:$A$21</c:f>
              <c:strCache>
                <c:ptCount val="21"/>
                <c:pt idx="0">
                  <c:v>未披露</c:v>
                </c:pt>
                <c:pt idx="1">
                  <c:v>能源及矿产</c:v>
                </c:pt>
                <c:pt idx="2">
                  <c:v>半导体</c:v>
                </c:pt>
                <c:pt idx="3">
                  <c:v>农林牧渔</c:v>
                </c:pt>
                <c:pt idx="4">
                  <c:v>其他</c:v>
                </c:pt>
                <c:pt idx="5">
                  <c:v>纺织及服装</c:v>
                </c:pt>
                <c:pt idx="6">
                  <c:v>食品饮料</c:v>
                </c:pt>
                <c:pt idx="7">
                  <c:v>机械制造</c:v>
                </c:pt>
                <c:pt idx="8">
                  <c:v>连锁及零售</c:v>
                </c:pt>
                <c:pt idx="9">
                  <c:v>IT</c:v>
                </c:pt>
                <c:pt idx="10">
                  <c:v>生物技术/医疗健康</c:v>
                </c:pt>
                <c:pt idx="11">
                  <c:v>互联网</c:v>
                </c:pt>
                <c:pt idx="12">
                  <c:v>清洁技术</c:v>
                </c:pt>
                <c:pt idx="13">
                  <c:v>电信及增值业务</c:v>
                </c:pt>
                <c:pt idx="14">
                  <c:v>电子及光电设备</c:v>
                </c:pt>
                <c:pt idx="15">
                  <c:v>汽车</c:v>
                </c:pt>
                <c:pt idx="16">
                  <c:v>娱乐传媒</c:v>
                </c:pt>
                <c:pt idx="17">
                  <c:v>食品&amp;饮料</c:v>
                </c:pt>
                <c:pt idx="18">
                  <c:v>化工原料及加工</c:v>
                </c:pt>
                <c:pt idx="19">
                  <c:v>物流</c:v>
                </c:pt>
                <c:pt idx="20">
                  <c:v>房地产</c:v>
                </c:pt>
              </c:strCache>
            </c:strRef>
          </c:cat>
          <c:val>
            <c:numRef>
              <c:f>Sheet7!$B$1:$B$21</c:f>
              <c:numCache>
                <c:formatCode>General</c:formatCode>
                <c:ptCount val="21"/>
                <c:pt idx="0">
                  <c:v>0.98</c:v>
                </c:pt>
                <c:pt idx="1">
                  <c:v>1</c:v>
                </c:pt>
                <c:pt idx="2">
                  <c:v>1.9500000000000055</c:v>
                </c:pt>
                <c:pt idx="3">
                  <c:v>10.57</c:v>
                </c:pt>
                <c:pt idx="4">
                  <c:v>12.28</c:v>
                </c:pt>
                <c:pt idx="5">
                  <c:v>18.04</c:v>
                </c:pt>
                <c:pt idx="6">
                  <c:v>24.39</c:v>
                </c:pt>
                <c:pt idx="7">
                  <c:v>33.54</c:v>
                </c:pt>
                <c:pt idx="8">
                  <c:v>42.28</c:v>
                </c:pt>
                <c:pt idx="9">
                  <c:v>56.49</c:v>
                </c:pt>
                <c:pt idx="10">
                  <c:v>66.59</c:v>
                </c:pt>
                <c:pt idx="11">
                  <c:v>71.940000000000026</c:v>
                </c:pt>
                <c:pt idx="12">
                  <c:v>73.260000000000005</c:v>
                </c:pt>
                <c:pt idx="13">
                  <c:v>79.760000000000005</c:v>
                </c:pt>
                <c:pt idx="14">
                  <c:v>96.57</c:v>
                </c:pt>
                <c:pt idx="15">
                  <c:v>129.02000000000001</c:v>
                </c:pt>
                <c:pt idx="16">
                  <c:v>142.46</c:v>
                </c:pt>
                <c:pt idx="17">
                  <c:v>158.29</c:v>
                </c:pt>
                <c:pt idx="18">
                  <c:v>455.51</c:v>
                </c:pt>
                <c:pt idx="19">
                  <c:v>886.72</c:v>
                </c:pt>
                <c:pt idx="20">
                  <c:v>949.8</c:v>
                </c:pt>
              </c:numCache>
            </c:numRef>
          </c:val>
        </c:ser>
        <c:axId val="341510784"/>
        <c:axId val="341516672"/>
      </c:barChart>
      <c:catAx>
        <c:axId val="341510784"/>
        <c:scaling>
          <c:orientation val="minMax"/>
        </c:scaling>
        <c:axPos val="l"/>
        <c:tickLblPos val="nextTo"/>
        <c:crossAx val="341516672"/>
        <c:crosses val="autoZero"/>
        <c:auto val="1"/>
        <c:lblAlgn val="ctr"/>
        <c:lblOffset val="100"/>
        <c:tickLblSkip val="1"/>
      </c:catAx>
      <c:valAx>
        <c:axId val="341516672"/>
        <c:scaling>
          <c:orientation val="minMax"/>
        </c:scaling>
        <c:axPos val="b"/>
        <c:numFmt formatCode="General" sourceLinked="1"/>
        <c:tickLblPos val="nextTo"/>
        <c:crossAx val="341510784"/>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strRef>
              <c:f>Sheet1!$B$1:$B$2</c:f>
              <c:strCache>
                <c:ptCount val="1"/>
                <c:pt idx="0">
                  <c:v>CPI:当月同比 月</c:v>
                </c:pt>
              </c:strCache>
            </c:strRef>
          </c:tx>
          <c:marker>
            <c:symbol val="none"/>
          </c:marker>
          <c:cat>
            <c:numRef>
              <c:f>Sheet1!$A$3:$A$155</c:f>
              <c:numCache>
                <c:formatCode>yyyy\-mm;@</c:formatCode>
                <c:ptCount val="153"/>
                <c:pt idx="0">
                  <c:v>41547</c:v>
                </c:pt>
                <c:pt idx="1">
                  <c:v>41517</c:v>
                </c:pt>
                <c:pt idx="2">
                  <c:v>41486</c:v>
                </c:pt>
                <c:pt idx="3">
                  <c:v>41455</c:v>
                </c:pt>
                <c:pt idx="4">
                  <c:v>41425</c:v>
                </c:pt>
                <c:pt idx="5">
                  <c:v>41394</c:v>
                </c:pt>
                <c:pt idx="6">
                  <c:v>41364</c:v>
                </c:pt>
                <c:pt idx="7">
                  <c:v>41333</c:v>
                </c:pt>
                <c:pt idx="8">
                  <c:v>41305</c:v>
                </c:pt>
                <c:pt idx="9">
                  <c:v>41274</c:v>
                </c:pt>
                <c:pt idx="10">
                  <c:v>41243</c:v>
                </c:pt>
                <c:pt idx="11">
                  <c:v>41213</c:v>
                </c:pt>
                <c:pt idx="12">
                  <c:v>41182</c:v>
                </c:pt>
                <c:pt idx="13">
                  <c:v>41152</c:v>
                </c:pt>
                <c:pt idx="14">
                  <c:v>41121</c:v>
                </c:pt>
                <c:pt idx="15">
                  <c:v>41090</c:v>
                </c:pt>
                <c:pt idx="16">
                  <c:v>41060</c:v>
                </c:pt>
                <c:pt idx="17">
                  <c:v>41029</c:v>
                </c:pt>
                <c:pt idx="18">
                  <c:v>40999</c:v>
                </c:pt>
                <c:pt idx="19">
                  <c:v>40968</c:v>
                </c:pt>
                <c:pt idx="20">
                  <c:v>40939</c:v>
                </c:pt>
                <c:pt idx="21">
                  <c:v>40908</c:v>
                </c:pt>
                <c:pt idx="22">
                  <c:v>40877</c:v>
                </c:pt>
                <c:pt idx="23">
                  <c:v>40847</c:v>
                </c:pt>
                <c:pt idx="24">
                  <c:v>40816</c:v>
                </c:pt>
                <c:pt idx="25">
                  <c:v>40786</c:v>
                </c:pt>
                <c:pt idx="26">
                  <c:v>40755</c:v>
                </c:pt>
                <c:pt idx="27">
                  <c:v>40724</c:v>
                </c:pt>
                <c:pt idx="28">
                  <c:v>40694</c:v>
                </c:pt>
                <c:pt idx="29">
                  <c:v>40663</c:v>
                </c:pt>
                <c:pt idx="30">
                  <c:v>40633</c:v>
                </c:pt>
                <c:pt idx="31">
                  <c:v>40602</c:v>
                </c:pt>
                <c:pt idx="32">
                  <c:v>40574</c:v>
                </c:pt>
                <c:pt idx="33">
                  <c:v>40543</c:v>
                </c:pt>
                <c:pt idx="34">
                  <c:v>40512</c:v>
                </c:pt>
                <c:pt idx="35">
                  <c:v>40482</c:v>
                </c:pt>
                <c:pt idx="36">
                  <c:v>40451</c:v>
                </c:pt>
                <c:pt idx="37">
                  <c:v>40421</c:v>
                </c:pt>
                <c:pt idx="38">
                  <c:v>40390</c:v>
                </c:pt>
                <c:pt idx="39">
                  <c:v>40359</c:v>
                </c:pt>
                <c:pt idx="40">
                  <c:v>40329</c:v>
                </c:pt>
                <c:pt idx="41">
                  <c:v>40298</c:v>
                </c:pt>
                <c:pt idx="42">
                  <c:v>40268</c:v>
                </c:pt>
                <c:pt idx="43">
                  <c:v>40237</c:v>
                </c:pt>
                <c:pt idx="44">
                  <c:v>40209</c:v>
                </c:pt>
                <c:pt idx="45">
                  <c:v>40178</c:v>
                </c:pt>
                <c:pt idx="46">
                  <c:v>40147</c:v>
                </c:pt>
                <c:pt idx="47">
                  <c:v>40117</c:v>
                </c:pt>
                <c:pt idx="48">
                  <c:v>40086</c:v>
                </c:pt>
                <c:pt idx="49">
                  <c:v>40056</c:v>
                </c:pt>
                <c:pt idx="50">
                  <c:v>40025</c:v>
                </c:pt>
                <c:pt idx="51">
                  <c:v>39994</c:v>
                </c:pt>
                <c:pt idx="52">
                  <c:v>39964</c:v>
                </c:pt>
                <c:pt idx="53">
                  <c:v>39933</c:v>
                </c:pt>
                <c:pt idx="54">
                  <c:v>39903</c:v>
                </c:pt>
                <c:pt idx="55">
                  <c:v>39872</c:v>
                </c:pt>
                <c:pt idx="56">
                  <c:v>39844</c:v>
                </c:pt>
                <c:pt idx="57">
                  <c:v>39813</c:v>
                </c:pt>
                <c:pt idx="58">
                  <c:v>39782</c:v>
                </c:pt>
                <c:pt idx="59">
                  <c:v>39752</c:v>
                </c:pt>
                <c:pt idx="60">
                  <c:v>39721</c:v>
                </c:pt>
                <c:pt idx="61">
                  <c:v>39691</c:v>
                </c:pt>
                <c:pt idx="62">
                  <c:v>39660</c:v>
                </c:pt>
                <c:pt idx="63">
                  <c:v>39629</c:v>
                </c:pt>
                <c:pt idx="64">
                  <c:v>39599</c:v>
                </c:pt>
                <c:pt idx="65">
                  <c:v>39568</c:v>
                </c:pt>
                <c:pt idx="66">
                  <c:v>39538</c:v>
                </c:pt>
                <c:pt idx="67">
                  <c:v>39507</c:v>
                </c:pt>
                <c:pt idx="68">
                  <c:v>39478</c:v>
                </c:pt>
                <c:pt idx="69">
                  <c:v>39447</c:v>
                </c:pt>
                <c:pt idx="70">
                  <c:v>39416</c:v>
                </c:pt>
                <c:pt idx="71">
                  <c:v>39386</c:v>
                </c:pt>
                <c:pt idx="72">
                  <c:v>39355</c:v>
                </c:pt>
                <c:pt idx="73">
                  <c:v>39325</c:v>
                </c:pt>
                <c:pt idx="74">
                  <c:v>39294</c:v>
                </c:pt>
                <c:pt idx="75">
                  <c:v>39263</c:v>
                </c:pt>
                <c:pt idx="76">
                  <c:v>39233</c:v>
                </c:pt>
                <c:pt idx="77">
                  <c:v>39202</c:v>
                </c:pt>
                <c:pt idx="78">
                  <c:v>39172</c:v>
                </c:pt>
                <c:pt idx="79">
                  <c:v>39141</c:v>
                </c:pt>
                <c:pt idx="80">
                  <c:v>39113</c:v>
                </c:pt>
                <c:pt idx="81">
                  <c:v>39082</c:v>
                </c:pt>
                <c:pt idx="82">
                  <c:v>39051</c:v>
                </c:pt>
                <c:pt idx="83">
                  <c:v>39021</c:v>
                </c:pt>
                <c:pt idx="84">
                  <c:v>38990</c:v>
                </c:pt>
                <c:pt idx="85">
                  <c:v>38960</c:v>
                </c:pt>
                <c:pt idx="86">
                  <c:v>38929</c:v>
                </c:pt>
                <c:pt idx="87">
                  <c:v>38898</c:v>
                </c:pt>
                <c:pt idx="88">
                  <c:v>38868</c:v>
                </c:pt>
                <c:pt idx="89">
                  <c:v>38837</c:v>
                </c:pt>
                <c:pt idx="90">
                  <c:v>38807</c:v>
                </c:pt>
                <c:pt idx="91">
                  <c:v>38776</c:v>
                </c:pt>
                <c:pt idx="92">
                  <c:v>38748</c:v>
                </c:pt>
                <c:pt idx="93">
                  <c:v>38717</c:v>
                </c:pt>
                <c:pt idx="94">
                  <c:v>38686</c:v>
                </c:pt>
                <c:pt idx="95">
                  <c:v>38656</c:v>
                </c:pt>
                <c:pt idx="96">
                  <c:v>38625</c:v>
                </c:pt>
                <c:pt idx="97">
                  <c:v>38595</c:v>
                </c:pt>
                <c:pt idx="98">
                  <c:v>38564</c:v>
                </c:pt>
                <c:pt idx="99">
                  <c:v>38533</c:v>
                </c:pt>
                <c:pt idx="100">
                  <c:v>38503</c:v>
                </c:pt>
                <c:pt idx="101">
                  <c:v>38472</c:v>
                </c:pt>
                <c:pt idx="102">
                  <c:v>38442</c:v>
                </c:pt>
                <c:pt idx="103">
                  <c:v>38411</c:v>
                </c:pt>
                <c:pt idx="104">
                  <c:v>38383</c:v>
                </c:pt>
                <c:pt idx="105">
                  <c:v>38352</c:v>
                </c:pt>
                <c:pt idx="106">
                  <c:v>38321</c:v>
                </c:pt>
                <c:pt idx="107">
                  <c:v>38291</c:v>
                </c:pt>
                <c:pt idx="108">
                  <c:v>38260</c:v>
                </c:pt>
                <c:pt idx="109">
                  <c:v>38230</c:v>
                </c:pt>
                <c:pt idx="110">
                  <c:v>38199</c:v>
                </c:pt>
                <c:pt idx="111">
                  <c:v>38168</c:v>
                </c:pt>
                <c:pt idx="112">
                  <c:v>38138</c:v>
                </c:pt>
                <c:pt idx="113">
                  <c:v>38107</c:v>
                </c:pt>
                <c:pt idx="114">
                  <c:v>38077</c:v>
                </c:pt>
                <c:pt idx="115">
                  <c:v>38046</c:v>
                </c:pt>
                <c:pt idx="116">
                  <c:v>38017</c:v>
                </c:pt>
                <c:pt idx="117">
                  <c:v>37986</c:v>
                </c:pt>
                <c:pt idx="118">
                  <c:v>37955</c:v>
                </c:pt>
                <c:pt idx="119">
                  <c:v>37925</c:v>
                </c:pt>
                <c:pt idx="120">
                  <c:v>37894</c:v>
                </c:pt>
                <c:pt idx="121">
                  <c:v>37864</c:v>
                </c:pt>
                <c:pt idx="122">
                  <c:v>37833</c:v>
                </c:pt>
                <c:pt idx="123">
                  <c:v>37802</c:v>
                </c:pt>
                <c:pt idx="124">
                  <c:v>37772</c:v>
                </c:pt>
                <c:pt idx="125">
                  <c:v>37741</c:v>
                </c:pt>
                <c:pt idx="126">
                  <c:v>37711</c:v>
                </c:pt>
                <c:pt idx="127">
                  <c:v>37680</c:v>
                </c:pt>
                <c:pt idx="128">
                  <c:v>37652</c:v>
                </c:pt>
                <c:pt idx="129">
                  <c:v>37621</c:v>
                </c:pt>
                <c:pt idx="130">
                  <c:v>37590</c:v>
                </c:pt>
                <c:pt idx="131">
                  <c:v>37560</c:v>
                </c:pt>
                <c:pt idx="132">
                  <c:v>37529</c:v>
                </c:pt>
                <c:pt idx="133">
                  <c:v>37499</c:v>
                </c:pt>
                <c:pt idx="134">
                  <c:v>37468</c:v>
                </c:pt>
                <c:pt idx="135">
                  <c:v>37437</c:v>
                </c:pt>
                <c:pt idx="136">
                  <c:v>37407</c:v>
                </c:pt>
                <c:pt idx="137">
                  <c:v>37376</c:v>
                </c:pt>
                <c:pt idx="138">
                  <c:v>37346</c:v>
                </c:pt>
                <c:pt idx="139">
                  <c:v>37315</c:v>
                </c:pt>
                <c:pt idx="140">
                  <c:v>37287</c:v>
                </c:pt>
                <c:pt idx="141">
                  <c:v>37256</c:v>
                </c:pt>
                <c:pt idx="142">
                  <c:v>37225</c:v>
                </c:pt>
                <c:pt idx="143">
                  <c:v>37195</c:v>
                </c:pt>
                <c:pt idx="144">
                  <c:v>37164</c:v>
                </c:pt>
                <c:pt idx="145">
                  <c:v>37134</c:v>
                </c:pt>
                <c:pt idx="146">
                  <c:v>37103</c:v>
                </c:pt>
                <c:pt idx="147">
                  <c:v>37072</c:v>
                </c:pt>
                <c:pt idx="148">
                  <c:v>37042</c:v>
                </c:pt>
                <c:pt idx="149">
                  <c:v>37011</c:v>
                </c:pt>
                <c:pt idx="150">
                  <c:v>36981</c:v>
                </c:pt>
                <c:pt idx="151">
                  <c:v>36950</c:v>
                </c:pt>
                <c:pt idx="152">
                  <c:v>36922</c:v>
                </c:pt>
              </c:numCache>
            </c:numRef>
          </c:cat>
          <c:val>
            <c:numRef>
              <c:f>Sheet1!$B$3:$B$155</c:f>
              <c:numCache>
                <c:formatCode>###,###,###,###,##0.00_ </c:formatCode>
                <c:ptCount val="153"/>
                <c:pt idx="0">
                  <c:v>3.1</c:v>
                </c:pt>
                <c:pt idx="1">
                  <c:v>2.6</c:v>
                </c:pt>
                <c:pt idx="2">
                  <c:v>2.7</c:v>
                </c:pt>
                <c:pt idx="3">
                  <c:v>2.7</c:v>
                </c:pt>
                <c:pt idx="4">
                  <c:v>2.1</c:v>
                </c:pt>
                <c:pt idx="5">
                  <c:v>2.4</c:v>
                </c:pt>
                <c:pt idx="6">
                  <c:v>2.1</c:v>
                </c:pt>
                <c:pt idx="7">
                  <c:v>3.2</c:v>
                </c:pt>
                <c:pt idx="8">
                  <c:v>2</c:v>
                </c:pt>
                <c:pt idx="9">
                  <c:v>2.5</c:v>
                </c:pt>
                <c:pt idx="10">
                  <c:v>2</c:v>
                </c:pt>
                <c:pt idx="11">
                  <c:v>1.7</c:v>
                </c:pt>
                <c:pt idx="12">
                  <c:v>1.9000000000000001</c:v>
                </c:pt>
                <c:pt idx="13">
                  <c:v>2</c:v>
                </c:pt>
                <c:pt idx="14">
                  <c:v>1.8</c:v>
                </c:pt>
                <c:pt idx="15">
                  <c:v>2.2000000000000002</c:v>
                </c:pt>
                <c:pt idx="16">
                  <c:v>3</c:v>
                </c:pt>
                <c:pt idx="17">
                  <c:v>3.4</c:v>
                </c:pt>
                <c:pt idx="18">
                  <c:v>3.6</c:v>
                </c:pt>
                <c:pt idx="19">
                  <c:v>3.2</c:v>
                </c:pt>
                <c:pt idx="20">
                  <c:v>4.5</c:v>
                </c:pt>
                <c:pt idx="21">
                  <c:v>4.07</c:v>
                </c:pt>
                <c:pt idx="22">
                  <c:v>4.2249999999999845</c:v>
                </c:pt>
                <c:pt idx="23">
                  <c:v>5.4950000000000001</c:v>
                </c:pt>
                <c:pt idx="24">
                  <c:v>6.0669999999999975</c:v>
                </c:pt>
                <c:pt idx="25">
                  <c:v>6.1509999999999945</c:v>
                </c:pt>
                <c:pt idx="26">
                  <c:v>6.4509999999999996</c:v>
                </c:pt>
                <c:pt idx="27">
                  <c:v>6.3549999999999809</c:v>
                </c:pt>
                <c:pt idx="28">
                  <c:v>5.5149999999999855</c:v>
                </c:pt>
                <c:pt idx="29">
                  <c:v>5.3439999999999985</c:v>
                </c:pt>
                <c:pt idx="30">
                  <c:v>5.383</c:v>
                </c:pt>
                <c:pt idx="31">
                  <c:v>4.944</c:v>
                </c:pt>
                <c:pt idx="32">
                  <c:v>4.9000000000000004</c:v>
                </c:pt>
                <c:pt idx="33">
                  <c:v>4.5999999999999996</c:v>
                </c:pt>
                <c:pt idx="34">
                  <c:v>5.0999999999999996</c:v>
                </c:pt>
                <c:pt idx="35">
                  <c:v>4.4000000000000004</c:v>
                </c:pt>
                <c:pt idx="36">
                  <c:v>3.6</c:v>
                </c:pt>
                <c:pt idx="37">
                  <c:v>3.5</c:v>
                </c:pt>
                <c:pt idx="38">
                  <c:v>3.3</c:v>
                </c:pt>
                <c:pt idx="39">
                  <c:v>2.9</c:v>
                </c:pt>
                <c:pt idx="40">
                  <c:v>3.1</c:v>
                </c:pt>
                <c:pt idx="41">
                  <c:v>2.8</c:v>
                </c:pt>
                <c:pt idx="42">
                  <c:v>2.4</c:v>
                </c:pt>
                <c:pt idx="43">
                  <c:v>2.7</c:v>
                </c:pt>
                <c:pt idx="44">
                  <c:v>1.5</c:v>
                </c:pt>
                <c:pt idx="45">
                  <c:v>1.9000000000000001</c:v>
                </c:pt>
                <c:pt idx="46">
                  <c:v>0.60000000000000064</c:v>
                </c:pt>
                <c:pt idx="47">
                  <c:v>-0.5</c:v>
                </c:pt>
                <c:pt idx="48">
                  <c:v>-0.8</c:v>
                </c:pt>
                <c:pt idx="49">
                  <c:v>-1.2</c:v>
                </c:pt>
                <c:pt idx="50">
                  <c:v>-1.8</c:v>
                </c:pt>
                <c:pt idx="51">
                  <c:v>-1.7</c:v>
                </c:pt>
                <c:pt idx="52">
                  <c:v>-1.4</c:v>
                </c:pt>
                <c:pt idx="53">
                  <c:v>-1.5</c:v>
                </c:pt>
                <c:pt idx="54">
                  <c:v>-1.2</c:v>
                </c:pt>
                <c:pt idx="55">
                  <c:v>-1.6</c:v>
                </c:pt>
                <c:pt idx="56">
                  <c:v>1</c:v>
                </c:pt>
                <c:pt idx="57">
                  <c:v>1.2</c:v>
                </c:pt>
                <c:pt idx="58">
                  <c:v>2.4</c:v>
                </c:pt>
                <c:pt idx="59">
                  <c:v>4</c:v>
                </c:pt>
                <c:pt idx="60">
                  <c:v>4.5999999999999996</c:v>
                </c:pt>
                <c:pt idx="61">
                  <c:v>4.9000000000000004</c:v>
                </c:pt>
                <c:pt idx="62">
                  <c:v>6.3</c:v>
                </c:pt>
                <c:pt idx="63">
                  <c:v>7.1</c:v>
                </c:pt>
                <c:pt idx="64">
                  <c:v>7.7</c:v>
                </c:pt>
                <c:pt idx="65">
                  <c:v>8.5</c:v>
                </c:pt>
                <c:pt idx="66">
                  <c:v>8.3000000000000007</c:v>
                </c:pt>
                <c:pt idx="67">
                  <c:v>8.7000000000000011</c:v>
                </c:pt>
                <c:pt idx="68">
                  <c:v>7.1</c:v>
                </c:pt>
                <c:pt idx="69">
                  <c:v>6.5</c:v>
                </c:pt>
                <c:pt idx="70">
                  <c:v>6.9</c:v>
                </c:pt>
                <c:pt idx="71">
                  <c:v>6.5</c:v>
                </c:pt>
                <c:pt idx="72">
                  <c:v>6.2</c:v>
                </c:pt>
                <c:pt idx="73">
                  <c:v>6.5</c:v>
                </c:pt>
                <c:pt idx="74">
                  <c:v>5.6</c:v>
                </c:pt>
                <c:pt idx="75">
                  <c:v>4.4000000000000004</c:v>
                </c:pt>
                <c:pt idx="76">
                  <c:v>3.4</c:v>
                </c:pt>
                <c:pt idx="77">
                  <c:v>3</c:v>
                </c:pt>
                <c:pt idx="78">
                  <c:v>3.3</c:v>
                </c:pt>
                <c:pt idx="79">
                  <c:v>2.7</c:v>
                </c:pt>
                <c:pt idx="80">
                  <c:v>2.2000000000000002</c:v>
                </c:pt>
                <c:pt idx="81">
                  <c:v>2.8</c:v>
                </c:pt>
                <c:pt idx="82">
                  <c:v>1.9000000000000001</c:v>
                </c:pt>
                <c:pt idx="83">
                  <c:v>1.4</c:v>
                </c:pt>
                <c:pt idx="84">
                  <c:v>1.5</c:v>
                </c:pt>
                <c:pt idx="85">
                  <c:v>1.3</c:v>
                </c:pt>
                <c:pt idx="86">
                  <c:v>1</c:v>
                </c:pt>
                <c:pt idx="87">
                  <c:v>1.5</c:v>
                </c:pt>
                <c:pt idx="88">
                  <c:v>1.4</c:v>
                </c:pt>
                <c:pt idx="89">
                  <c:v>1.2</c:v>
                </c:pt>
                <c:pt idx="90">
                  <c:v>0.8</c:v>
                </c:pt>
                <c:pt idx="91">
                  <c:v>0.9</c:v>
                </c:pt>
                <c:pt idx="92">
                  <c:v>1.9000000000000001</c:v>
                </c:pt>
                <c:pt idx="93">
                  <c:v>1.6</c:v>
                </c:pt>
                <c:pt idx="94">
                  <c:v>1.3</c:v>
                </c:pt>
                <c:pt idx="95">
                  <c:v>1.2</c:v>
                </c:pt>
                <c:pt idx="96">
                  <c:v>0.9</c:v>
                </c:pt>
                <c:pt idx="97">
                  <c:v>1.3</c:v>
                </c:pt>
                <c:pt idx="98">
                  <c:v>1.8</c:v>
                </c:pt>
                <c:pt idx="99">
                  <c:v>1.6</c:v>
                </c:pt>
                <c:pt idx="100">
                  <c:v>1.8</c:v>
                </c:pt>
                <c:pt idx="101">
                  <c:v>1.8</c:v>
                </c:pt>
                <c:pt idx="102">
                  <c:v>2.7</c:v>
                </c:pt>
                <c:pt idx="103">
                  <c:v>3.9</c:v>
                </c:pt>
                <c:pt idx="104">
                  <c:v>1.9000000000000001</c:v>
                </c:pt>
                <c:pt idx="105">
                  <c:v>2.4</c:v>
                </c:pt>
                <c:pt idx="106">
                  <c:v>2.8</c:v>
                </c:pt>
                <c:pt idx="107">
                  <c:v>4.3</c:v>
                </c:pt>
                <c:pt idx="108">
                  <c:v>5.2</c:v>
                </c:pt>
                <c:pt idx="109">
                  <c:v>5.3</c:v>
                </c:pt>
                <c:pt idx="110">
                  <c:v>5.3</c:v>
                </c:pt>
                <c:pt idx="111">
                  <c:v>5</c:v>
                </c:pt>
                <c:pt idx="112">
                  <c:v>4.4000000000000004</c:v>
                </c:pt>
                <c:pt idx="113">
                  <c:v>3.8</c:v>
                </c:pt>
                <c:pt idx="114">
                  <c:v>3</c:v>
                </c:pt>
                <c:pt idx="115">
                  <c:v>2.1</c:v>
                </c:pt>
                <c:pt idx="116">
                  <c:v>3.2</c:v>
                </c:pt>
                <c:pt idx="117">
                  <c:v>3.2</c:v>
                </c:pt>
                <c:pt idx="118">
                  <c:v>3</c:v>
                </c:pt>
                <c:pt idx="119">
                  <c:v>1.8</c:v>
                </c:pt>
                <c:pt idx="120">
                  <c:v>1.1000000000000001</c:v>
                </c:pt>
                <c:pt idx="121">
                  <c:v>0.9</c:v>
                </c:pt>
                <c:pt idx="122">
                  <c:v>0.5</c:v>
                </c:pt>
                <c:pt idx="123">
                  <c:v>0.30000000000000032</c:v>
                </c:pt>
                <c:pt idx="124">
                  <c:v>0.70000000000000062</c:v>
                </c:pt>
                <c:pt idx="125">
                  <c:v>1</c:v>
                </c:pt>
                <c:pt idx="126">
                  <c:v>0.9</c:v>
                </c:pt>
                <c:pt idx="127">
                  <c:v>0.2</c:v>
                </c:pt>
                <c:pt idx="128">
                  <c:v>0.4</c:v>
                </c:pt>
                <c:pt idx="129">
                  <c:v>-0.4</c:v>
                </c:pt>
                <c:pt idx="130">
                  <c:v>-0.70000000000000062</c:v>
                </c:pt>
                <c:pt idx="131">
                  <c:v>-0.8</c:v>
                </c:pt>
                <c:pt idx="132">
                  <c:v>-0.70000000000000062</c:v>
                </c:pt>
                <c:pt idx="133">
                  <c:v>-0.70000000000000062</c:v>
                </c:pt>
                <c:pt idx="134">
                  <c:v>-0.9</c:v>
                </c:pt>
                <c:pt idx="135">
                  <c:v>-0.8</c:v>
                </c:pt>
                <c:pt idx="136">
                  <c:v>-1.1000000000000001</c:v>
                </c:pt>
                <c:pt idx="137">
                  <c:v>-1.3</c:v>
                </c:pt>
                <c:pt idx="138">
                  <c:v>-0.8</c:v>
                </c:pt>
                <c:pt idx="139">
                  <c:v>0</c:v>
                </c:pt>
                <c:pt idx="140">
                  <c:v>-1</c:v>
                </c:pt>
                <c:pt idx="141">
                  <c:v>-0.30000000000000032</c:v>
                </c:pt>
                <c:pt idx="142">
                  <c:v>-0.30000000000000032</c:v>
                </c:pt>
                <c:pt idx="143">
                  <c:v>0.2</c:v>
                </c:pt>
                <c:pt idx="144">
                  <c:v>-0.1</c:v>
                </c:pt>
                <c:pt idx="145">
                  <c:v>1</c:v>
                </c:pt>
                <c:pt idx="146">
                  <c:v>1.5</c:v>
                </c:pt>
                <c:pt idx="147">
                  <c:v>1.4</c:v>
                </c:pt>
                <c:pt idx="148">
                  <c:v>1.7</c:v>
                </c:pt>
                <c:pt idx="149">
                  <c:v>1.6</c:v>
                </c:pt>
                <c:pt idx="150">
                  <c:v>0.8</c:v>
                </c:pt>
                <c:pt idx="151">
                  <c:v>0</c:v>
                </c:pt>
                <c:pt idx="152">
                  <c:v>1.2</c:v>
                </c:pt>
              </c:numCache>
            </c:numRef>
          </c:val>
        </c:ser>
        <c:ser>
          <c:idx val="1"/>
          <c:order val="1"/>
          <c:tx>
            <c:strRef>
              <c:f>Sheet1!$C$1:$C$2</c:f>
              <c:strCache>
                <c:ptCount val="1"/>
                <c:pt idx="0">
                  <c:v>CPI:环比 月</c:v>
                </c:pt>
              </c:strCache>
            </c:strRef>
          </c:tx>
          <c:marker>
            <c:symbol val="none"/>
          </c:marker>
          <c:cat>
            <c:numRef>
              <c:f>Sheet1!$A$3:$A$155</c:f>
              <c:numCache>
                <c:formatCode>yyyy\-mm;@</c:formatCode>
                <c:ptCount val="153"/>
                <c:pt idx="0">
                  <c:v>41547</c:v>
                </c:pt>
                <c:pt idx="1">
                  <c:v>41517</c:v>
                </c:pt>
                <c:pt idx="2">
                  <c:v>41486</c:v>
                </c:pt>
                <c:pt idx="3">
                  <c:v>41455</c:v>
                </c:pt>
                <c:pt idx="4">
                  <c:v>41425</c:v>
                </c:pt>
                <c:pt idx="5">
                  <c:v>41394</c:v>
                </c:pt>
                <c:pt idx="6">
                  <c:v>41364</c:v>
                </c:pt>
                <c:pt idx="7">
                  <c:v>41333</c:v>
                </c:pt>
                <c:pt idx="8">
                  <c:v>41305</c:v>
                </c:pt>
                <c:pt idx="9">
                  <c:v>41274</c:v>
                </c:pt>
                <c:pt idx="10">
                  <c:v>41243</c:v>
                </c:pt>
                <c:pt idx="11">
                  <c:v>41213</c:v>
                </c:pt>
                <c:pt idx="12">
                  <c:v>41182</c:v>
                </c:pt>
                <c:pt idx="13">
                  <c:v>41152</c:v>
                </c:pt>
                <c:pt idx="14">
                  <c:v>41121</c:v>
                </c:pt>
                <c:pt idx="15">
                  <c:v>41090</c:v>
                </c:pt>
                <c:pt idx="16">
                  <c:v>41060</c:v>
                </c:pt>
                <c:pt idx="17">
                  <c:v>41029</c:v>
                </c:pt>
                <c:pt idx="18">
                  <c:v>40999</c:v>
                </c:pt>
                <c:pt idx="19">
                  <c:v>40968</c:v>
                </c:pt>
                <c:pt idx="20">
                  <c:v>40939</c:v>
                </c:pt>
                <c:pt idx="21">
                  <c:v>40908</c:v>
                </c:pt>
                <c:pt idx="22">
                  <c:v>40877</c:v>
                </c:pt>
                <c:pt idx="23">
                  <c:v>40847</c:v>
                </c:pt>
                <c:pt idx="24">
                  <c:v>40816</c:v>
                </c:pt>
                <c:pt idx="25">
                  <c:v>40786</c:v>
                </c:pt>
                <c:pt idx="26">
                  <c:v>40755</c:v>
                </c:pt>
                <c:pt idx="27">
                  <c:v>40724</c:v>
                </c:pt>
                <c:pt idx="28">
                  <c:v>40694</c:v>
                </c:pt>
                <c:pt idx="29">
                  <c:v>40663</c:v>
                </c:pt>
                <c:pt idx="30">
                  <c:v>40633</c:v>
                </c:pt>
                <c:pt idx="31">
                  <c:v>40602</c:v>
                </c:pt>
                <c:pt idx="32">
                  <c:v>40574</c:v>
                </c:pt>
                <c:pt idx="33">
                  <c:v>40543</c:v>
                </c:pt>
                <c:pt idx="34">
                  <c:v>40512</c:v>
                </c:pt>
                <c:pt idx="35">
                  <c:v>40482</c:v>
                </c:pt>
                <c:pt idx="36">
                  <c:v>40451</c:v>
                </c:pt>
                <c:pt idx="37">
                  <c:v>40421</c:v>
                </c:pt>
                <c:pt idx="38">
                  <c:v>40390</c:v>
                </c:pt>
                <c:pt idx="39">
                  <c:v>40359</c:v>
                </c:pt>
                <c:pt idx="40">
                  <c:v>40329</c:v>
                </c:pt>
                <c:pt idx="41">
                  <c:v>40298</c:v>
                </c:pt>
                <c:pt idx="42">
                  <c:v>40268</c:v>
                </c:pt>
                <c:pt idx="43">
                  <c:v>40237</c:v>
                </c:pt>
                <c:pt idx="44">
                  <c:v>40209</c:v>
                </c:pt>
                <c:pt idx="45">
                  <c:v>40178</c:v>
                </c:pt>
                <c:pt idx="46">
                  <c:v>40147</c:v>
                </c:pt>
                <c:pt idx="47">
                  <c:v>40117</c:v>
                </c:pt>
                <c:pt idx="48">
                  <c:v>40086</c:v>
                </c:pt>
                <c:pt idx="49">
                  <c:v>40056</c:v>
                </c:pt>
                <c:pt idx="50">
                  <c:v>40025</c:v>
                </c:pt>
                <c:pt idx="51">
                  <c:v>39994</c:v>
                </c:pt>
                <c:pt idx="52">
                  <c:v>39964</c:v>
                </c:pt>
                <c:pt idx="53">
                  <c:v>39933</c:v>
                </c:pt>
                <c:pt idx="54">
                  <c:v>39903</c:v>
                </c:pt>
                <c:pt idx="55">
                  <c:v>39872</c:v>
                </c:pt>
                <c:pt idx="56">
                  <c:v>39844</c:v>
                </c:pt>
                <c:pt idx="57">
                  <c:v>39813</c:v>
                </c:pt>
                <c:pt idx="58">
                  <c:v>39782</c:v>
                </c:pt>
                <c:pt idx="59">
                  <c:v>39752</c:v>
                </c:pt>
                <c:pt idx="60">
                  <c:v>39721</c:v>
                </c:pt>
                <c:pt idx="61">
                  <c:v>39691</c:v>
                </c:pt>
                <c:pt idx="62">
                  <c:v>39660</c:v>
                </c:pt>
                <c:pt idx="63">
                  <c:v>39629</c:v>
                </c:pt>
                <c:pt idx="64">
                  <c:v>39599</c:v>
                </c:pt>
                <c:pt idx="65">
                  <c:v>39568</c:v>
                </c:pt>
                <c:pt idx="66">
                  <c:v>39538</c:v>
                </c:pt>
                <c:pt idx="67">
                  <c:v>39507</c:v>
                </c:pt>
                <c:pt idx="68">
                  <c:v>39478</c:v>
                </c:pt>
                <c:pt idx="69">
                  <c:v>39447</c:v>
                </c:pt>
                <c:pt idx="70">
                  <c:v>39416</c:v>
                </c:pt>
                <c:pt idx="71">
                  <c:v>39386</c:v>
                </c:pt>
                <c:pt idx="72">
                  <c:v>39355</c:v>
                </c:pt>
                <c:pt idx="73">
                  <c:v>39325</c:v>
                </c:pt>
                <c:pt idx="74">
                  <c:v>39294</c:v>
                </c:pt>
                <c:pt idx="75">
                  <c:v>39263</c:v>
                </c:pt>
                <c:pt idx="76">
                  <c:v>39233</c:v>
                </c:pt>
                <c:pt idx="77">
                  <c:v>39202</c:v>
                </c:pt>
                <c:pt idx="78">
                  <c:v>39172</c:v>
                </c:pt>
                <c:pt idx="79">
                  <c:v>39141</c:v>
                </c:pt>
                <c:pt idx="80">
                  <c:v>39113</c:v>
                </c:pt>
                <c:pt idx="81">
                  <c:v>39082</c:v>
                </c:pt>
                <c:pt idx="82">
                  <c:v>39051</c:v>
                </c:pt>
                <c:pt idx="83">
                  <c:v>39021</c:v>
                </c:pt>
                <c:pt idx="84">
                  <c:v>38990</c:v>
                </c:pt>
                <c:pt idx="85">
                  <c:v>38960</c:v>
                </c:pt>
                <c:pt idx="86">
                  <c:v>38929</c:v>
                </c:pt>
                <c:pt idx="87">
                  <c:v>38898</c:v>
                </c:pt>
                <c:pt idx="88">
                  <c:v>38868</c:v>
                </c:pt>
                <c:pt idx="89">
                  <c:v>38837</c:v>
                </c:pt>
                <c:pt idx="90">
                  <c:v>38807</c:v>
                </c:pt>
                <c:pt idx="91">
                  <c:v>38776</c:v>
                </c:pt>
                <c:pt idx="92">
                  <c:v>38748</c:v>
                </c:pt>
                <c:pt idx="93">
                  <c:v>38717</c:v>
                </c:pt>
                <c:pt idx="94">
                  <c:v>38686</c:v>
                </c:pt>
                <c:pt idx="95">
                  <c:v>38656</c:v>
                </c:pt>
                <c:pt idx="96">
                  <c:v>38625</c:v>
                </c:pt>
                <c:pt idx="97">
                  <c:v>38595</c:v>
                </c:pt>
                <c:pt idx="98">
                  <c:v>38564</c:v>
                </c:pt>
                <c:pt idx="99">
                  <c:v>38533</c:v>
                </c:pt>
                <c:pt idx="100">
                  <c:v>38503</c:v>
                </c:pt>
                <c:pt idx="101">
                  <c:v>38472</c:v>
                </c:pt>
                <c:pt idx="102">
                  <c:v>38442</c:v>
                </c:pt>
                <c:pt idx="103">
                  <c:v>38411</c:v>
                </c:pt>
                <c:pt idx="104">
                  <c:v>38383</c:v>
                </c:pt>
                <c:pt idx="105">
                  <c:v>38352</c:v>
                </c:pt>
                <c:pt idx="106">
                  <c:v>38321</c:v>
                </c:pt>
                <c:pt idx="107">
                  <c:v>38291</c:v>
                </c:pt>
                <c:pt idx="108">
                  <c:v>38260</c:v>
                </c:pt>
                <c:pt idx="109">
                  <c:v>38230</c:v>
                </c:pt>
                <c:pt idx="110">
                  <c:v>38199</c:v>
                </c:pt>
                <c:pt idx="111">
                  <c:v>38168</c:v>
                </c:pt>
                <c:pt idx="112">
                  <c:v>38138</c:v>
                </c:pt>
                <c:pt idx="113">
                  <c:v>38107</c:v>
                </c:pt>
                <c:pt idx="114">
                  <c:v>38077</c:v>
                </c:pt>
                <c:pt idx="115">
                  <c:v>38046</c:v>
                </c:pt>
                <c:pt idx="116">
                  <c:v>38017</c:v>
                </c:pt>
                <c:pt idx="117">
                  <c:v>37986</c:v>
                </c:pt>
                <c:pt idx="118">
                  <c:v>37955</c:v>
                </c:pt>
                <c:pt idx="119">
                  <c:v>37925</c:v>
                </c:pt>
                <c:pt idx="120">
                  <c:v>37894</c:v>
                </c:pt>
                <c:pt idx="121">
                  <c:v>37864</c:v>
                </c:pt>
                <c:pt idx="122">
                  <c:v>37833</c:v>
                </c:pt>
                <c:pt idx="123">
                  <c:v>37802</c:v>
                </c:pt>
                <c:pt idx="124">
                  <c:v>37772</c:v>
                </c:pt>
                <c:pt idx="125">
                  <c:v>37741</c:v>
                </c:pt>
                <c:pt idx="126">
                  <c:v>37711</c:v>
                </c:pt>
                <c:pt idx="127">
                  <c:v>37680</c:v>
                </c:pt>
                <c:pt idx="128">
                  <c:v>37652</c:v>
                </c:pt>
                <c:pt idx="129">
                  <c:v>37621</c:v>
                </c:pt>
                <c:pt idx="130">
                  <c:v>37590</c:v>
                </c:pt>
                <c:pt idx="131">
                  <c:v>37560</c:v>
                </c:pt>
                <c:pt idx="132">
                  <c:v>37529</c:v>
                </c:pt>
                <c:pt idx="133">
                  <c:v>37499</c:v>
                </c:pt>
                <c:pt idx="134">
                  <c:v>37468</c:v>
                </c:pt>
                <c:pt idx="135">
                  <c:v>37437</c:v>
                </c:pt>
                <c:pt idx="136">
                  <c:v>37407</c:v>
                </c:pt>
                <c:pt idx="137">
                  <c:v>37376</c:v>
                </c:pt>
                <c:pt idx="138">
                  <c:v>37346</c:v>
                </c:pt>
                <c:pt idx="139">
                  <c:v>37315</c:v>
                </c:pt>
                <c:pt idx="140">
                  <c:v>37287</c:v>
                </c:pt>
                <c:pt idx="141">
                  <c:v>37256</c:v>
                </c:pt>
                <c:pt idx="142">
                  <c:v>37225</c:v>
                </c:pt>
                <c:pt idx="143">
                  <c:v>37195</c:v>
                </c:pt>
                <c:pt idx="144">
                  <c:v>37164</c:v>
                </c:pt>
                <c:pt idx="145">
                  <c:v>37134</c:v>
                </c:pt>
                <c:pt idx="146">
                  <c:v>37103</c:v>
                </c:pt>
                <c:pt idx="147">
                  <c:v>37072</c:v>
                </c:pt>
                <c:pt idx="148">
                  <c:v>37042</c:v>
                </c:pt>
                <c:pt idx="149">
                  <c:v>37011</c:v>
                </c:pt>
                <c:pt idx="150">
                  <c:v>36981</c:v>
                </c:pt>
                <c:pt idx="151">
                  <c:v>36950</c:v>
                </c:pt>
                <c:pt idx="152">
                  <c:v>36922</c:v>
                </c:pt>
              </c:numCache>
            </c:numRef>
          </c:cat>
          <c:val>
            <c:numRef>
              <c:f>Sheet1!$C$3:$C$155</c:f>
              <c:numCache>
                <c:formatCode>###,###,###,###,##0.00_ </c:formatCode>
                <c:ptCount val="153"/>
                <c:pt idx="0">
                  <c:v>0.8</c:v>
                </c:pt>
                <c:pt idx="1">
                  <c:v>0.5</c:v>
                </c:pt>
                <c:pt idx="2">
                  <c:v>0.1</c:v>
                </c:pt>
                <c:pt idx="3">
                  <c:v>0</c:v>
                </c:pt>
                <c:pt idx="4">
                  <c:v>-0.60000000000000064</c:v>
                </c:pt>
                <c:pt idx="5">
                  <c:v>0.2</c:v>
                </c:pt>
                <c:pt idx="6">
                  <c:v>-0.9</c:v>
                </c:pt>
                <c:pt idx="7">
                  <c:v>1.1000000000000001</c:v>
                </c:pt>
                <c:pt idx="8">
                  <c:v>1</c:v>
                </c:pt>
                <c:pt idx="9">
                  <c:v>0.8</c:v>
                </c:pt>
                <c:pt idx="10">
                  <c:v>0.1</c:v>
                </c:pt>
                <c:pt idx="11">
                  <c:v>-0.1</c:v>
                </c:pt>
                <c:pt idx="12">
                  <c:v>0.30000000000000032</c:v>
                </c:pt>
                <c:pt idx="13">
                  <c:v>0.60000000000000064</c:v>
                </c:pt>
                <c:pt idx="14">
                  <c:v>0.1</c:v>
                </c:pt>
                <c:pt idx="15">
                  <c:v>-0.60000000000000064</c:v>
                </c:pt>
                <c:pt idx="16">
                  <c:v>-0.30000000000000032</c:v>
                </c:pt>
                <c:pt idx="17">
                  <c:v>-0.1</c:v>
                </c:pt>
                <c:pt idx="18">
                  <c:v>0.2</c:v>
                </c:pt>
                <c:pt idx="19">
                  <c:v>-0.1</c:v>
                </c:pt>
                <c:pt idx="20">
                  <c:v>1.5</c:v>
                </c:pt>
                <c:pt idx="21">
                  <c:v>0.31200000000000117</c:v>
                </c:pt>
                <c:pt idx="22">
                  <c:v>-0.18900000000000061</c:v>
                </c:pt>
                <c:pt idx="23">
                  <c:v>9.3000000000000208E-2</c:v>
                </c:pt>
                <c:pt idx="24">
                  <c:v>0.46800000000000008</c:v>
                </c:pt>
                <c:pt idx="25">
                  <c:v>0.30800000000000038</c:v>
                </c:pt>
                <c:pt idx="26">
                  <c:v>0.46300000000000002</c:v>
                </c:pt>
                <c:pt idx="27">
                  <c:v>0.27700000000000002</c:v>
                </c:pt>
                <c:pt idx="28">
                  <c:v>7.3999999999999996E-2</c:v>
                </c:pt>
                <c:pt idx="29">
                  <c:v>0.13800000000000001</c:v>
                </c:pt>
                <c:pt idx="30">
                  <c:v>-0.20700000000000021</c:v>
                </c:pt>
                <c:pt idx="31">
                  <c:v>1.2349999999999945</c:v>
                </c:pt>
                <c:pt idx="32">
                  <c:v>1</c:v>
                </c:pt>
                <c:pt idx="33">
                  <c:v>0.5</c:v>
                </c:pt>
                <c:pt idx="34">
                  <c:v>1.1000000000000001</c:v>
                </c:pt>
                <c:pt idx="35">
                  <c:v>0.70000000000000062</c:v>
                </c:pt>
                <c:pt idx="36">
                  <c:v>0.60000000000000064</c:v>
                </c:pt>
                <c:pt idx="37">
                  <c:v>0.60000000000000064</c:v>
                </c:pt>
                <c:pt idx="38">
                  <c:v>0.4</c:v>
                </c:pt>
                <c:pt idx="39">
                  <c:v>-0.60000000000000064</c:v>
                </c:pt>
                <c:pt idx="40">
                  <c:v>-0.1</c:v>
                </c:pt>
                <c:pt idx="41">
                  <c:v>0.2</c:v>
                </c:pt>
                <c:pt idx="42">
                  <c:v>-0.70000000000000062</c:v>
                </c:pt>
                <c:pt idx="43">
                  <c:v>1.2</c:v>
                </c:pt>
                <c:pt idx="44">
                  <c:v>0.60000000000000064</c:v>
                </c:pt>
                <c:pt idx="45">
                  <c:v>1</c:v>
                </c:pt>
                <c:pt idx="46">
                  <c:v>0.30000000000000032</c:v>
                </c:pt>
                <c:pt idx="47">
                  <c:v>-0.1</c:v>
                </c:pt>
                <c:pt idx="48">
                  <c:v>0.4</c:v>
                </c:pt>
                <c:pt idx="49">
                  <c:v>0.5</c:v>
                </c:pt>
                <c:pt idx="50">
                  <c:v>0</c:v>
                </c:pt>
                <c:pt idx="51">
                  <c:v>-0.5</c:v>
                </c:pt>
                <c:pt idx="52">
                  <c:v>-0.30000000000000032</c:v>
                </c:pt>
                <c:pt idx="53">
                  <c:v>-0.2</c:v>
                </c:pt>
                <c:pt idx="54">
                  <c:v>-0.30000000000000032</c:v>
                </c:pt>
                <c:pt idx="55">
                  <c:v>0</c:v>
                </c:pt>
                <c:pt idx="56">
                  <c:v>0.9</c:v>
                </c:pt>
                <c:pt idx="57">
                  <c:v>-0.2</c:v>
                </c:pt>
                <c:pt idx="58">
                  <c:v>-0.8</c:v>
                </c:pt>
                <c:pt idx="59">
                  <c:v>-0.30000000000000032</c:v>
                </c:pt>
                <c:pt idx="60">
                  <c:v>0</c:v>
                </c:pt>
                <c:pt idx="61">
                  <c:v>-0.1</c:v>
                </c:pt>
                <c:pt idx="62">
                  <c:v>0.1</c:v>
                </c:pt>
                <c:pt idx="63">
                  <c:v>-0.2</c:v>
                </c:pt>
                <c:pt idx="64">
                  <c:v>-0.4</c:v>
                </c:pt>
                <c:pt idx="65">
                  <c:v>0.1</c:v>
                </c:pt>
                <c:pt idx="66">
                  <c:v>-0.70000000000000062</c:v>
                </c:pt>
                <c:pt idx="67">
                  <c:v>2.6</c:v>
                </c:pt>
                <c:pt idx="68">
                  <c:v>1.2</c:v>
                </c:pt>
                <c:pt idx="69">
                  <c:v>1</c:v>
                </c:pt>
                <c:pt idx="70">
                  <c:v>0.70000000000000062</c:v>
                </c:pt>
                <c:pt idx="71">
                  <c:v>0.30000000000000032</c:v>
                </c:pt>
                <c:pt idx="72">
                  <c:v>0.30000000000000032</c:v>
                </c:pt>
                <c:pt idx="73">
                  <c:v>1.2</c:v>
                </c:pt>
                <c:pt idx="74">
                  <c:v>0.9</c:v>
                </c:pt>
                <c:pt idx="75">
                  <c:v>0.4</c:v>
                </c:pt>
                <c:pt idx="76">
                  <c:v>0.30000000000000032</c:v>
                </c:pt>
                <c:pt idx="77">
                  <c:v>-0.1</c:v>
                </c:pt>
                <c:pt idx="78">
                  <c:v>-0.30000000000000032</c:v>
                </c:pt>
                <c:pt idx="79">
                  <c:v>1</c:v>
                </c:pt>
                <c:pt idx="80">
                  <c:v>0.70000000000000062</c:v>
                </c:pt>
                <c:pt idx="81">
                  <c:v>1.4</c:v>
                </c:pt>
                <c:pt idx="82">
                  <c:v>0.30000000000000032</c:v>
                </c:pt>
                <c:pt idx="83">
                  <c:v>0.1</c:v>
                </c:pt>
                <c:pt idx="84">
                  <c:v>0.5</c:v>
                </c:pt>
                <c:pt idx="85">
                  <c:v>0.30000000000000032</c:v>
                </c:pt>
                <c:pt idx="86">
                  <c:v>-0.30000000000000032</c:v>
                </c:pt>
                <c:pt idx="87">
                  <c:v>-0.5</c:v>
                </c:pt>
                <c:pt idx="88">
                  <c:v>-0.1</c:v>
                </c:pt>
                <c:pt idx="89">
                  <c:v>0.2</c:v>
                </c:pt>
                <c:pt idx="90">
                  <c:v>-0.9</c:v>
                </c:pt>
                <c:pt idx="91">
                  <c:v>0.5</c:v>
                </c:pt>
                <c:pt idx="92">
                  <c:v>1.3</c:v>
                </c:pt>
                <c:pt idx="93">
                  <c:v>0.4</c:v>
                </c:pt>
                <c:pt idx="94">
                  <c:v>-0.30000000000000032</c:v>
                </c:pt>
                <c:pt idx="95">
                  <c:v>0.4</c:v>
                </c:pt>
                <c:pt idx="96">
                  <c:v>0.70000000000000062</c:v>
                </c:pt>
                <c:pt idx="97">
                  <c:v>0.2</c:v>
                </c:pt>
                <c:pt idx="98">
                  <c:v>0</c:v>
                </c:pt>
                <c:pt idx="99">
                  <c:v>-0.8</c:v>
                </c:pt>
                <c:pt idx="100">
                  <c:v>-0.2</c:v>
                </c:pt>
                <c:pt idx="101">
                  <c:v>-0.30000000000000032</c:v>
                </c:pt>
                <c:pt idx="102">
                  <c:v>-0.9</c:v>
                </c:pt>
                <c:pt idx="103">
                  <c:v>1.8</c:v>
                </c:pt>
                <c:pt idx="104">
                  <c:v>0.60000000000000064</c:v>
                </c:pt>
                <c:pt idx="105">
                  <c:v>0.1</c:v>
                </c:pt>
                <c:pt idx="106">
                  <c:v>-0.30000000000000032</c:v>
                </c:pt>
                <c:pt idx="107">
                  <c:v>0</c:v>
                </c:pt>
                <c:pt idx="108">
                  <c:v>1.1000000000000001</c:v>
                </c:pt>
                <c:pt idx="109">
                  <c:v>0.70000000000000062</c:v>
                </c:pt>
                <c:pt idx="110">
                  <c:v>-0.2</c:v>
                </c:pt>
                <c:pt idx="111">
                  <c:v>-0.70000000000000062</c:v>
                </c:pt>
                <c:pt idx="112">
                  <c:v>-0.1</c:v>
                </c:pt>
                <c:pt idx="113">
                  <c:v>0.5</c:v>
                </c:pt>
                <c:pt idx="114">
                  <c:v>0.30000000000000032</c:v>
                </c:pt>
                <c:pt idx="115">
                  <c:v>-0.2</c:v>
                </c:pt>
                <c:pt idx="116">
                  <c:v>1.1000000000000001</c:v>
                </c:pt>
                <c:pt idx="117">
                  <c:v>0.60000000000000064</c:v>
                </c:pt>
                <c:pt idx="118">
                  <c:v>1</c:v>
                </c:pt>
                <c:pt idx="119">
                  <c:v>0.9</c:v>
                </c:pt>
                <c:pt idx="120">
                  <c:v>1.2</c:v>
                </c:pt>
                <c:pt idx="121">
                  <c:v>0.70000000000000062</c:v>
                </c:pt>
                <c:pt idx="122">
                  <c:v>-0.5</c:v>
                </c:pt>
                <c:pt idx="123">
                  <c:v>-1.2</c:v>
                </c:pt>
                <c:pt idx="124">
                  <c:v>-0.70000000000000062</c:v>
                </c:pt>
                <c:pt idx="125">
                  <c:v>-0.2</c:v>
                </c:pt>
                <c:pt idx="126">
                  <c:v>-0.60000000000000064</c:v>
                </c:pt>
                <c:pt idx="127">
                  <c:v>0.9</c:v>
                </c:pt>
                <c:pt idx="128">
                  <c:v>1.1000000000000001</c:v>
                </c:pt>
                <c:pt idx="129">
                  <c:v>0.30000000000000032</c:v>
                </c:pt>
                <c:pt idx="130">
                  <c:v>-0.1</c:v>
                </c:pt>
                <c:pt idx="131">
                  <c:v>0.2</c:v>
                </c:pt>
                <c:pt idx="132">
                  <c:v>1</c:v>
                </c:pt>
                <c:pt idx="133">
                  <c:v>0.30000000000000032</c:v>
                </c:pt>
                <c:pt idx="134">
                  <c:v>-0.70000000000000062</c:v>
                </c:pt>
                <c:pt idx="135">
                  <c:v>-0.9</c:v>
                </c:pt>
                <c:pt idx="136">
                  <c:v>-0.30000000000000032</c:v>
                </c:pt>
                <c:pt idx="137">
                  <c:v>-0.30000000000000032</c:v>
                </c:pt>
                <c:pt idx="138">
                  <c:v>-1.3</c:v>
                </c:pt>
                <c:pt idx="139">
                  <c:v>1.1000000000000001</c:v>
                </c:pt>
                <c:pt idx="140">
                  <c:v>0.30000000000000032</c:v>
                </c:pt>
                <c:pt idx="141">
                  <c:v>0.1</c:v>
                </c:pt>
                <c:pt idx="142">
                  <c:v>-0.2</c:v>
                </c:pt>
                <c:pt idx="143">
                  <c:v>0.30000000000000032</c:v>
                </c:pt>
                <c:pt idx="144">
                  <c:v>0.9</c:v>
                </c:pt>
                <c:pt idx="145">
                  <c:v>0.1</c:v>
                </c:pt>
                <c:pt idx="146">
                  <c:v>-0.5</c:v>
                </c:pt>
                <c:pt idx="147">
                  <c:v>-1.2</c:v>
                </c:pt>
                <c:pt idx="148">
                  <c:v>-0.5</c:v>
                </c:pt>
                <c:pt idx="149">
                  <c:v>0.2</c:v>
                </c:pt>
                <c:pt idx="150">
                  <c:v>-0.60000000000000064</c:v>
                </c:pt>
                <c:pt idx="151">
                  <c:v>0.1</c:v>
                </c:pt>
                <c:pt idx="152">
                  <c:v>0.9</c:v>
                </c:pt>
              </c:numCache>
            </c:numRef>
          </c:val>
        </c:ser>
        <c:marker val="1"/>
        <c:axId val="347080576"/>
        <c:axId val="347082112"/>
      </c:lineChart>
      <c:dateAx>
        <c:axId val="347080576"/>
        <c:scaling>
          <c:orientation val="minMax"/>
        </c:scaling>
        <c:axPos val="b"/>
        <c:numFmt formatCode="yyyy\-mm;@" sourceLinked="1"/>
        <c:tickLblPos val="low"/>
        <c:crossAx val="347082112"/>
        <c:crosses val="autoZero"/>
        <c:auto val="1"/>
        <c:lblOffset val="100"/>
        <c:majorUnit val="12"/>
        <c:majorTimeUnit val="months"/>
        <c:minorUnit val="6"/>
        <c:minorTimeUnit val="months"/>
      </c:dateAx>
      <c:valAx>
        <c:axId val="347082112"/>
        <c:scaling>
          <c:orientation val="minMax"/>
          <c:max val="9"/>
          <c:min val="-4"/>
        </c:scaling>
        <c:axPos val="l"/>
        <c:majorGridlines/>
        <c:numFmt formatCode="###,###,###,###,##0.00_ " sourceLinked="1"/>
        <c:majorTickMark val="none"/>
        <c:tickLblPos val="nextTo"/>
        <c:crossAx val="347080576"/>
        <c:crosses val="autoZero"/>
        <c:crossBetween val="between"/>
        <c:majorUnit val="1"/>
      </c:valAx>
    </c:plotArea>
    <c:legend>
      <c:legendPos val="b"/>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Sheet18!$C$13</c:f>
              <c:strCache>
                <c:ptCount val="1"/>
                <c:pt idx="0">
                  <c:v>商品房销售面积</c:v>
                </c:pt>
              </c:strCache>
            </c:strRef>
          </c:tx>
          <c:cat>
            <c:numRef>
              <c:f>Sheet18!$A$14:$A$87</c:f>
              <c:numCache>
                <c:formatCode>yyyy\-mm;@</c:formatCode>
                <c:ptCount val="74"/>
                <c:pt idx="0">
                  <c:v>39141</c:v>
                </c:pt>
                <c:pt idx="1">
                  <c:v>39172</c:v>
                </c:pt>
                <c:pt idx="2">
                  <c:v>39202</c:v>
                </c:pt>
                <c:pt idx="3">
                  <c:v>39233</c:v>
                </c:pt>
                <c:pt idx="4">
                  <c:v>39263</c:v>
                </c:pt>
                <c:pt idx="5">
                  <c:v>39294</c:v>
                </c:pt>
                <c:pt idx="6">
                  <c:v>39325</c:v>
                </c:pt>
                <c:pt idx="7">
                  <c:v>39355</c:v>
                </c:pt>
                <c:pt idx="8">
                  <c:v>39386</c:v>
                </c:pt>
                <c:pt idx="9">
                  <c:v>39416</c:v>
                </c:pt>
                <c:pt idx="10">
                  <c:v>39447</c:v>
                </c:pt>
                <c:pt idx="11">
                  <c:v>39507</c:v>
                </c:pt>
                <c:pt idx="12">
                  <c:v>39538</c:v>
                </c:pt>
                <c:pt idx="13">
                  <c:v>39568</c:v>
                </c:pt>
                <c:pt idx="14">
                  <c:v>39599</c:v>
                </c:pt>
                <c:pt idx="15">
                  <c:v>39629</c:v>
                </c:pt>
                <c:pt idx="16">
                  <c:v>39660</c:v>
                </c:pt>
                <c:pt idx="17">
                  <c:v>39691</c:v>
                </c:pt>
                <c:pt idx="18">
                  <c:v>39721</c:v>
                </c:pt>
                <c:pt idx="19">
                  <c:v>39752</c:v>
                </c:pt>
                <c:pt idx="20">
                  <c:v>39782</c:v>
                </c:pt>
                <c:pt idx="21">
                  <c:v>39813</c:v>
                </c:pt>
                <c:pt idx="22">
                  <c:v>39872</c:v>
                </c:pt>
                <c:pt idx="23">
                  <c:v>39903</c:v>
                </c:pt>
                <c:pt idx="24">
                  <c:v>39933</c:v>
                </c:pt>
                <c:pt idx="25">
                  <c:v>39964</c:v>
                </c:pt>
                <c:pt idx="26">
                  <c:v>39994</c:v>
                </c:pt>
                <c:pt idx="27">
                  <c:v>40025</c:v>
                </c:pt>
                <c:pt idx="28">
                  <c:v>40056</c:v>
                </c:pt>
                <c:pt idx="29">
                  <c:v>40086</c:v>
                </c:pt>
                <c:pt idx="30">
                  <c:v>40117</c:v>
                </c:pt>
                <c:pt idx="31">
                  <c:v>40147</c:v>
                </c:pt>
                <c:pt idx="32">
                  <c:v>40178</c:v>
                </c:pt>
                <c:pt idx="33">
                  <c:v>40237</c:v>
                </c:pt>
                <c:pt idx="34">
                  <c:v>40268</c:v>
                </c:pt>
                <c:pt idx="35">
                  <c:v>40298</c:v>
                </c:pt>
                <c:pt idx="36">
                  <c:v>40329</c:v>
                </c:pt>
                <c:pt idx="37">
                  <c:v>40359</c:v>
                </c:pt>
                <c:pt idx="38">
                  <c:v>40390</c:v>
                </c:pt>
                <c:pt idx="39">
                  <c:v>40421</c:v>
                </c:pt>
                <c:pt idx="40">
                  <c:v>40451</c:v>
                </c:pt>
                <c:pt idx="41">
                  <c:v>40482</c:v>
                </c:pt>
                <c:pt idx="42">
                  <c:v>40512</c:v>
                </c:pt>
                <c:pt idx="43">
                  <c:v>40543</c:v>
                </c:pt>
                <c:pt idx="44">
                  <c:v>40602</c:v>
                </c:pt>
                <c:pt idx="45">
                  <c:v>40633</c:v>
                </c:pt>
                <c:pt idx="46">
                  <c:v>40663</c:v>
                </c:pt>
                <c:pt idx="47">
                  <c:v>40694</c:v>
                </c:pt>
                <c:pt idx="48">
                  <c:v>40724</c:v>
                </c:pt>
                <c:pt idx="49">
                  <c:v>40755</c:v>
                </c:pt>
                <c:pt idx="50">
                  <c:v>40786</c:v>
                </c:pt>
                <c:pt idx="51">
                  <c:v>40816</c:v>
                </c:pt>
                <c:pt idx="52">
                  <c:v>40847</c:v>
                </c:pt>
                <c:pt idx="53">
                  <c:v>40877</c:v>
                </c:pt>
                <c:pt idx="54">
                  <c:v>40908</c:v>
                </c:pt>
                <c:pt idx="55">
                  <c:v>40968</c:v>
                </c:pt>
                <c:pt idx="56">
                  <c:v>40999</c:v>
                </c:pt>
                <c:pt idx="57">
                  <c:v>41029</c:v>
                </c:pt>
                <c:pt idx="58">
                  <c:v>41060</c:v>
                </c:pt>
                <c:pt idx="59">
                  <c:v>41090</c:v>
                </c:pt>
                <c:pt idx="60">
                  <c:v>41121</c:v>
                </c:pt>
                <c:pt idx="61">
                  <c:v>41152</c:v>
                </c:pt>
                <c:pt idx="62">
                  <c:v>41182</c:v>
                </c:pt>
                <c:pt idx="63">
                  <c:v>41213</c:v>
                </c:pt>
                <c:pt idx="64">
                  <c:v>41243</c:v>
                </c:pt>
                <c:pt idx="65">
                  <c:v>41274</c:v>
                </c:pt>
                <c:pt idx="66">
                  <c:v>41333</c:v>
                </c:pt>
                <c:pt idx="67">
                  <c:v>41364</c:v>
                </c:pt>
                <c:pt idx="68">
                  <c:v>41394</c:v>
                </c:pt>
                <c:pt idx="69">
                  <c:v>41425</c:v>
                </c:pt>
                <c:pt idx="70">
                  <c:v>41455</c:v>
                </c:pt>
                <c:pt idx="71">
                  <c:v>41486</c:v>
                </c:pt>
                <c:pt idx="72">
                  <c:v>41517</c:v>
                </c:pt>
                <c:pt idx="73">
                  <c:v>41518</c:v>
                </c:pt>
              </c:numCache>
            </c:numRef>
          </c:cat>
          <c:val>
            <c:numRef>
              <c:f>Sheet18!$C$14:$C$87</c:f>
              <c:numCache>
                <c:formatCode>###,###,###,###,##0.00_ </c:formatCode>
                <c:ptCount val="74"/>
                <c:pt idx="0">
                  <c:v>5371.4699999999993</c:v>
                </c:pt>
                <c:pt idx="1">
                  <c:v>5229.3</c:v>
                </c:pt>
                <c:pt idx="2">
                  <c:v>5164.3899999999994</c:v>
                </c:pt>
                <c:pt idx="3">
                  <c:v>5382.84</c:v>
                </c:pt>
                <c:pt idx="4">
                  <c:v>6756.1500000000024</c:v>
                </c:pt>
                <c:pt idx="5">
                  <c:v>6233.09</c:v>
                </c:pt>
                <c:pt idx="6">
                  <c:v>6435.57</c:v>
                </c:pt>
                <c:pt idx="7">
                  <c:v>6796.9000000000015</c:v>
                </c:pt>
                <c:pt idx="8">
                  <c:v>6195.25</c:v>
                </c:pt>
                <c:pt idx="9">
                  <c:v>6591.9299999999994</c:v>
                </c:pt>
                <c:pt idx="10">
                  <c:v>17197.830000000002</c:v>
                </c:pt>
                <c:pt idx="11">
                  <c:v>5144.1500000000024</c:v>
                </c:pt>
                <c:pt idx="12">
                  <c:v>5305.41</c:v>
                </c:pt>
                <c:pt idx="13">
                  <c:v>4544.59</c:v>
                </c:pt>
                <c:pt idx="14">
                  <c:v>4639.2500000000018</c:v>
                </c:pt>
                <c:pt idx="15">
                  <c:v>6259.23</c:v>
                </c:pt>
                <c:pt idx="16">
                  <c:v>4561.33</c:v>
                </c:pt>
                <c:pt idx="17">
                  <c:v>4138.3200000000024</c:v>
                </c:pt>
                <c:pt idx="18">
                  <c:v>5728.4800000000005</c:v>
                </c:pt>
                <c:pt idx="19">
                  <c:v>4402.2000000000007</c:v>
                </c:pt>
                <c:pt idx="20">
                  <c:v>4425.42</c:v>
                </c:pt>
                <c:pt idx="21">
                  <c:v>16821.450000000004</c:v>
                </c:pt>
                <c:pt idx="22">
                  <c:v>5131.2300000000005</c:v>
                </c:pt>
                <c:pt idx="23">
                  <c:v>6177.51</c:v>
                </c:pt>
                <c:pt idx="24">
                  <c:v>6316.7100000000009</c:v>
                </c:pt>
                <c:pt idx="25">
                  <c:v>7018.99</c:v>
                </c:pt>
                <c:pt idx="26">
                  <c:v>9464.1499999999851</c:v>
                </c:pt>
                <c:pt idx="27">
                  <c:v>7646.3900000000094</c:v>
                </c:pt>
                <c:pt idx="28">
                  <c:v>7661.06</c:v>
                </c:pt>
                <c:pt idx="29">
                  <c:v>8954.9799999999359</c:v>
                </c:pt>
                <c:pt idx="30">
                  <c:v>7997.7099999999991</c:v>
                </c:pt>
                <c:pt idx="31">
                  <c:v>8834.4199999999491</c:v>
                </c:pt>
                <c:pt idx="32">
                  <c:v>19551.850000000006</c:v>
                </c:pt>
                <c:pt idx="33">
                  <c:v>7155.18</c:v>
                </c:pt>
                <c:pt idx="34">
                  <c:v>8205.7400000000089</c:v>
                </c:pt>
                <c:pt idx="35">
                  <c:v>8051.24</c:v>
                </c:pt>
                <c:pt idx="36">
                  <c:v>6777.27</c:v>
                </c:pt>
                <c:pt idx="37">
                  <c:v>9163.0999999999494</c:v>
                </c:pt>
                <c:pt idx="38">
                  <c:v>6466.0800000000017</c:v>
                </c:pt>
                <c:pt idx="39">
                  <c:v>6885.8600000000024</c:v>
                </c:pt>
                <c:pt idx="40">
                  <c:v>10445.760000000002</c:v>
                </c:pt>
                <c:pt idx="41">
                  <c:v>9278.32</c:v>
                </c:pt>
                <c:pt idx="42">
                  <c:v>10112.720000000008</c:v>
                </c:pt>
                <c:pt idx="43">
                  <c:v>22223.379999999896</c:v>
                </c:pt>
                <c:pt idx="44">
                  <c:v>8142.95</c:v>
                </c:pt>
                <c:pt idx="45">
                  <c:v>9499.84</c:v>
                </c:pt>
                <c:pt idx="46">
                  <c:v>7255.130000000001</c:v>
                </c:pt>
                <c:pt idx="47">
                  <c:v>8033.7200000000012</c:v>
                </c:pt>
                <c:pt idx="48">
                  <c:v>11487.690000000002</c:v>
                </c:pt>
                <c:pt idx="49">
                  <c:v>7617.7900000000009</c:v>
                </c:pt>
                <c:pt idx="50">
                  <c:v>7817.06</c:v>
                </c:pt>
                <c:pt idx="51">
                  <c:v>11434.57</c:v>
                </c:pt>
                <c:pt idx="52">
                  <c:v>8364.3699999999189</c:v>
                </c:pt>
                <c:pt idx="53">
                  <c:v>9940.7600000000093</c:v>
                </c:pt>
                <c:pt idx="54">
                  <c:v>19772.869999999992</c:v>
                </c:pt>
                <c:pt idx="55">
                  <c:v>7004.1538</c:v>
                </c:pt>
                <c:pt idx="56">
                  <c:v>8234.9979999999396</c:v>
                </c:pt>
                <c:pt idx="57">
                  <c:v>6322.5121000000054</c:v>
                </c:pt>
                <c:pt idx="58">
                  <c:v>7290.790100000002</c:v>
                </c:pt>
                <c:pt idx="59">
                  <c:v>11111.923200000008</c:v>
                </c:pt>
                <c:pt idx="60">
                  <c:v>8628.8537999999553</c:v>
                </c:pt>
                <c:pt idx="61">
                  <c:v>8821.590499999993</c:v>
                </c:pt>
                <c:pt idx="62">
                  <c:v>11026.587899999968</c:v>
                </c:pt>
                <c:pt idx="63">
                  <c:v>10301.529399999989</c:v>
                </c:pt>
                <c:pt idx="64">
                  <c:v>12962.047599999991</c:v>
                </c:pt>
                <c:pt idx="65">
                  <c:v>19598.660000000003</c:v>
                </c:pt>
                <c:pt idx="66">
                  <c:v>10471.144399999999</c:v>
                </c:pt>
                <c:pt idx="67">
                  <c:v>10426.8375</c:v>
                </c:pt>
                <c:pt idx="68">
                  <c:v>8862.5426000000007</c:v>
                </c:pt>
                <c:pt idx="69">
                  <c:v>9357.6039000000019</c:v>
                </c:pt>
                <c:pt idx="70">
                  <c:v>12315.20300000001</c:v>
                </c:pt>
                <c:pt idx="71">
                  <c:v>9699.9506999999248</c:v>
                </c:pt>
                <c:pt idx="72">
                  <c:v>9708.6178999999811</c:v>
                </c:pt>
                <c:pt idx="73">
                  <c:v>13541.410000000003</c:v>
                </c:pt>
              </c:numCache>
            </c:numRef>
          </c:val>
        </c:ser>
        <c:gapWidth val="75"/>
        <c:axId val="342284928"/>
        <c:axId val="344129920"/>
      </c:barChart>
      <c:lineChart>
        <c:grouping val="standard"/>
        <c:ser>
          <c:idx val="1"/>
          <c:order val="1"/>
          <c:tx>
            <c:strRef>
              <c:f>Sheet18!$D$13</c:f>
              <c:strCache>
                <c:ptCount val="1"/>
                <c:pt idx="0">
                  <c:v>同比变化率</c:v>
                </c:pt>
              </c:strCache>
            </c:strRef>
          </c:tx>
          <c:marker>
            <c:symbol val="none"/>
          </c:marker>
          <c:cat>
            <c:numRef>
              <c:f>Sheet18!$A$14:$A$87</c:f>
              <c:numCache>
                <c:formatCode>yyyy\-mm;@</c:formatCode>
                <c:ptCount val="74"/>
                <c:pt idx="0">
                  <c:v>39141</c:v>
                </c:pt>
                <c:pt idx="1">
                  <c:v>39172</c:v>
                </c:pt>
                <c:pt idx="2">
                  <c:v>39202</c:v>
                </c:pt>
                <c:pt idx="3">
                  <c:v>39233</c:v>
                </c:pt>
                <c:pt idx="4">
                  <c:v>39263</c:v>
                </c:pt>
                <c:pt idx="5">
                  <c:v>39294</c:v>
                </c:pt>
                <c:pt idx="6">
                  <c:v>39325</c:v>
                </c:pt>
                <c:pt idx="7">
                  <c:v>39355</c:v>
                </c:pt>
                <c:pt idx="8">
                  <c:v>39386</c:v>
                </c:pt>
                <c:pt idx="9">
                  <c:v>39416</c:v>
                </c:pt>
                <c:pt idx="10">
                  <c:v>39447</c:v>
                </c:pt>
                <c:pt idx="11">
                  <c:v>39507</c:v>
                </c:pt>
                <c:pt idx="12">
                  <c:v>39538</c:v>
                </c:pt>
                <c:pt idx="13">
                  <c:v>39568</c:v>
                </c:pt>
                <c:pt idx="14">
                  <c:v>39599</c:v>
                </c:pt>
                <c:pt idx="15">
                  <c:v>39629</c:v>
                </c:pt>
                <c:pt idx="16">
                  <c:v>39660</c:v>
                </c:pt>
                <c:pt idx="17">
                  <c:v>39691</c:v>
                </c:pt>
                <c:pt idx="18">
                  <c:v>39721</c:v>
                </c:pt>
                <c:pt idx="19">
                  <c:v>39752</c:v>
                </c:pt>
                <c:pt idx="20">
                  <c:v>39782</c:v>
                </c:pt>
                <c:pt idx="21">
                  <c:v>39813</c:v>
                </c:pt>
                <c:pt idx="22">
                  <c:v>39872</c:v>
                </c:pt>
                <c:pt idx="23">
                  <c:v>39903</c:v>
                </c:pt>
                <c:pt idx="24">
                  <c:v>39933</c:v>
                </c:pt>
                <c:pt idx="25">
                  <c:v>39964</c:v>
                </c:pt>
                <c:pt idx="26">
                  <c:v>39994</c:v>
                </c:pt>
                <c:pt idx="27">
                  <c:v>40025</c:v>
                </c:pt>
                <c:pt idx="28">
                  <c:v>40056</c:v>
                </c:pt>
                <c:pt idx="29">
                  <c:v>40086</c:v>
                </c:pt>
                <c:pt idx="30">
                  <c:v>40117</c:v>
                </c:pt>
                <c:pt idx="31">
                  <c:v>40147</c:v>
                </c:pt>
                <c:pt idx="32">
                  <c:v>40178</c:v>
                </c:pt>
                <c:pt idx="33">
                  <c:v>40237</c:v>
                </c:pt>
                <c:pt idx="34">
                  <c:v>40268</c:v>
                </c:pt>
                <c:pt idx="35">
                  <c:v>40298</c:v>
                </c:pt>
                <c:pt idx="36">
                  <c:v>40329</c:v>
                </c:pt>
                <c:pt idx="37">
                  <c:v>40359</c:v>
                </c:pt>
                <c:pt idx="38">
                  <c:v>40390</c:v>
                </c:pt>
                <c:pt idx="39">
                  <c:v>40421</c:v>
                </c:pt>
                <c:pt idx="40">
                  <c:v>40451</c:v>
                </c:pt>
                <c:pt idx="41">
                  <c:v>40482</c:v>
                </c:pt>
                <c:pt idx="42">
                  <c:v>40512</c:v>
                </c:pt>
                <c:pt idx="43">
                  <c:v>40543</c:v>
                </c:pt>
                <c:pt idx="44">
                  <c:v>40602</c:v>
                </c:pt>
                <c:pt idx="45">
                  <c:v>40633</c:v>
                </c:pt>
                <c:pt idx="46">
                  <c:v>40663</c:v>
                </c:pt>
                <c:pt idx="47">
                  <c:v>40694</c:v>
                </c:pt>
                <c:pt idx="48">
                  <c:v>40724</c:v>
                </c:pt>
                <c:pt idx="49">
                  <c:v>40755</c:v>
                </c:pt>
                <c:pt idx="50">
                  <c:v>40786</c:v>
                </c:pt>
                <c:pt idx="51">
                  <c:v>40816</c:v>
                </c:pt>
                <c:pt idx="52">
                  <c:v>40847</c:v>
                </c:pt>
                <c:pt idx="53">
                  <c:v>40877</c:v>
                </c:pt>
                <c:pt idx="54">
                  <c:v>40908</c:v>
                </c:pt>
                <c:pt idx="55">
                  <c:v>40968</c:v>
                </c:pt>
                <c:pt idx="56">
                  <c:v>40999</c:v>
                </c:pt>
                <c:pt idx="57">
                  <c:v>41029</c:v>
                </c:pt>
                <c:pt idx="58">
                  <c:v>41060</c:v>
                </c:pt>
                <c:pt idx="59">
                  <c:v>41090</c:v>
                </c:pt>
                <c:pt idx="60">
                  <c:v>41121</c:v>
                </c:pt>
                <c:pt idx="61">
                  <c:v>41152</c:v>
                </c:pt>
                <c:pt idx="62">
                  <c:v>41182</c:v>
                </c:pt>
                <c:pt idx="63">
                  <c:v>41213</c:v>
                </c:pt>
                <c:pt idx="64">
                  <c:v>41243</c:v>
                </c:pt>
                <c:pt idx="65">
                  <c:v>41274</c:v>
                </c:pt>
                <c:pt idx="66">
                  <c:v>41333</c:v>
                </c:pt>
                <c:pt idx="67">
                  <c:v>41364</c:v>
                </c:pt>
                <c:pt idx="68">
                  <c:v>41394</c:v>
                </c:pt>
                <c:pt idx="69">
                  <c:v>41425</c:v>
                </c:pt>
                <c:pt idx="70">
                  <c:v>41455</c:v>
                </c:pt>
                <c:pt idx="71">
                  <c:v>41486</c:v>
                </c:pt>
                <c:pt idx="72">
                  <c:v>41517</c:v>
                </c:pt>
                <c:pt idx="73">
                  <c:v>41518</c:v>
                </c:pt>
              </c:numCache>
            </c:numRef>
          </c:cat>
          <c:val>
            <c:numRef>
              <c:f>Sheet18!$D$14:$D$87</c:f>
              <c:numCache>
                <c:formatCode>0.00%</c:formatCode>
                <c:ptCount val="74"/>
                <c:pt idx="0">
                  <c:v>5.1610343775788659E-3</c:v>
                </c:pt>
                <c:pt idx="1">
                  <c:v>0.27084538327314595</c:v>
                </c:pt>
                <c:pt idx="2">
                  <c:v>0.2589440684907458</c:v>
                </c:pt>
                <c:pt idx="3">
                  <c:v>0.17629679486199076</c:v>
                </c:pt>
                <c:pt idx="4">
                  <c:v>0.39599682622333032</c:v>
                </c:pt>
                <c:pt idx="5">
                  <c:v>0.43906071072365377</c:v>
                </c:pt>
                <c:pt idx="6">
                  <c:v>0.57865726669954098</c:v>
                </c:pt>
                <c:pt idx="7">
                  <c:v>0.51083182551713968</c:v>
                </c:pt>
                <c:pt idx="8">
                  <c:v>0.26503379413146133</c:v>
                </c:pt>
                <c:pt idx="9">
                  <c:v>0.23600387005321283</c:v>
                </c:pt>
                <c:pt idx="10">
                  <c:v>9.2401515834833609E-2</c:v>
                </c:pt>
                <c:pt idx="11">
                  <c:v>-4.2319886362578704E-2</c:v>
                </c:pt>
                <c:pt idx="12">
                  <c:v>1.455452928690267E-2</c:v>
                </c:pt>
                <c:pt idx="13">
                  <c:v>-0.12001417398763507</c:v>
                </c:pt>
                <c:pt idx="14">
                  <c:v>-0.13814083272027394</c:v>
                </c:pt>
                <c:pt idx="15">
                  <c:v>-7.3550764858684572E-2</c:v>
                </c:pt>
                <c:pt idx="16">
                  <c:v>-0.26820726156689528</c:v>
                </c:pt>
                <c:pt idx="17">
                  <c:v>-0.35696138803555882</c:v>
                </c:pt>
                <c:pt idx="18">
                  <c:v>-0.15719224940781867</c:v>
                </c:pt>
                <c:pt idx="19">
                  <c:v>-0.28942334853315083</c:v>
                </c:pt>
                <c:pt idx="20">
                  <c:v>-0.32866095362056513</c:v>
                </c:pt>
                <c:pt idx="21">
                  <c:v>-2.1885319252487011E-2</c:v>
                </c:pt>
                <c:pt idx="22">
                  <c:v>-2.5115908361925932E-3</c:v>
                </c:pt>
                <c:pt idx="23">
                  <c:v>0.16437937878505157</c:v>
                </c:pt>
                <c:pt idx="24">
                  <c:v>0.38994056669578742</c:v>
                </c:pt>
                <c:pt idx="25">
                  <c:v>0.51295791345583774</c:v>
                </c:pt>
                <c:pt idx="26">
                  <c:v>0.51203103257110172</c:v>
                </c:pt>
                <c:pt idx="27">
                  <c:v>0.67635097657920495</c:v>
                </c:pt>
                <c:pt idx="28">
                  <c:v>0.85124881594463464</c:v>
                </c:pt>
                <c:pt idx="29">
                  <c:v>0.5632384157752125</c:v>
                </c:pt>
                <c:pt idx="30">
                  <c:v>0.81675298714279321</c:v>
                </c:pt>
                <c:pt idx="31">
                  <c:v>0.99628961770860203</c:v>
                </c:pt>
                <c:pt idx="32">
                  <c:v>0.16231656605108363</c:v>
                </c:pt>
                <c:pt idx="33">
                  <c:v>0.39443759098695802</c:v>
                </c:pt>
                <c:pt idx="34">
                  <c:v>0.32832484285739927</c:v>
                </c:pt>
                <c:pt idx="35">
                  <c:v>0.27459389460652639</c:v>
                </c:pt>
                <c:pt idx="36">
                  <c:v>-3.4438003188492591E-2</c:v>
                </c:pt>
                <c:pt idx="37">
                  <c:v>-3.1809512740182636E-2</c:v>
                </c:pt>
                <c:pt idx="38">
                  <c:v>-0.15436173148374643</c:v>
                </c:pt>
                <c:pt idx="39">
                  <c:v>-0.10118704200202025</c:v>
                </c:pt>
                <c:pt idx="40">
                  <c:v>0.16647496700160211</c:v>
                </c:pt>
                <c:pt idx="41">
                  <c:v>0.16012208494681612</c:v>
                </c:pt>
                <c:pt idx="42">
                  <c:v>0.14469540728197294</c:v>
                </c:pt>
                <c:pt idx="43">
                  <c:v>0.13663822093561387</c:v>
                </c:pt>
                <c:pt idx="44">
                  <c:v>0.13804963676665041</c:v>
                </c:pt>
                <c:pt idx="45">
                  <c:v>0.15770667849578471</c:v>
                </c:pt>
                <c:pt idx="46">
                  <c:v>-9.8880420904109548E-2</c:v>
                </c:pt>
                <c:pt idx="47">
                  <c:v>0.18539175803826624</c:v>
                </c:pt>
                <c:pt idx="48">
                  <c:v>0.25369034497058879</c:v>
                </c:pt>
                <c:pt idx="49">
                  <c:v>0.17811564348105791</c:v>
                </c:pt>
                <c:pt idx="50">
                  <c:v>0.13523365273182991</c:v>
                </c:pt>
                <c:pt idx="51">
                  <c:v>9.4661374567288889E-2</c:v>
                </c:pt>
                <c:pt idx="52">
                  <c:v>-9.8503823968133314E-2</c:v>
                </c:pt>
                <c:pt idx="53">
                  <c:v>-1.7004327223535523E-2</c:v>
                </c:pt>
                <c:pt idx="54">
                  <c:v>-0.1102672050786157</c:v>
                </c:pt>
                <c:pt idx="55">
                  <c:v>-0.13985057012507737</c:v>
                </c:pt>
                <c:pt idx="56">
                  <c:v>-0.13314350557483079</c:v>
                </c:pt>
                <c:pt idx="57">
                  <c:v>-0.1285459943515827</c:v>
                </c:pt>
                <c:pt idx="58">
                  <c:v>-9.2476449266342256E-2</c:v>
                </c:pt>
                <c:pt idx="59">
                  <c:v>-3.2710388250379432E-2</c:v>
                </c:pt>
                <c:pt idx="60">
                  <c:v>0.13272403151045137</c:v>
                </c:pt>
                <c:pt idx="61">
                  <c:v>0.12850489826098316</c:v>
                </c:pt>
                <c:pt idx="62">
                  <c:v>-3.5679706364121738E-2</c:v>
                </c:pt>
                <c:pt idx="63">
                  <c:v>0.23159656973567708</c:v>
                </c:pt>
                <c:pt idx="64">
                  <c:v>0.30392923679879391</c:v>
                </c:pt>
                <c:pt idx="65">
                  <c:v>-8.8105570916104728E-3</c:v>
                </c:pt>
                <c:pt idx="66">
                  <c:v>0.49499064398043474</c:v>
                </c:pt>
                <c:pt idx="67">
                  <c:v>0.2661615096931414</c:v>
                </c:pt>
                <c:pt idx="68">
                  <c:v>0.40174387329365652</c:v>
                </c:pt>
                <c:pt idx="69">
                  <c:v>0.28348282856202489</c:v>
                </c:pt>
                <c:pt idx="70">
                  <c:v>0.10828726750019296</c:v>
                </c:pt>
                <c:pt idx="71">
                  <c:v>0.12412968452426409</c:v>
                </c:pt>
                <c:pt idx="72">
                  <c:v>0.10055186760255955</c:v>
                </c:pt>
                <c:pt idx="73">
                  <c:v>0.22806892964595116</c:v>
                </c:pt>
              </c:numCache>
            </c:numRef>
          </c:val>
        </c:ser>
        <c:ser>
          <c:idx val="2"/>
          <c:order val="2"/>
          <c:tx>
            <c:strRef>
              <c:f>Sheet18!$E$13</c:f>
              <c:strCache>
                <c:ptCount val="1"/>
                <c:pt idx="0">
                  <c:v>环比变化率</c:v>
                </c:pt>
              </c:strCache>
            </c:strRef>
          </c:tx>
          <c:marker>
            <c:symbol val="none"/>
          </c:marker>
          <c:cat>
            <c:numRef>
              <c:f>Sheet18!$A$14:$A$87</c:f>
              <c:numCache>
                <c:formatCode>yyyy\-mm;@</c:formatCode>
                <c:ptCount val="74"/>
                <c:pt idx="0">
                  <c:v>39141</c:v>
                </c:pt>
                <c:pt idx="1">
                  <c:v>39172</c:v>
                </c:pt>
                <c:pt idx="2">
                  <c:v>39202</c:v>
                </c:pt>
                <c:pt idx="3">
                  <c:v>39233</c:v>
                </c:pt>
                <c:pt idx="4">
                  <c:v>39263</c:v>
                </c:pt>
                <c:pt idx="5">
                  <c:v>39294</c:v>
                </c:pt>
                <c:pt idx="6">
                  <c:v>39325</c:v>
                </c:pt>
                <c:pt idx="7">
                  <c:v>39355</c:v>
                </c:pt>
                <c:pt idx="8">
                  <c:v>39386</c:v>
                </c:pt>
                <c:pt idx="9">
                  <c:v>39416</c:v>
                </c:pt>
                <c:pt idx="10">
                  <c:v>39447</c:v>
                </c:pt>
                <c:pt idx="11">
                  <c:v>39507</c:v>
                </c:pt>
                <c:pt idx="12">
                  <c:v>39538</c:v>
                </c:pt>
                <c:pt idx="13">
                  <c:v>39568</c:v>
                </c:pt>
                <c:pt idx="14">
                  <c:v>39599</c:v>
                </c:pt>
                <c:pt idx="15">
                  <c:v>39629</c:v>
                </c:pt>
                <c:pt idx="16">
                  <c:v>39660</c:v>
                </c:pt>
                <c:pt idx="17">
                  <c:v>39691</c:v>
                </c:pt>
                <c:pt idx="18">
                  <c:v>39721</c:v>
                </c:pt>
                <c:pt idx="19">
                  <c:v>39752</c:v>
                </c:pt>
                <c:pt idx="20">
                  <c:v>39782</c:v>
                </c:pt>
                <c:pt idx="21">
                  <c:v>39813</c:v>
                </c:pt>
                <c:pt idx="22">
                  <c:v>39872</c:v>
                </c:pt>
                <c:pt idx="23">
                  <c:v>39903</c:v>
                </c:pt>
                <c:pt idx="24">
                  <c:v>39933</c:v>
                </c:pt>
                <c:pt idx="25">
                  <c:v>39964</c:v>
                </c:pt>
                <c:pt idx="26">
                  <c:v>39994</c:v>
                </c:pt>
                <c:pt idx="27">
                  <c:v>40025</c:v>
                </c:pt>
                <c:pt idx="28">
                  <c:v>40056</c:v>
                </c:pt>
                <c:pt idx="29">
                  <c:v>40086</c:v>
                </c:pt>
                <c:pt idx="30">
                  <c:v>40117</c:v>
                </c:pt>
                <c:pt idx="31">
                  <c:v>40147</c:v>
                </c:pt>
                <c:pt idx="32">
                  <c:v>40178</c:v>
                </c:pt>
                <c:pt idx="33">
                  <c:v>40237</c:v>
                </c:pt>
                <c:pt idx="34">
                  <c:v>40268</c:v>
                </c:pt>
                <c:pt idx="35">
                  <c:v>40298</c:v>
                </c:pt>
                <c:pt idx="36">
                  <c:v>40329</c:v>
                </c:pt>
                <c:pt idx="37">
                  <c:v>40359</c:v>
                </c:pt>
                <c:pt idx="38">
                  <c:v>40390</c:v>
                </c:pt>
                <c:pt idx="39">
                  <c:v>40421</c:v>
                </c:pt>
                <c:pt idx="40">
                  <c:v>40451</c:v>
                </c:pt>
                <c:pt idx="41">
                  <c:v>40482</c:v>
                </c:pt>
                <c:pt idx="42">
                  <c:v>40512</c:v>
                </c:pt>
                <c:pt idx="43">
                  <c:v>40543</c:v>
                </c:pt>
                <c:pt idx="44">
                  <c:v>40602</c:v>
                </c:pt>
                <c:pt idx="45">
                  <c:v>40633</c:v>
                </c:pt>
                <c:pt idx="46">
                  <c:v>40663</c:v>
                </c:pt>
                <c:pt idx="47">
                  <c:v>40694</c:v>
                </c:pt>
                <c:pt idx="48">
                  <c:v>40724</c:v>
                </c:pt>
                <c:pt idx="49">
                  <c:v>40755</c:v>
                </c:pt>
                <c:pt idx="50">
                  <c:v>40786</c:v>
                </c:pt>
                <c:pt idx="51">
                  <c:v>40816</c:v>
                </c:pt>
                <c:pt idx="52">
                  <c:v>40847</c:v>
                </c:pt>
                <c:pt idx="53">
                  <c:v>40877</c:v>
                </c:pt>
                <c:pt idx="54">
                  <c:v>40908</c:v>
                </c:pt>
                <c:pt idx="55">
                  <c:v>40968</c:v>
                </c:pt>
                <c:pt idx="56">
                  <c:v>40999</c:v>
                </c:pt>
                <c:pt idx="57">
                  <c:v>41029</c:v>
                </c:pt>
                <c:pt idx="58">
                  <c:v>41060</c:v>
                </c:pt>
                <c:pt idx="59">
                  <c:v>41090</c:v>
                </c:pt>
                <c:pt idx="60">
                  <c:v>41121</c:v>
                </c:pt>
                <c:pt idx="61">
                  <c:v>41152</c:v>
                </c:pt>
                <c:pt idx="62">
                  <c:v>41182</c:v>
                </c:pt>
                <c:pt idx="63">
                  <c:v>41213</c:v>
                </c:pt>
                <c:pt idx="64">
                  <c:v>41243</c:v>
                </c:pt>
                <c:pt idx="65">
                  <c:v>41274</c:v>
                </c:pt>
                <c:pt idx="66">
                  <c:v>41333</c:v>
                </c:pt>
                <c:pt idx="67">
                  <c:v>41364</c:v>
                </c:pt>
                <c:pt idx="68">
                  <c:v>41394</c:v>
                </c:pt>
                <c:pt idx="69">
                  <c:v>41425</c:v>
                </c:pt>
                <c:pt idx="70">
                  <c:v>41455</c:v>
                </c:pt>
                <c:pt idx="71">
                  <c:v>41486</c:v>
                </c:pt>
                <c:pt idx="72">
                  <c:v>41517</c:v>
                </c:pt>
                <c:pt idx="73">
                  <c:v>41518</c:v>
                </c:pt>
              </c:numCache>
            </c:numRef>
          </c:cat>
          <c:val>
            <c:numRef>
              <c:f>Sheet18!$E$14:$E$87</c:f>
              <c:numCache>
                <c:formatCode>0.00%</c:formatCode>
                <c:ptCount val="74"/>
                <c:pt idx="0">
                  <c:v>-0.65880567663122369</c:v>
                </c:pt>
                <c:pt idx="1">
                  <c:v>-2.64676150104163E-2</c:v>
                </c:pt>
                <c:pt idx="2">
                  <c:v>-1.2412751228654081E-2</c:v>
                </c:pt>
                <c:pt idx="3">
                  <c:v>4.22992841361714E-2</c:v>
                </c:pt>
                <c:pt idx="4">
                  <c:v>0.25512740486434698</c:v>
                </c:pt>
                <c:pt idx="5">
                  <c:v>-7.7419832300941627E-2</c:v>
                </c:pt>
                <c:pt idx="6">
                  <c:v>3.2484690578830612E-2</c:v>
                </c:pt>
                <c:pt idx="7">
                  <c:v>5.6145764866204775E-2</c:v>
                </c:pt>
                <c:pt idx="8">
                  <c:v>-8.8518295105121728E-2</c:v>
                </c:pt>
                <c:pt idx="9">
                  <c:v>6.4029700173520082E-2</c:v>
                </c:pt>
                <c:pt idx="10">
                  <c:v>1.6089218180411498</c:v>
                </c:pt>
                <c:pt idx="11">
                  <c:v>-0.7008837742901286</c:v>
                </c:pt>
                <c:pt idx="12">
                  <c:v>3.1348230514273753E-2</c:v>
                </c:pt>
                <c:pt idx="13">
                  <c:v>-0.14340456251260544</c:v>
                </c:pt>
                <c:pt idx="14">
                  <c:v>2.0829161706556954E-2</c:v>
                </c:pt>
                <c:pt idx="15">
                  <c:v>0.34919006304898381</c:v>
                </c:pt>
                <c:pt idx="16">
                  <c:v>-0.27126339821351853</c:v>
                </c:pt>
                <c:pt idx="17">
                  <c:v>-9.2738302205716008E-2</c:v>
                </c:pt>
                <c:pt idx="18">
                  <c:v>0.38425254692725785</c:v>
                </c:pt>
                <c:pt idx="19">
                  <c:v>-0.23152389464570103</c:v>
                </c:pt>
                <c:pt idx="20">
                  <c:v>5.2746354095682124E-3</c:v>
                </c:pt>
                <c:pt idx="21">
                  <c:v>2.8010968450452185</c:v>
                </c:pt>
                <c:pt idx="22">
                  <c:v>-0.69495911470176486</c:v>
                </c:pt>
                <c:pt idx="23">
                  <c:v>0.20390432703270056</c:v>
                </c:pt>
                <c:pt idx="24">
                  <c:v>2.2533350816105795E-2</c:v>
                </c:pt>
                <c:pt idx="25">
                  <c:v>0.11117812912101346</c:v>
                </c:pt>
                <c:pt idx="26">
                  <c:v>0.34836351098947504</c:v>
                </c:pt>
                <c:pt idx="27">
                  <c:v>-0.19206796172926174</c:v>
                </c:pt>
                <c:pt idx="28">
                  <c:v>1.9185524149292767E-3</c:v>
                </c:pt>
                <c:pt idx="29">
                  <c:v>0.16889568806405361</c:v>
                </c:pt>
                <c:pt idx="30">
                  <c:v>-0.10689806119053268</c:v>
                </c:pt>
                <c:pt idx="31">
                  <c:v>0.10461869710204494</c:v>
                </c:pt>
                <c:pt idx="32">
                  <c:v>1.2131447225737524</c:v>
                </c:pt>
                <c:pt idx="33">
                  <c:v>-0.63404076852062663</c:v>
                </c:pt>
                <c:pt idx="34">
                  <c:v>0.146825097342066</c:v>
                </c:pt>
                <c:pt idx="35">
                  <c:v>-1.8828283616102951E-2</c:v>
                </c:pt>
                <c:pt idx="36">
                  <c:v>-0.15823276911382594</c:v>
                </c:pt>
                <c:pt idx="37">
                  <c:v>0.35203407861867658</c:v>
                </c:pt>
                <c:pt idx="38">
                  <c:v>-0.29433488666499447</c:v>
                </c:pt>
                <c:pt idx="39">
                  <c:v>6.4920322668448077E-2</c:v>
                </c:pt>
                <c:pt idx="40">
                  <c:v>0.51698698492272122</c:v>
                </c:pt>
                <c:pt idx="41">
                  <c:v>-0.11176209294488892</c:v>
                </c:pt>
                <c:pt idx="42">
                  <c:v>8.9930073547797765E-2</c:v>
                </c:pt>
                <c:pt idx="43">
                  <c:v>1.1975670244998418</c:v>
                </c:pt>
                <c:pt idx="44">
                  <c:v>-0.63358634015167759</c:v>
                </c:pt>
                <c:pt idx="45">
                  <c:v>0.16663371382607045</c:v>
                </c:pt>
                <c:pt idx="46">
                  <c:v>-0.23628924276619556</c:v>
                </c:pt>
                <c:pt idx="47">
                  <c:v>0.10731578896587712</c:v>
                </c:pt>
                <c:pt idx="48">
                  <c:v>0.42993407786181437</c:v>
                </c:pt>
                <c:pt idx="49">
                  <c:v>-0.33687364474494269</c:v>
                </c:pt>
                <c:pt idx="50">
                  <c:v>2.6158505288278736E-2</c:v>
                </c:pt>
                <c:pt idx="51">
                  <c:v>0.46277116972365745</c:v>
                </c:pt>
                <c:pt idx="52">
                  <c:v>-0.26850157023832155</c:v>
                </c:pt>
                <c:pt idx="53">
                  <c:v>0.1884648813957327</c:v>
                </c:pt>
                <c:pt idx="54">
                  <c:v>0.98907025217388089</c:v>
                </c:pt>
                <c:pt idx="55">
                  <c:v>-0.64576949122712324</c:v>
                </c:pt>
                <c:pt idx="56">
                  <c:v>0.17573060717198979</c:v>
                </c:pt>
                <c:pt idx="57">
                  <c:v>-0.2322387813573252</c:v>
                </c:pt>
                <c:pt idx="58">
                  <c:v>0.15314767052798617</c:v>
                </c:pt>
                <c:pt idx="59">
                  <c:v>0.52410411595857065</c:v>
                </c:pt>
                <c:pt idx="60">
                  <c:v>-0.22345991376182392</c:v>
                </c:pt>
                <c:pt idx="61">
                  <c:v>2.2336303808972006E-2</c:v>
                </c:pt>
                <c:pt idx="62">
                  <c:v>0.24995463119717687</c:v>
                </c:pt>
                <c:pt idx="63">
                  <c:v>-6.5755472733319983E-2</c:v>
                </c:pt>
                <c:pt idx="64">
                  <c:v>0.2582643893633883</c:v>
                </c:pt>
                <c:pt idx="65">
                  <c:v>0.51200339674728657</c:v>
                </c:pt>
                <c:pt idx="66">
                  <c:v>-0.46572141156589292</c:v>
                </c:pt>
                <c:pt idx="67">
                  <c:v>-4.2313331100657832E-3</c:v>
                </c:pt>
                <c:pt idx="68">
                  <c:v>-0.15002582518428997</c:v>
                </c:pt>
                <c:pt idx="69">
                  <c:v>5.5859962805707833E-2</c:v>
                </c:pt>
                <c:pt idx="70">
                  <c:v>0.31606372011535988</c:v>
                </c:pt>
                <c:pt idx="71">
                  <c:v>-0.21235965822081918</c:v>
                </c:pt>
                <c:pt idx="72">
                  <c:v>8.9353031454103256E-4</c:v>
                </c:pt>
                <c:pt idx="73">
                  <c:v>0.39478246435056757</c:v>
                </c:pt>
              </c:numCache>
            </c:numRef>
          </c:val>
        </c:ser>
        <c:marker val="1"/>
        <c:axId val="344132992"/>
        <c:axId val="344131456"/>
      </c:lineChart>
      <c:dateAx>
        <c:axId val="342284928"/>
        <c:scaling>
          <c:orientation val="minMax"/>
        </c:scaling>
        <c:axPos val="b"/>
        <c:numFmt formatCode="yyyy\-mm;@" sourceLinked="1"/>
        <c:majorTickMark val="none"/>
        <c:tickLblPos val="nextTo"/>
        <c:txPr>
          <a:bodyPr/>
          <a:lstStyle/>
          <a:p>
            <a:pPr>
              <a:defRPr sz="700" baseline="0"/>
            </a:pPr>
            <a:endParaRPr lang="zh-CN"/>
          </a:p>
        </c:txPr>
        <c:crossAx val="344129920"/>
        <c:crosses val="autoZero"/>
        <c:auto val="1"/>
        <c:lblOffset val="100"/>
        <c:majorUnit val="1"/>
        <c:majorTimeUnit val="years"/>
      </c:dateAx>
      <c:valAx>
        <c:axId val="344129920"/>
        <c:scaling>
          <c:orientation val="minMax"/>
          <c:max val="25000"/>
          <c:min val="0"/>
        </c:scaling>
        <c:axPos val="l"/>
        <c:majorGridlines/>
        <c:numFmt formatCode="###,###,###,###,##0.00_ " sourceLinked="1"/>
        <c:tickLblPos val="low"/>
        <c:spPr>
          <a:ln w="9525">
            <a:noFill/>
          </a:ln>
        </c:spPr>
        <c:txPr>
          <a:bodyPr/>
          <a:lstStyle/>
          <a:p>
            <a:pPr>
              <a:defRPr sz="700" baseline="0"/>
            </a:pPr>
            <a:endParaRPr lang="zh-CN"/>
          </a:p>
        </c:txPr>
        <c:crossAx val="342284928"/>
        <c:crosses val="autoZero"/>
        <c:crossBetween val="between"/>
        <c:majorUnit val="5000"/>
      </c:valAx>
      <c:valAx>
        <c:axId val="344131456"/>
        <c:scaling>
          <c:orientation val="minMax"/>
        </c:scaling>
        <c:axPos val="r"/>
        <c:numFmt formatCode="0.00%" sourceLinked="1"/>
        <c:tickLblPos val="nextTo"/>
        <c:txPr>
          <a:bodyPr/>
          <a:lstStyle/>
          <a:p>
            <a:pPr>
              <a:defRPr sz="700" baseline="0"/>
            </a:pPr>
            <a:endParaRPr lang="zh-CN"/>
          </a:p>
        </c:txPr>
        <c:crossAx val="344132992"/>
        <c:crosses val="max"/>
        <c:crossBetween val="between"/>
      </c:valAx>
      <c:dateAx>
        <c:axId val="344132992"/>
        <c:scaling>
          <c:orientation val="minMax"/>
        </c:scaling>
        <c:delete val="1"/>
        <c:axPos val="b"/>
        <c:numFmt formatCode="yyyy\-mm;@" sourceLinked="1"/>
        <c:tickLblPos val="none"/>
        <c:crossAx val="344131456"/>
        <c:crosses val="autoZero"/>
        <c:auto val="1"/>
        <c:lblOffset val="100"/>
        <c:majorUnit val="1"/>
        <c:minorUnit val="1"/>
      </c:dateAx>
    </c:plotArea>
    <c:legend>
      <c:legendPos val="b"/>
      <c:txPr>
        <a:bodyPr/>
        <a:lstStyle/>
        <a:p>
          <a:pPr>
            <a:defRPr sz="700" baseline="0"/>
          </a:pPr>
          <a:endParaRPr lang="zh-CN"/>
        </a:p>
      </c:txPr>
    </c:legend>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Sheet19!$B$13</c:f>
              <c:strCache>
                <c:ptCount val="1"/>
                <c:pt idx="0">
                  <c:v>商品房销售额</c:v>
                </c:pt>
              </c:strCache>
            </c:strRef>
          </c:tx>
          <c:cat>
            <c:numRef>
              <c:f>Sheet19!$A$14:$A$87</c:f>
              <c:numCache>
                <c:formatCode>yyyy\-mm;@</c:formatCode>
                <c:ptCount val="74"/>
                <c:pt idx="0">
                  <c:v>39141</c:v>
                </c:pt>
                <c:pt idx="1">
                  <c:v>39172</c:v>
                </c:pt>
                <c:pt idx="2">
                  <c:v>39202</c:v>
                </c:pt>
                <c:pt idx="3">
                  <c:v>39233</c:v>
                </c:pt>
                <c:pt idx="4">
                  <c:v>39263</c:v>
                </c:pt>
                <c:pt idx="5">
                  <c:v>39294</c:v>
                </c:pt>
                <c:pt idx="6">
                  <c:v>39325</c:v>
                </c:pt>
                <c:pt idx="7">
                  <c:v>39355</c:v>
                </c:pt>
                <c:pt idx="8">
                  <c:v>39386</c:v>
                </c:pt>
                <c:pt idx="9">
                  <c:v>39416</c:v>
                </c:pt>
                <c:pt idx="10">
                  <c:v>39447</c:v>
                </c:pt>
                <c:pt idx="11">
                  <c:v>39507</c:v>
                </c:pt>
                <c:pt idx="12">
                  <c:v>39538</c:v>
                </c:pt>
                <c:pt idx="13">
                  <c:v>39568</c:v>
                </c:pt>
                <c:pt idx="14">
                  <c:v>39599</c:v>
                </c:pt>
                <c:pt idx="15">
                  <c:v>39629</c:v>
                </c:pt>
                <c:pt idx="16">
                  <c:v>39660</c:v>
                </c:pt>
                <c:pt idx="17">
                  <c:v>39691</c:v>
                </c:pt>
                <c:pt idx="18">
                  <c:v>39721</c:v>
                </c:pt>
                <c:pt idx="19">
                  <c:v>39752</c:v>
                </c:pt>
                <c:pt idx="20">
                  <c:v>39782</c:v>
                </c:pt>
                <c:pt idx="21">
                  <c:v>39813</c:v>
                </c:pt>
                <c:pt idx="22">
                  <c:v>39872</c:v>
                </c:pt>
                <c:pt idx="23">
                  <c:v>39903</c:v>
                </c:pt>
                <c:pt idx="24">
                  <c:v>39933</c:v>
                </c:pt>
                <c:pt idx="25">
                  <c:v>39964</c:v>
                </c:pt>
                <c:pt idx="26">
                  <c:v>39994</c:v>
                </c:pt>
                <c:pt idx="27">
                  <c:v>40025</c:v>
                </c:pt>
                <c:pt idx="28">
                  <c:v>40056</c:v>
                </c:pt>
                <c:pt idx="29">
                  <c:v>40086</c:v>
                </c:pt>
                <c:pt idx="30">
                  <c:v>40117</c:v>
                </c:pt>
                <c:pt idx="31">
                  <c:v>40147</c:v>
                </c:pt>
                <c:pt idx="32">
                  <c:v>40178</c:v>
                </c:pt>
                <c:pt idx="33">
                  <c:v>40237</c:v>
                </c:pt>
                <c:pt idx="34">
                  <c:v>40268</c:v>
                </c:pt>
                <c:pt idx="35">
                  <c:v>40298</c:v>
                </c:pt>
                <c:pt idx="36">
                  <c:v>40329</c:v>
                </c:pt>
                <c:pt idx="37">
                  <c:v>40359</c:v>
                </c:pt>
                <c:pt idx="38">
                  <c:v>40390</c:v>
                </c:pt>
                <c:pt idx="39">
                  <c:v>40421</c:v>
                </c:pt>
                <c:pt idx="40">
                  <c:v>40451</c:v>
                </c:pt>
                <c:pt idx="41">
                  <c:v>40482</c:v>
                </c:pt>
                <c:pt idx="42">
                  <c:v>40512</c:v>
                </c:pt>
                <c:pt idx="43">
                  <c:v>40543</c:v>
                </c:pt>
                <c:pt idx="44">
                  <c:v>40602</c:v>
                </c:pt>
                <c:pt idx="45">
                  <c:v>40633</c:v>
                </c:pt>
                <c:pt idx="46">
                  <c:v>40663</c:v>
                </c:pt>
                <c:pt idx="47">
                  <c:v>40694</c:v>
                </c:pt>
                <c:pt idx="48">
                  <c:v>40724</c:v>
                </c:pt>
                <c:pt idx="49">
                  <c:v>40755</c:v>
                </c:pt>
                <c:pt idx="50">
                  <c:v>40786</c:v>
                </c:pt>
                <c:pt idx="51">
                  <c:v>40816</c:v>
                </c:pt>
                <c:pt idx="52">
                  <c:v>40847</c:v>
                </c:pt>
                <c:pt idx="53">
                  <c:v>40877</c:v>
                </c:pt>
                <c:pt idx="54">
                  <c:v>40908</c:v>
                </c:pt>
                <c:pt idx="55">
                  <c:v>40968</c:v>
                </c:pt>
                <c:pt idx="56">
                  <c:v>40999</c:v>
                </c:pt>
                <c:pt idx="57">
                  <c:v>41029</c:v>
                </c:pt>
                <c:pt idx="58">
                  <c:v>41060</c:v>
                </c:pt>
                <c:pt idx="59">
                  <c:v>41090</c:v>
                </c:pt>
                <c:pt idx="60">
                  <c:v>41121</c:v>
                </c:pt>
                <c:pt idx="61">
                  <c:v>41152</c:v>
                </c:pt>
                <c:pt idx="62">
                  <c:v>41182</c:v>
                </c:pt>
                <c:pt idx="63">
                  <c:v>41213</c:v>
                </c:pt>
                <c:pt idx="64">
                  <c:v>41243</c:v>
                </c:pt>
                <c:pt idx="65">
                  <c:v>41274</c:v>
                </c:pt>
                <c:pt idx="66">
                  <c:v>41333</c:v>
                </c:pt>
                <c:pt idx="67">
                  <c:v>41364</c:v>
                </c:pt>
                <c:pt idx="68">
                  <c:v>41394</c:v>
                </c:pt>
                <c:pt idx="69">
                  <c:v>41425</c:v>
                </c:pt>
                <c:pt idx="70">
                  <c:v>41455</c:v>
                </c:pt>
                <c:pt idx="71">
                  <c:v>41486</c:v>
                </c:pt>
                <c:pt idx="72">
                  <c:v>41517</c:v>
                </c:pt>
                <c:pt idx="73">
                  <c:v>41518</c:v>
                </c:pt>
              </c:numCache>
            </c:numRef>
          </c:cat>
          <c:val>
            <c:numRef>
              <c:f>Sheet19!$B$14:$B$87</c:f>
              <c:numCache>
                <c:formatCode>###,###,###,###,##0.00_ </c:formatCode>
                <c:ptCount val="74"/>
                <c:pt idx="0">
                  <c:v>2247.9</c:v>
                </c:pt>
                <c:pt idx="1">
                  <c:v>1802.85</c:v>
                </c:pt>
                <c:pt idx="2">
                  <c:v>1946.5699999999997</c:v>
                </c:pt>
                <c:pt idx="3">
                  <c:v>2062.4300000000012</c:v>
                </c:pt>
                <c:pt idx="4">
                  <c:v>2583.08</c:v>
                </c:pt>
                <c:pt idx="5">
                  <c:v>2499.6100000000006</c:v>
                </c:pt>
                <c:pt idx="6">
                  <c:v>2677.8999999999996</c:v>
                </c:pt>
                <c:pt idx="7">
                  <c:v>2864.4300000000012</c:v>
                </c:pt>
                <c:pt idx="8">
                  <c:v>2602.1800000000003</c:v>
                </c:pt>
                <c:pt idx="9">
                  <c:v>2715.6899999999987</c:v>
                </c:pt>
                <c:pt idx="10">
                  <c:v>5886.48</c:v>
                </c:pt>
                <c:pt idx="11">
                  <c:v>2154.75</c:v>
                </c:pt>
                <c:pt idx="12">
                  <c:v>1955.7799999999997</c:v>
                </c:pt>
                <c:pt idx="13">
                  <c:v>1794.2600000000002</c:v>
                </c:pt>
                <c:pt idx="14">
                  <c:v>1932.45</c:v>
                </c:pt>
                <c:pt idx="15">
                  <c:v>2488.1900000000005</c:v>
                </c:pt>
                <c:pt idx="16">
                  <c:v>1895.74</c:v>
                </c:pt>
                <c:pt idx="17">
                  <c:v>1592.2700000000004</c:v>
                </c:pt>
                <c:pt idx="18">
                  <c:v>2065.09</c:v>
                </c:pt>
                <c:pt idx="19">
                  <c:v>1711.4999999999982</c:v>
                </c:pt>
                <c:pt idx="20">
                  <c:v>1671.1599999999999</c:v>
                </c:pt>
                <c:pt idx="21">
                  <c:v>5806.9900000000016</c:v>
                </c:pt>
                <c:pt idx="22">
                  <c:v>2396.98</c:v>
                </c:pt>
                <c:pt idx="23">
                  <c:v>2661.6600000000003</c:v>
                </c:pt>
                <c:pt idx="24">
                  <c:v>2937.2799999999997</c:v>
                </c:pt>
                <c:pt idx="25">
                  <c:v>3393</c:v>
                </c:pt>
                <c:pt idx="26">
                  <c:v>4410.6500000000024</c:v>
                </c:pt>
                <c:pt idx="27">
                  <c:v>3800.0200000000004</c:v>
                </c:pt>
                <c:pt idx="28">
                  <c:v>3864.1500000000015</c:v>
                </c:pt>
                <c:pt idx="29">
                  <c:v>4068.1499999999937</c:v>
                </c:pt>
                <c:pt idx="30">
                  <c:v>3997.2299999999987</c:v>
                </c:pt>
                <c:pt idx="31">
                  <c:v>4458.0000000000036</c:v>
                </c:pt>
                <c:pt idx="32">
                  <c:v>8368.0499999999811</c:v>
                </c:pt>
                <c:pt idx="33">
                  <c:v>4115.74</c:v>
                </c:pt>
                <c:pt idx="34">
                  <c:v>3861.0600000000004</c:v>
                </c:pt>
                <c:pt idx="35">
                  <c:v>4448.4399999999996</c:v>
                </c:pt>
                <c:pt idx="36">
                  <c:v>3334.9500000000012</c:v>
                </c:pt>
                <c:pt idx="37">
                  <c:v>4059.659999999998</c:v>
                </c:pt>
                <c:pt idx="38">
                  <c:v>3065.84</c:v>
                </c:pt>
                <c:pt idx="39">
                  <c:v>3532.5500000000029</c:v>
                </c:pt>
                <c:pt idx="40">
                  <c:v>5498.34</c:v>
                </c:pt>
                <c:pt idx="41">
                  <c:v>5075.7000000000007</c:v>
                </c:pt>
                <c:pt idx="42">
                  <c:v>5285.6100000000024</c:v>
                </c:pt>
                <c:pt idx="43">
                  <c:v>10443.34999999996</c:v>
                </c:pt>
                <c:pt idx="44">
                  <c:v>5241.6100000000024</c:v>
                </c:pt>
                <c:pt idx="45">
                  <c:v>4910.3</c:v>
                </c:pt>
                <c:pt idx="46">
                  <c:v>3925.82</c:v>
                </c:pt>
                <c:pt idx="47">
                  <c:v>4542.3700000000008</c:v>
                </c:pt>
                <c:pt idx="48">
                  <c:v>5969.3200000000024</c:v>
                </c:pt>
                <c:pt idx="49">
                  <c:v>4262.6900000000023</c:v>
                </c:pt>
                <c:pt idx="50">
                  <c:v>4412.2900000000009</c:v>
                </c:pt>
                <c:pt idx="51">
                  <c:v>6047.1399999999994</c:v>
                </c:pt>
                <c:pt idx="52">
                  <c:v>4514.7000000000007</c:v>
                </c:pt>
                <c:pt idx="53">
                  <c:v>5220.6200000000044</c:v>
                </c:pt>
                <c:pt idx="54">
                  <c:v>9542</c:v>
                </c:pt>
                <c:pt idx="55">
                  <c:v>4144.5820000000003</c:v>
                </c:pt>
                <c:pt idx="56">
                  <c:v>4527.4436000000005</c:v>
                </c:pt>
                <c:pt idx="57">
                  <c:v>3749.0626999999881</c:v>
                </c:pt>
                <c:pt idx="58">
                  <c:v>4511.0704000000005</c:v>
                </c:pt>
                <c:pt idx="59">
                  <c:v>6381.8784000000005</c:v>
                </c:pt>
                <c:pt idx="60">
                  <c:v>5385.4376999999986</c:v>
                </c:pt>
                <c:pt idx="61">
                  <c:v>5311.6321000000034</c:v>
                </c:pt>
                <c:pt idx="62">
                  <c:v>6342.5610000000024</c:v>
                </c:pt>
                <c:pt idx="63">
                  <c:v>5947.0909000000029</c:v>
                </c:pt>
                <c:pt idx="64">
                  <c:v>7225.1754000000001</c:v>
                </c:pt>
                <c:pt idx="65">
                  <c:v>10929.8514</c:v>
                </c:pt>
                <c:pt idx="66">
                  <c:v>7361.3331000000007</c:v>
                </c:pt>
                <c:pt idx="67">
                  <c:v>6630.2950999999994</c:v>
                </c:pt>
                <c:pt idx="68">
                  <c:v>5855.5575000000026</c:v>
                </c:pt>
                <c:pt idx="69">
                  <c:v>6016.7920000000004</c:v>
                </c:pt>
                <c:pt idx="70">
                  <c:v>7512.4287000000004</c:v>
                </c:pt>
                <c:pt idx="71">
                  <c:v>6172.4362000000037</c:v>
                </c:pt>
                <c:pt idx="72">
                  <c:v>6175.1374000000005</c:v>
                </c:pt>
                <c:pt idx="73">
                  <c:v>8304.1499999999851</c:v>
                </c:pt>
              </c:numCache>
            </c:numRef>
          </c:val>
        </c:ser>
        <c:gapWidth val="75"/>
        <c:axId val="344199552"/>
        <c:axId val="344201088"/>
      </c:barChart>
      <c:lineChart>
        <c:grouping val="standard"/>
        <c:ser>
          <c:idx val="1"/>
          <c:order val="1"/>
          <c:tx>
            <c:strRef>
              <c:f>Sheet19!$C$13</c:f>
              <c:strCache>
                <c:ptCount val="1"/>
                <c:pt idx="0">
                  <c:v>同比变化率</c:v>
                </c:pt>
              </c:strCache>
            </c:strRef>
          </c:tx>
          <c:marker>
            <c:symbol val="none"/>
          </c:marker>
          <c:cat>
            <c:numRef>
              <c:f>Sheet19!$A$14:$A$87</c:f>
              <c:numCache>
                <c:formatCode>yyyy\-mm;@</c:formatCode>
                <c:ptCount val="74"/>
                <c:pt idx="0">
                  <c:v>39141</c:v>
                </c:pt>
                <c:pt idx="1">
                  <c:v>39172</c:v>
                </c:pt>
                <c:pt idx="2">
                  <c:v>39202</c:v>
                </c:pt>
                <c:pt idx="3">
                  <c:v>39233</c:v>
                </c:pt>
                <c:pt idx="4">
                  <c:v>39263</c:v>
                </c:pt>
                <c:pt idx="5">
                  <c:v>39294</c:v>
                </c:pt>
                <c:pt idx="6">
                  <c:v>39325</c:v>
                </c:pt>
                <c:pt idx="7">
                  <c:v>39355</c:v>
                </c:pt>
                <c:pt idx="8">
                  <c:v>39386</c:v>
                </c:pt>
                <c:pt idx="9">
                  <c:v>39416</c:v>
                </c:pt>
                <c:pt idx="10">
                  <c:v>39447</c:v>
                </c:pt>
                <c:pt idx="11">
                  <c:v>39507</c:v>
                </c:pt>
                <c:pt idx="12">
                  <c:v>39538</c:v>
                </c:pt>
                <c:pt idx="13">
                  <c:v>39568</c:v>
                </c:pt>
                <c:pt idx="14">
                  <c:v>39599</c:v>
                </c:pt>
                <c:pt idx="15">
                  <c:v>39629</c:v>
                </c:pt>
                <c:pt idx="16">
                  <c:v>39660</c:v>
                </c:pt>
                <c:pt idx="17">
                  <c:v>39691</c:v>
                </c:pt>
                <c:pt idx="18">
                  <c:v>39721</c:v>
                </c:pt>
                <c:pt idx="19">
                  <c:v>39752</c:v>
                </c:pt>
                <c:pt idx="20">
                  <c:v>39782</c:v>
                </c:pt>
                <c:pt idx="21">
                  <c:v>39813</c:v>
                </c:pt>
                <c:pt idx="22">
                  <c:v>39872</c:v>
                </c:pt>
                <c:pt idx="23">
                  <c:v>39903</c:v>
                </c:pt>
                <c:pt idx="24">
                  <c:v>39933</c:v>
                </c:pt>
                <c:pt idx="25">
                  <c:v>39964</c:v>
                </c:pt>
                <c:pt idx="26">
                  <c:v>39994</c:v>
                </c:pt>
                <c:pt idx="27">
                  <c:v>40025</c:v>
                </c:pt>
                <c:pt idx="28">
                  <c:v>40056</c:v>
                </c:pt>
                <c:pt idx="29">
                  <c:v>40086</c:v>
                </c:pt>
                <c:pt idx="30">
                  <c:v>40117</c:v>
                </c:pt>
                <c:pt idx="31">
                  <c:v>40147</c:v>
                </c:pt>
                <c:pt idx="32">
                  <c:v>40178</c:v>
                </c:pt>
                <c:pt idx="33">
                  <c:v>40237</c:v>
                </c:pt>
                <c:pt idx="34">
                  <c:v>40268</c:v>
                </c:pt>
                <c:pt idx="35">
                  <c:v>40298</c:v>
                </c:pt>
                <c:pt idx="36">
                  <c:v>40329</c:v>
                </c:pt>
                <c:pt idx="37">
                  <c:v>40359</c:v>
                </c:pt>
                <c:pt idx="38">
                  <c:v>40390</c:v>
                </c:pt>
                <c:pt idx="39">
                  <c:v>40421</c:v>
                </c:pt>
                <c:pt idx="40">
                  <c:v>40451</c:v>
                </c:pt>
                <c:pt idx="41">
                  <c:v>40482</c:v>
                </c:pt>
                <c:pt idx="42">
                  <c:v>40512</c:v>
                </c:pt>
                <c:pt idx="43">
                  <c:v>40543</c:v>
                </c:pt>
                <c:pt idx="44">
                  <c:v>40602</c:v>
                </c:pt>
                <c:pt idx="45">
                  <c:v>40633</c:v>
                </c:pt>
                <c:pt idx="46">
                  <c:v>40663</c:v>
                </c:pt>
                <c:pt idx="47">
                  <c:v>40694</c:v>
                </c:pt>
                <c:pt idx="48">
                  <c:v>40724</c:v>
                </c:pt>
                <c:pt idx="49">
                  <c:v>40755</c:v>
                </c:pt>
                <c:pt idx="50">
                  <c:v>40786</c:v>
                </c:pt>
                <c:pt idx="51">
                  <c:v>40816</c:v>
                </c:pt>
                <c:pt idx="52">
                  <c:v>40847</c:v>
                </c:pt>
                <c:pt idx="53">
                  <c:v>40877</c:v>
                </c:pt>
                <c:pt idx="54">
                  <c:v>40908</c:v>
                </c:pt>
                <c:pt idx="55">
                  <c:v>40968</c:v>
                </c:pt>
                <c:pt idx="56">
                  <c:v>40999</c:v>
                </c:pt>
                <c:pt idx="57">
                  <c:v>41029</c:v>
                </c:pt>
                <c:pt idx="58">
                  <c:v>41060</c:v>
                </c:pt>
                <c:pt idx="59">
                  <c:v>41090</c:v>
                </c:pt>
                <c:pt idx="60">
                  <c:v>41121</c:v>
                </c:pt>
                <c:pt idx="61">
                  <c:v>41152</c:v>
                </c:pt>
                <c:pt idx="62">
                  <c:v>41182</c:v>
                </c:pt>
                <c:pt idx="63">
                  <c:v>41213</c:v>
                </c:pt>
                <c:pt idx="64">
                  <c:v>41243</c:v>
                </c:pt>
                <c:pt idx="65">
                  <c:v>41274</c:v>
                </c:pt>
                <c:pt idx="66">
                  <c:v>41333</c:v>
                </c:pt>
                <c:pt idx="67">
                  <c:v>41364</c:v>
                </c:pt>
                <c:pt idx="68">
                  <c:v>41394</c:v>
                </c:pt>
                <c:pt idx="69">
                  <c:v>41425</c:v>
                </c:pt>
                <c:pt idx="70">
                  <c:v>41455</c:v>
                </c:pt>
                <c:pt idx="71">
                  <c:v>41486</c:v>
                </c:pt>
                <c:pt idx="72">
                  <c:v>41517</c:v>
                </c:pt>
                <c:pt idx="73">
                  <c:v>41518</c:v>
                </c:pt>
              </c:numCache>
            </c:numRef>
          </c:cat>
          <c:val>
            <c:numRef>
              <c:f>Sheet19!$C$14:$C$87</c:f>
              <c:numCache>
                <c:formatCode>0.00%</c:formatCode>
                <c:ptCount val="74"/>
                <c:pt idx="0">
                  <c:v>0.19446525641230131</c:v>
                </c:pt>
                <c:pt idx="1">
                  <c:v>0.37541292522715941</c:v>
                </c:pt>
                <c:pt idx="2">
                  <c:v>0.36827048114434519</c:v>
                </c:pt>
                <c:pt idx="3">
                  <c:v>0.24641473629501712</c:v>
                </c:pt>
                <c:pt idx="4">
                  <c:v>0.53076850139856868</c:v>
                </c:pt>
                <c:pt idx="5">
                  <c:v>0.68596384729529203</c:v>
                </c:pt>
                <c:pt idx="6">
                  <c:v>0.87181960521165403</c:v>
                </c:pt>
                <c:pt idx="7">
                  <c:v>0.85445611218293049</c:v>
                </c:pt>
                <c:pt idx="8">
                  <c:v>0.58879737213263916</c:v>
                </c:pt>
                <c:pt idx="9">
                  <c:v>0.3004994756224294</c:v>
                </c:pt>
                <c:pt idx="10">
                  <c:v>0.25655979165777282</c:v>
                </c:pt>
                <c:pt idx="11">
                  <c:v>-4.1438676097691404E-2</c:v>
                </c:pt>
                <c:pt idx="12">
                  <c:v>8.4826802007932495E-2</c:v>
                </c:pt>
                <c:pt idx="13">
                  <c:v>-7.8245323826011723E-2</c:v>
                </c:pt>
                <c:pt idx="14">
                  <c:v>-6.3022745014376463E-2</c:v>
                </c:pt>
                <c:pt idx="15">
                  <c:v>-3.6735215324341451E-2</c:v>
                </c:pt>
                <c:pt idx="16">
                  <c:v>-0.24158568736723049</c:v>
                </c:pt>
                <c:pt idx="17">
                  <c:v>-0.40540348780761226</c:v>
                </c:pt>
                <c:pt idx="18">
                  <c:v>-0.27905726444702789</c:v>
                </c:pt>
                <c:pt idx="19">
                  <c:v>-0.34228224027546328</c:v>
                </c:pt>
                <c:pt idx="20">
                  <c:v>-0.38462784780295489</c:v>
                </c:pt>
                <c:pt idx="21">
                  <c:v>-1.3503825715877533E-2</c:v>
                </c:pt>
                <c:pt idx="22">
                  <c:v>0.11241675368372202</c:v>
                </c:pt>
                <c:pt idx="23">
                  <c:v>0.36091993987053911</c:v>
                </c:pt>
                <c:pt idx="24">
                  <c:v>0.63704256908140366</c:v>
                </c:pt>
                <c:pt idx="25">
                  <c:v>0.75580221997982122</c:v>
                </c:pt>
                <c:pt idx="26">
                  <c:v>0.77263392265060393</c:v>
                </c:pt>
                <c:pt idx="27">
                  <c:v>1.0045048371612146</c:v>
                </c:pt>
                <c:pt idx="28">
                  <c:v>1.4268183159891175</c:v>
                </c:pt>
                <c:pt idx="29">
                  <c:v>0.96996256821736115</c:v>
                </c:pt>
                <c:pt idx="30">
                  <c:v>1.3355127081507481</c:v>
                </c:pt>
                <c:pt idx="31">
                  <c:v>1.6676081284856061</c:v>
                </c:pt>
                <c:pt idx="32">
                  <c:v>0.44103055111167633</c:v>
                </c:pt>
                <c:pt idx="33">
                  <c:v>0.71705229079925559</c:v>
                </c:pt>
                <c:pt idx="34">
                  <c:v>0.45062104100448591</c:v>
                </c:pt>
                <c:pt idx="35">
                  <c:v>0.51447597777535659</c:v>
                </c:pt>
                <c:pt idx="36">
                  <c:v>-1.7108753315649653E-2</c:v>
                </c:pt>
                <c:pt idx="37">
                  <c:v>-7.9577840000907271E-2</c:v>
                </c:pt>
                <c:pt idx="38">
                  <c:v>-0.19320424629344071</c:v>
                </c:pt>
                <c:pt idx="39">
                  <c:v>-8.5814474075798966E-2</c:v>
                </c:pt>
                <c:pt idx="40">
                  <c:v>0.351557833413223</c:v>
                </c:pt>
                <c:pt idx="41">
                  <c:v>0.26980433950510668</c:v>
                </c:pt>
                <c:pt idx="42">
                  <c:v>0.18564602960968957</c:v>
                </c:pt>
                <c:pt idx="43">
                  <c:v>0.2480028202508355</c:v>
                </c:pt>
                <c:pt idx="44">
                  <c:v>0.27355226520625864</c:v>
                </c:pt>
                <c:pt idx="45">
                  <c:v>0.2717492087665031</c:v>
                </c:pt>
                <c:pt idx="46">
                  <c:v>-0.1174838819900909</c:v>
                </c:pt>
                <c:pt idx="47">
                  <c:v>0.36205040555330631</c:v>
                </c:pt>
                <c:pt idx="48">
                  <c:v>0.47039899893094794</c:v>
                </c:pt>
                <c:pt idx="49">
                  <c:v>0.39038240743157127</c:v>
                </c:pt>
                <c:pt idx="50">
                  <c:v>0.24903823017367083</c:v>
                </c:pt>
                <c:pt idx="51">
                  <c:v>9.9811943241051027E-2</c:v>
                </c:pt>
                <c:pt idx="52">
                  <c:v>-0.11052662686920076</c:v>
                </c:pt>
                <c:pt idx="53">
                  <c:v>-1.2295647995216812E-2</c:v>
                </c:pt>
                <c:pt idx="54">
                  <c:v>-8.6308512115365152E-2</c:v>
                </c:pt>
                <c:pt idx="55">
                  <c:v>-0.2092921831269412</c:v>
                </c:pt>
                <c:pt idx="56">
                  <c:v>-7.7970062928945524E-2</c:v>
                </c:pt>
                <c:pt idx="57">
                  <c:v>-4.5024300655659467E-2</c:v>
                </c:pt>
                <c:pt idx="58">
                  <c:v>-6.8905879529845594E-3</c:v>
                </c:pt>
                <c:pt idx="59">
                  <c:v>6.9113131814009701E-2</c:v>
                </c:pt>
                <c:pt idx="60">
                  <c:v>0.26338947941323332</c:v>
                </c:pt>
                <c:pt idx="61">
                  <c:v>0.20382660704532071</c:v>
                </c:pt>
                <c:pt idx="62">
                  <c:v>4.8853011506266121E-2</c:v>
                </c:pt>
                <c:pt idx="63">
                  <c:v>0.31727266485038091</c:v>
                </c:pt>
                <c:pt idx="64">
                  <c:v>0.38396883895016437</c:v>
                </c:pt>
                <c:pt idx="65">
                  <c:v>0.14544659400545037</c:v>
                </c:pt>
                <c:pt idx="66">
                  <c:v>0.77613402268311282</c:v>
                </c:pt>
                <c:pt idx="67">
                  <c:v>0.46446774069145746</c:v>
                </c:pt>
                <c:pt idx="68">
                  <c:v>0.56187238479633628</c:v>
                </c:pt>
                <c:pt idx="69">
                  <c:v>0.33378366252053998</c:v>
                </c:pt>
                <c:pt idx="70">
                  <c:v>0.17715008484022568</c:v>
                </c:pt>
                <c:pt idx="71">
                  <c:v>0.14613454724395067</c:v>
                </c:pt>
                <c:pt idx="72">
                  <c:v>0.16256873287590923</c:v>
                </c:pt>
                <c:pt idx="73">
                  <c:v>0.30927396677777347</c:v>
                </c:pt>
              </c:numCache>
            </c:numRef>
          </c:val>
        </c:ser>
        <c:ser>
          <c:idx val="2"/>
          <c:order val="2"/>
          <c:tx>
            <c:strRef>
              <c:f>Sheet19!$D$13</c:f>
              <c:strCache>
                <c:ptCount val="1"/>
                <c:pt idx="0">
                  <c:v>环比变化率</c:v>
                </c:pt>
              </c:strCache>
            </c:strRef>
          </c:tx>
          <c:marker>
            <c:symbol val="none"/>
          </c:marker>
          <c:cat>
            <c:numRef>
              <c:f>Sheet19!$A$14:$A$87</c:f>
              <c:numCache>
                <c:formatCode>yyyy\-mm;@</c:formatCode>
                <c:ptCount val="74"/>
                <c:pt idx="0">
                  <c:v>39141</c:v>
                </c:pt>
                <c:pt idx="1">
                  <c:v>39172</c:v>
                </c:pt>
                <c:pt idx="2">
                  <c:v>39202</c:v>
                </c:pt>
                <c:pt idx="3">
                  <c:v>39233</c:v>
                </c:pt>
                <c:pt idx="4">
                  <c:v>39263</c:v>
                </c:pt>
                <c:pt idx="5">
                  <c:v>39294</c:v>
                </c:pt>
                <c:pt idx="6">
                  <c:v>39325</c:v>
                </c:pt>
                <c:pt idx="7">
                  <c:v>39355</c:v>
                </c:pt>
                <c:pt idx="8">
                  <c:v>39386</c:v>
                </c:pt>
                <c:pt idx="9">
                  <c:v>39416</c:v>
                </c:pt>
                <c:pt idx="10">
                  <c:v>39447</c:v>
                </c:pt>
                <c:pt idx="11">
                  <c:v>39507</c:v>
                </c:pt>
                <c:pt idx="12">
                  <c:v>39538</c:v>
                </c:pt>
                <c:pt idx="13">
                  <c:v>39568</c:v>
                </c:pt>
                <c:pt idx="14">
                  <c:v>39599</c:v>
                </c:pt>
                <c:pt idx="15">
                  <c:v>39629</c:v>
                </c:pt>
                <c:pt idx="16">
                  <c:v>39660</c:v>
                </c:pt>
                <c:pt idx="17">
                  <c:v>39691</c:v>
                </c:pt>
                <c:pt idx="18">
                  <c:v>39721</c:v>
                </c:pt>
                <c:pt idx="19">
                  <c:v>39752</c:v>
                </c:pt>
                <c:pt idx="20">
                  <c:v>39782</c:v>
                </c:pt>
                <c:pt idx="21">
                  <c:v>39813</c:v>
                </c:pt>
                <c:pt idx="22">
                  <c:v>39872</c:v>
                </c:pt>
                <c:pt idx="23">
                  <c:v>39903</c:v>
                </c:pt>
                <c:pt idx="24">
                  <c:v>39933</c:v>
                </c:pt>
                <c:pt idx="25">
                  <c:v>39964</c:v>
                </c:pt>
                <c:pt idx="26">
                  <c:v>39994</c:v>
                </c:pt>
                <c:pt idx="27">
                  <c:v>40025</c:v>
                </c:pt>
                <c:pt idx="28">
                  <c:v>40056</c:v>
                </c:pt>
                <c:pt idx="29">
                  <c:v>40086</c:v>
                </c:pt>
                <c:pt idx="30">
                  <c:v>40117</c:v>
                </c:pt>
                <c:pt idx="31">
                  <c:v>40147</c:v>
                </c:pt>
                <c:pt idx="32">
                  <c:v>40178</c:v>
                </c:pt>
                <c:pt idx="33">
                  <c:v>40237</c:v>
                </c:pt>
                <c:pt idx="34">
                  <c:v>40268</c:v>
                </c:pt>
                <c:pt idx="35">
                  <c:v>40298</c:v>
                </c:pt>
                <c:pt idx="36">
                  <c:v>40329</c:v>
                </c:pt>
                <c:pt idx="37">
                  <c:v>40359</c:v>
                </c:pt>
                <c:pt idx="38">
                  <c:v>40390</c:v>
                </c:pt>
                <c:pt idx="39">
                  <c:v>40421</c:v>
                </c:pt>
                <c:pt idx="40">
                  <c:v>40451</c:v>
                </c:pt>
                <c:pt idx="41">
                  <c:v>40482</c:v>
                </c:pt>
                <c:pt idx="42">
                  <c:v>40512</c:v>
                </c:pt>
                <c:pt idx="43">
                  <c:v>40543</c:v>
                </c:pt>
                <c:pt idx="44">
                  <c:v>40602</c:v>
                </c:pt>
                <c:pt idx="45">
                  <c:v>40633</c:v>
                </c:pt>
                <c:pt idx="46">
                  <c:v>40663</c:v>
                </c:pt>
                <c:pt idx="47">
                  <c:v>40694</c:v>
                </c:pt>
                <c:pt idx="48">
                  <c:v>40724</c:v>
                </c:pt>
                <c:pt idx="49">
                  <c:v>40755</c:v>
                </c:pt>
                <c:pt idx="50">
                  <c:v>40786</c:v>
                </c:pt>
                <c:pt idx="51">
                  <c:v>40816</c:v>
                </c:pt>
                <c:pt idx="52">
                  <c:v>40847</c:v>
                </c:pt>
                <c:pt idx="53">
                  <c:v>40877</c:v>
                </c:pt>
                <c:pt idx="54">
                  <c:v>40908</c:v>
                </c:pt>
                <c:pt idx="55">
                  <c:v>40968</c:v>
                </c:pt>
                <c:pt idx="56">
                  <c:v>40999</c:v>
                </c:pt>
                <c:pt idx="57">
                  <c:v>41029</c:v>
                </c:pt>
                <c:pt idx="58">
                  <c:v>41060</c:v>
                </c:pt>
                <c:pt idx="59">
                  <c:v>41090</c:v>
                </c:pt>
                <c:pt idx="60">
                  <c:v>41121</c:v>
                </c:pt>
                <c:pt idx="61">
                  <c:v>41152</c:v>
                </c:pt>
                <c:pt idx="62">
                  <c:v>41182</c:v>
                </c:pt>
                <c:pt idx="63">
                  <c:v>41213</c:v>
                </c:pt>
                <c:pt idx="64">
                  <c:v>41243</c:v>
                </c:pt>
                <c:pt idx="65">
                  <c:v>41274</c:v>
                </c:pt>
                <c:pt idx="66">
                  <c:v>41333</c:v>
                </c:pt>
                <c:pt idx="67">
                  <c:v>41364</c:v>
                </c:pt>
                <c:pt idx="68">
                  <c:v>41394</c:v>
                </c:pt>
                <c:pt idx="69">
                  <c:v>41425</c:v>
                </c:pt>
                <c:pt idx="70">
                  <c:v>41455</c:v>
                </c:pt>
                <c:pt idx="71">
                  <c:v>41486</c:v>
                </c:pt>
                <c:pt idx="72">
                  <c:v>41517</c:v>
                </c:pt>
                <c:pt idx="73">
                  <c:v>41518</c:v>
                </c:pt>
              </c:numCache>
            </c:numRef>
          </c:cat>
          <c:val>
            <c:numRef>
              <c:f>Sheet19!$D$14:$D$87</c:f>
              <c:numCache>
                <c:formatCode>0.00%</c:formatCode>
                <c:ptCount val="74"/>
                <c:pt idx="0">
                  <c:v>-0.5201511335012593</c:v>
                </c:pt>
                <c:pt idx="1">
                  <c:v>-0.19798478580008044</c:v>
                </c:pt>
                <c:pt idx="2">
                  <c:v>7.9718223923233147E-2</c:v>
                </c:pt>
                <c:pt idx="3">
                  <c:v>5.9520078908028434E-2</c:v>
                </c:pt>
                <c:pt idx="4">
                  <c:v>0.25244493146434038</c:v>
                </c:pt>
                <c:pt idx="5">
                  <c:v>-3.2314136612106241E-2</c:v>
                </c:pt>
                <c:pt idx="6">
                  <c:v>7.13271270318169E-2</c:v>
                </c:pt>
                <c:pt idx="7">
                  <c:v>6.9655326935285394E-2</c:v>
                </c:pt>
                <c:pt idx="8">
                  <c:v>-9.1553991544565574E-2</c:v>
                </c:pt>
                <c:pt idx="9">
                  <c:v>4.3621117678253517E-2</c:v>
                </c:pt>
                <c:pt idx="10">
                  <c:v>1.167581719562985</c:v>
                </c:pt>
                <c:pt idx="11">
                  <c:v>-0.63394932115627933</c:v>
                </c:pt>
                <c:pt idx="12">
                  <c:v>-9.2340178675020423E-2</c:v>
                </c:pt>
                <c:pt idx="13">
                  <c:v>-8.2585975927762748E-2</c:v>
                </c:pt>
                <c:pt idx="14">
                  <c:v>7.701782350383983E-2</c:v>
                </c:pt>
                <c:pt idx="15">
                  <c:v>0.2875831198737358</c:v>
                </c:pt>
                <c:pt idx="16">
                  <c:v>-0.23810480710878212</c:v>
                </c:pt>
                <c:pt idx="17">
                  <c:v>-0.16007996877208866</c:v>
                </c:pt>
                <c:pt idx="18">
                  <c:v>0.29694712580152827</c:v>
                </c:pt>
                <c:pt idx="19">
                  <c:v>-0.17122256172854483</c:v>
                </c:pt>
                <c:pt idx="20">
                  <c:v>-2.356996786444544E-2</c:v>
                </c:pt>
                <c:pt idx="21">
                  <c:v>2.4748258694559477</c:v>
                </c:pt>
                <c:pt idx="22">
                  <c:v>-0.5872250511883097</c:v>
                </c:pt>
                <c:pt idx="23">
                  <c:v>0.11042228137072496</c:v>
                </c:pt>
                <c:pt idx="24">
                  <c:v>0.10355191872741049</c:v>
                </c:pt>
                <c:pt idx="25">
                  <c:v>0.15515034317463791</c:v>
                </c:pt>
                <c:pt idx="26">
                  <c:v>0.29992631889183752</c:v>
                </c:pt>
                <c:pt idx="27">
                  <c:v>-0.1384444469636</c:v>
                </c:pt>
                <c:pt idx="28">
                  <c:v>1.6876226967226755E-2</c:v>
                </c:pt>
                <c:pt idx="29">
                  <c:v>5.2792981638911114E-2</c:v>
                </c:pt>
                <c:pt idx="30">
                  <c:v>-1.7432985509383457E-2</c:v>
                </c:pt>
                <c:pt idx="31">
                  <c:v>0.11527232608581572</c:v>
                </c:pt>
                <c:pt idx="32">
                  <c:v>0.8770861372812897</c:v>
                </c:pt>
                <c:pt idx="33">
                  <c:v>-0.50816020458768751</c:v>
                </c:pt>
                <c:pt idx="34">
                  <c:v>-6.1879516198787857E-2</c:v>
                </c:pt>
                <c:pt idx="35">
                  <c:v>0.15212920804131491</c:v>
                </c:pt>
                <c:pt idx="36">
                  <c:v>-0.25031022111122081</c:v>
                </c:pt>
                <c:pt idx="37">
                  <c:v>0.21730760581118094</c:v>
                </c:pt>
                <c:pt idx="38">
                  <c:v>-0.24480375203834764</c:v>
                </c:pt>
                <c:pt idx="39">
                  <c:v>0.15222907914307424</c:v>
                </c:pt>
                <c:pt idx="40">
                  <c:v>0.55647903072851201</c:v>
                </c:pt>
                <c:pt idx="41">
                  <c:v>-7.6866836172372582E-2</c:v>
                </c:pt>
                <c:pt idx="42">
                  <c:v>4.1355872096460265E-2</c:v>
                </c:pt>
                <c:pt idx="43">
                  <c:v>0.97580790107480464</c:v>
                </c:pt>
                <c:pt idx="44">
                  <c:v>-0.49809112976200182</c:v>
                </c:pt>
                <c:pt idx="45">
                  <c:v>-6.3207678556779223E-2</c:v>
                </c:pt>
                <c:pt idx="46">
                  <c:v>-0.20049284157790903</c:v>
                </c:pt>
                <c:pt idx="47">
                  <c:v>0.15704999210356133</c:v>
                </c:pt>
                <c:pt idx="48">
                  <c:v>0.31414217688123186</c:v>
                </c:pt>
                <c:pt idx="49">
                  <c:v>-0.28590023654285668</c:v>
                </c:pt>
                <c:pt idx="50">
                  <c:v>3.5095209832288643E-2</c:v>
                </c:pt>
                <c:pt idx="51">
                  <c:v>0.37052188319444418</c:v>
                </c:pt>
                <c:pt idx="52">
                  <c:v>-0.25341566426443102</c:v>
                </c:pt>
                <c:pt idx="53">
                  <c:v>0.15636033401998123</c:v>
                </c:pt>
                <c:pt idx="54">
                  <c:v>0.82775225931019891</c:v>
                </c:pt>
                <c:pt idx="55">
                  <c:v>-0.56564850136239775</c:v>
                </c:pt>
                <c:pt idx="56">
                  <c:v>9.2376408525636708E-2</c:v>
                </c:pt>
                <c:pt idx="57">
                  <c:v>-0.17192503513461821</c:v>
                </c:pt>
                <c:pt idx="58">
                  <c:v>0.20325285570710841</c:v>
                </c:pt>
                <c:pt idx="59">
                  <c:v>0.41471487565346138</c:v>
                </c:pt>
                <c:pt idx="60">
                  <c:v>-0.15613595834104321</c:v>
                </c:pt>
                <c:pt idx="61">
                  <c:v>-1.3704661368564361E-2</c:v>
                </c:pt>
                <c:pt idx="62">
                  <c:v>0.19408891289741367</c:v>
                </c:pt>
                <c:pt idx="63">
                  <c:v>-6.2351800794662945E-2</c:v>
                </c:pt>
                <c:pt idx="64">
                  <c:v>0.21490919198830524</c:v>
                </c:pt>
                <c:pt idx="65">
                  <c:v>0.51274547604754683</c:v>
                </c:pt>
                <c:pt idx="66">
                  <c:v>-0.32649284692013286</c:v>
                </c:pt>
                <c:pt idx="67">
                  <c:v>-9.9307827817219765E-2</c:v>
                </c:pt>
                <c:pt idx="68">
                  <c:v>-0.11684813244586909</c:v>
                </c:pt>
                <c:pt idx="69">
                  <c:v>2.7535294461713718E-2</c:v>
                </c:pt>
                <c:pt idx="70">
                  <c:v>0.24857709889256752</c:v>
                </c:pt>
                <c:pt idx="71">
                  <c:v>-0.17837007890670517</c:v>
                </c:pt>
                <c:pt idx="72">
                  <c:v>4.3762299236011783E-4</c:v>
                </c:pt>
                <c:pt idx="73">
                  <c:v>0.34477169690183651</c:v>
                </c:pt>
              </c:numCache>
            </c:numRef>
          </c:val>
        </c:ser>
        <c:marker val="1"/>
        <c:axId val="344212608"/>
        <c:axId val="344202624"/>
      </c:lineChart>
      <c:dateAx>
        <c:axId val="344199552"/>
        <c:scaling>
          <c:orientation val="minMax"/>
        </c:scaling>
        <c:axPos val="b"/>
        <c:numFmt formatCode="yyyy\-mm;@" sourceLinked="1"/>
        <c:majorTickMark val="none"/>
        <c:tickLblPos val="nextTo"/>
        <c:crossAx val="344201088"/>
        <c:crosses val="autoZero"/>
        <c:auto val="1"/>
        <c:lblOffset val="100"/>
      </c:dateAx>
      <c:valAx>
        <c:axId val="344201088"/>
        <c:scaling>
          <c:orientation val="minMax"/>
        </c:scaling>
        <c:axPos val="l"/>
        <c:majorGridlines/>
        <c:numFmt formatCode="###,###,###,###,##0.00_ " sourceLinked="1"/>
        <c:majorTickMark val="none"/>
        <c:tickLblPos val="nextTo"/>
        <c:spPr>
          <a:ln w="9525">
            <a:noFill/>
          </a:ln>
        </c:spPr>
        <c:crossAx val="344199552"/>
        <c:crosses val="autoZero"/>
        <c:crossBetween val="between"/>
      </c:valAx>
      <c:valAx>
        <c:axId val="344202624"/>
        <c:scaling>
          <c:orientation val="minMax"/>
        </c:scaling>
        <c:axPos val="r"/>
        <c:numFmt formatCode="0.00%" sourceLinked="1"/>
        <c:tickLblPos val="nextTo"/>
        <c:crossAx val="344212608"/>
        <c:crosses val="max"/>
        <c:crossBetween val="between"/>
      </c:valAx>
      <c:dateAx>
        <c:axId val="344212608"/>
        <c:scaling>
          <c:orientation val="minMax"/>
        </c:scaling>
        <c:delete val="1"/>
        <c:axPos val="b"/>
        <c:numFmt formatCode="yyyy\-mm;@" sourceLinked="1"/>
        <c:tickLblPos val="none"/>
        <c:crossAx val="344202624"/>
        <c:crosses val="autoZero"/>
        <c:auto val="1"/>
        <c:lblOffset val="100"/>
      </c:dateAx>
    </c:plotArea>
    <c:legend>
      <c:legendPos val="b"/>
    </c:legend>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lineChart>
        <c:grouping val="standard"/>
        <c:ser>
          <c:idx val="0"/>
          <c:order val="0"/>
          <c:tx>
            <c:strRef>
              <c:f>'Sheet1 (2)'!$B$1</c:f>
              <c:strCache>
                <c:ptCount val="1"/>
                <c:pt idx="0">
                  <c:v>商品房销售额均价</c:v>
                </c:pt>
              </c:strCache>
            </c:strRef>
          </c:tx>
          <c:marker>
            <c:symbol val="none"/>
          </c:marker>
          <c:cat>
            <c:numRef>
              <c:f>'Sheet1 (2)'!$A$2:$A$86</c:f>
              <c:numCache>
                <c:formatCode>yyyy\-mm;@</c:formatCode>
                <c:ptCount val="85"/>
                <c:pt idx="0">
                  <c:v>38776</c:v>
                </c:pt>
                <c:pt idx="1">
                  <c:v>38807</c:v>
                </c:pt>
                <c:pt idx="2">
                  <c:v>38837</c:v>
                </c:pt>
                <c:pt idx="3">
                  <c:v>38868</c:v>
                </c:pt>
                <c:pt idx="4">
                  <c:v>38898</c:v>
                </c:pt>
                <c:pt idx="5">
                  <c:v>38929</c:v>
                </c:pt>
                <c:pt idx="6">
                  <c:v>38960</c:v>
                </c:pt>
                <c:pt idx="7">
                  <c:v>38990</c:v>
                </c:pt>
                <c:pt idx="8">
                  <c:v>39021</c:v>
                </c:pt>
                <c:pt idx="9">
                  <c:v>39051</c:v>
                </c:pt>
                <c:pt idx="10">
                  <c:v>39082</c:v>
                </c:pt>
                <c:pt idx="11">
                  <c:v>39141</c:v>
                </c:pt>
                <c:pt idx="12">
                  <c:v>39172</c:v>
                </c:pt>
                <c:pt idx="13">
                  <c:v>39202</c:v>
                </c:pt>
                <c:pt idx="14">
                  <c:v>39233</c:v>
                </c:pt>
                <c:pt idx="15">
                  <c:v>39263</c:v>
                </c:pt>
                <c:pt idx="16">
                  <c:v>39294</c:v>
                </c:pt>
                <c:pt idx="17">
                  <c:v>39325</c:v>
                </c:pt>
                <c:pt idx="18">
                  <c:v>39355</c:v>
                </c:pt>
                <c:pt idx="19">
                  <c:v>39386</c:v>
                </c:pt>
                <c:pt idx="20">
                  <c:v>39416</c:v>
                </c:pt>
                <c:pt idx="21">
                  <c:v>39447</c:v>
                </c:pt>
                <c:pt idx="22">
                  <c:v>39507</c:v>
                </c:pt>
                <c:pt idx="23">
                  <c:v>39538</c:v>
                </c:pt>
                <c:pt idx="24">
                  <c:v>39568</c:v>
                </c:pt>
                <c:pt idx="25">
                  <c:v>39599</c:v>
                </c:pt>
                <c:pt idx="26">
                  <c:v>39629</c:v>
                </c:pt>
                <c:pt idx="27">
                  <c:v>39660</c:v>
                </c:pt>
                <c:pt idx="28">
                  <c:v>39691</c:v>
                </c:pt>
                <c:pt idx="29">
                  <c:v>39721</c:v>
                </c:pt>
                <c:pt idx="30">
                  <c:v>39752</c:v>
                </c:pt>
                <c:pt idx="31">
                  <c:v>39782</c:v>
                </c:pt>
                <c:pt idx="32">
                  <c:v>39813</c:v>
                </c:pt>
                <c:pt idx="33">
                  <c:v>39872</c:v>
                </c:pt>
                <c:pt idx="34">
                  <c:v>39903</c:v>
                </c:pt>
                <c:pt idx="35">
                  <c:v>39933</c:v>
                </c:pt>
                <c:pt idx="36">
                  <c:v>39964</c:v>
                </c:pt>
                <c:pt idx="37">
                  <c:v>39994</c:v>
                </c:pt>
                <c:pt idx="38">
                  <c:v>40025</c:v>
                </c:pt>
                <c:pt idx="39">
                  <c:v>40056</c:v>
                </c:pt>
                <c:pt idx="40">
                  <c:v>40086</c:v>
                </c:pt>
                <c:pt idx="41">
                  <c:v>40117</c:v>
                </c:pt>
                <c:pt idx="42">
                  <c:v>40147</c:v>
                </c:pt>
                <c:pt idx="43">
                  <c:v>40178</c:v>
                </c:pt>
                <c:pt idx="44">
                  <c:v>40237</c:v>
                </c:pt>
                <c:pt idx="45">
                  <c:v>40268</c:v>
                </c:pt>
                <c:pt idx="46">
                  <c:v>40298</c:v>
                </c:pt>
                <c:pt idx="47">
                  <c:v>40329</c:v>
                </c:pt>
                <c:pt idx="48">
                  <c:v>40359</c:v>
                </c:pt>
                <c:pt idx="49">
                  <c:v>40390</c:v>
                </c:pt>
                <c:pt idx="50">
                  <c:v>40421</c:v>
                </c:pt>
                <c:pt idx="51">
                  <c:v>40451</c:v>
                </c:pt>
                <c:pt idx="52">
                  <c:v>40482</c:v>
                </c:pt>
                <c:pt idx="53">
                  <c:v>40512</c:v>
                </c:pt>
                <c:pt idx="54">
                  <c:v>40543</c:v>
                </c:pt>
                <c:pt idx="55">
                  <c:v>40602</c:v>
                </c:pt>
                <c:pt idx="56">
                  <c:v>40633</c:v>
                </c:pt>
                <c:pt idx="57">
                  <c:v>40663</c:v>
                </c:pt>
                <c:pt idx="58">
                  <c:v>40694</c:v>
                </c:pt>
                <c:pt idx="59">
                  <c:v>40724</c:v>
                </c:pt>
                <c:pt idx="60">
                  <c:v>40755</c:v>
                </c:pt>
                <c:pt idx="61">
                  <c:v>40786</c:v>
                </c:pt>
                <c:pt idx="62">
                  <c:v>40816</c:v>
                </c:pt>
                <c:pt idx="63">
                  <c:v>40847</c:v>
                </c:pt>
                <c:pt idx="64">
                  <c:v>40877</c:v>
                </c:pt>
                <c:pt idx="65">
                  <c:v>40908</c:v>
                </c:pt>
                <c:pt idx="66">
                  <c:v>40968</c:v>
                </c:pt>
                <c:pt idx="67">
                  <c:v>40999</c:v>
                </c:pt>
                <c:pt idx="68">
                  <c:v>41029</c:v>
                </c:pt>
                <c:pt idx="69">
                  <c:v>41060</c:v>
                </c:pt>
                <c:pt idx="70">
                  <c:v>41090</c:v>
                </c:pt>
                <c:pt idx="71">
                  <c:v>41121</c:v>
                </c:pt>
                <c:pt idx="72">
                  <c:v>41152</c:v>
                </c:pt>
                <c:pt idx="73">
                  <c:v>41182</c:v>
                </c:pt>
                <c:pt idx="74">
                  <c:v>41213</c:v>
                </c:pt>
                <c:pt idx="75">
                  <c:v>41243</c:v>
                </c:pt>
                <c:pt idx="76">
                  <c:v>41274</c:v>
                </c:pt>
                <c:pt idx="77">
                  <c:v>41333</c:v>
                </c:pt>
                <c:pt idx="78">
                  <c:v>41364</c:v>
                </c:pt>
                <c:pt idx="79">
                  <c:v>41394</c:v>
                </c:pt>
                <c:pt idx="80">
                  <c:v>41425</c:v>
                </c:pt>
                <c:pt idx="81">
                  <c:v>41455</c:v>
                </c:pt>
                <c:pt idx="82">
                  <c:v>41486</c:v>
                </c:pt>
                <c:pt idx="83">
                  <c:v>41517</c:v>
                </c:pt>
                <c:pt idx="84">
                  <c:v>41518</c:v>
                </c:pt>
              </c:numCache>
            </c:numRef>
          </c:cat>
          <c:val>
            <c:numRef>
              <c:f>'Sheet1 (2)'!$B$2:$B$86</c:f>
              <c:numCache>
                <c:formatCode>0.00_);[Red]\(0.00\)</c:formatCode>
                <c:ptCount val="85"/>
                <c:pt idx="0">
                  <c:v>3521.6480878161788</c:v>
                </c:pt>
                <c:pt idx="1">
                  <c:v>3185.4856348515959</c:v>
                </c:pt>
                <c:pt idx="2">
                  <c:v>3468.0509780213351</c:v>
                </c:pt>
                <c:pt idx="3">
                  <c:v>3615.9472387999363</c:v>
                </c:pt>
                <c:pt idx="4">
                  <c:v>3486.6912138456105</c:v>
                </c:pt>
                <c:pt idx="5">
                  <c:v>3422.9433711351662</c:v>
                </c:pt>
                <c:pt idx="6">
                  <c:v>3509.3864755274585</c:v>
                </c:pt>
                <c:pt idx="7">
                  <c:v>3433.4197271260209</c:v>
                </c:pt>
                <c:pt idx="8">
                  <c:v>3344.353010842729</c:v>
                </c:pt>
                <c:pt idx="9">
                  <c:v>3915.4100868886962</c:v>
                </c:pt>
                <c:pt idx="10">
                  <c:v>2975.6452651758059</c:v>
                </c:pt>
                <c:pt idx="11">
                  <c:v>4184.8879357047517</c:v>
                </c:pt>
                <c:pt idx="12">
                  <c:v>3447.5933681372271</c:v>
                </c:pt>
                <c:pt idx="13">
                  <c:v>3769.2157253809255</c:v>
                </c:pt>
                <c:pt idx="14">
                  <c:v>3831.4904399907864</c:v>
                </c:pt>
                <c:pt idx="15">
                  <c:v>3823.3017324955945</c:v>
                </c:pt>
                <c:pt idx="16">
                  <c:v>4010.2260676486217</c:v>
                </c:pt>
                <c:pt idx="17">
                  <c:v>4161.0921798690997</c:v>
                </c:pt>
                <c:pt idx="18">
                  <c:v>4214.3182921626258</c:v>
                </c:pt>
                <c:pt idx="19">
                  <c:v>4200.2824744764348</c:v>
                </c:pt>
                <c:pt idx="20">
                  <c:v>4119.7191110949334</c:v>
                </c:pt>
                <c:pt idx="21">
                  <c:v>3422.8039235182678</c:v>
                </c:pt>
                <c:pt idx="22">
                  <c:v>4188.7386643080008</c:v>
                </c:pt>
                <c:pt idx="23">
                  <c:v>3686.3880454102487</c:v>
                </c:pt>
                <c:pt idx="24">
                  <c:v>3948.1229329818552</c:v>
                </c:pt>
                <c:pt idx="25">
                  <c:v>4165.4362235275312</c:v>
                </c:pt>
                <c:pt idx="26">
                  <c:v>3975.2333753512826</c:v>
                </c:pt>
                <c:pt idx="27">
                  <c:v>4156.1123619646296</c:v>
                </c:pt>
                <c:pt idx="28">
                  <c:v>3847.6241566626086</c:v>
                </c:pt>
                <c:pt idx="29">
                  <c:v>3604.9527972516262</c:v>
                </c:pt>
                <c:pt idx="30">
                  <c:v>3887.8288128662925</c:v>
                </c:pt>
                <c:pt idx="31">
                  <c:v>3776.2743423223114</c:v>
                </c:pt>
                <c:pt idx="32">
                  <c:v>3452.134031251765</c:v>
                </c:pt>
                <c:pt idx="33">
                  <c:v>4671.3556008988144</c:v>
                </c:pt>
                <c:pt idx="34">
                  <c:v>4308.6292049709737</c:v>
                </c:pt>
                <c:pt idx="35">
                  <c:v>4650.0155935606053</c:v>
                </c:pt>
                <c:pt idx="36">
                  <c:v>4834.0288275093744</c:v>
                </c:pt>
                <c:pt idx="37">
                  <c:v>4660.3762619992522</c:v>
                </c:pt>
                <c:pt idx="38">
                  <c:v>4969.6915799481812</c:v>
                </c:pt>
                <c:pt idx="39">
                  <c:v>5043.8842666680848</c:v>
                </c:pt>
                <c:pt idx="40">
                  <c:v>4542.8912180708621</c:v>
                </c:pt>
                <c:pt idx="41">
                  <c:v>4997.9681683882009</c:v>
                </c:pt>
                <c:pt idx="42">
                  <c:v>5046.1716785029748</c:v>
                </c:pt>
                <c:pt idx="43">
                  <c:v>4279.9274748936814</c:v>
                </c:pt>
                <c:pt idx="44">
                  <c:v>5752.1124555916349</c:v>
                </c:pt>
                <c:pt idx="45">
                  <c:v>4705.3160348731853</c:v>
                </c:pt>
                <c:pt idx="46">
                  <c:v>5525.1613416070313</c:v>
                </c:pt>
                <c:pt idx="47">
                  <c:v>4920.7866884453524</c:v>
                </c:pt>
                <c:pt idx="48">
                  <c:v>4430.4438454234905</c:v>
                </c:pt>
                <c:pt idx="49">
                  <c:v>4741.4198401504455</c:v>
                </c:pt>
                <c:pt idx="50">
                  <c:v>5130.1507727429871</c:v>
                </c:pt>
                <c:pt idx="51">
                  <c:v>5263.7050822534684</c:v>
                </c:pt>
                <c:pt idx="52">
                  <c:v>5470.4946585157631</c:v>
                </c:pt>
                <c:pt idx="53">
                  <c:v>5226.6946973712311</c:v>
                </c:pt>
                <c:pt idx="54">
                  <c:v>4699.2626684150155</c:v>
                </c:pt>
                <c:pt idx="55">
                  <c:v>6436.9915079915745</c:v>
                </c:pt>
                <c:pt idx="56">
                  <c:v>5168.8238959814062</c:v>
                </c:pt>
                <c:pt idx="57">
                  <c:v>5411.0953215173522</c:v>
                </c:pt>
                <c:pt idx="58">
                  <c:v>5654.1303406143088</c:v>
                </c:pt>
                <c:pt idx="59">
                  <c:v>5196.2753173179071</c:v>
                </c:pt>
                <c:pt idx="60">
                  <c:v>5595.7042659353983</c:v>
                </c:pt>
                <c:pt idx="61">
                  <c:v>5644.4366552130878</c:v>
                </c:pt>
                <c:pt idx="62">
                  <c:v>5288.4717134094235</c:v>
                </c:pt>
                <c:pt idx="63">
                  <c:v>5397.5374116640005</c:v>
                </c:pt>
                <c:pt idx="64">
                  <c:v>5251.731255960307</c:v>
                </c:pt>
                <c:pt idx="65">
                  <c:v>4825.8042459187782</c:v>
                </c:pt>
                <c:pt idx="66">
                  <c:v>5917.3200908295539</c:v>
                </c:pt>
                <c:pt idx="67">
                  <c:v>5497.8077711737214</c:v>
                </c:pt>
                <c:pt idx="68">
                  <c:v>5929.7042705541044</c:v>
                </c:pt>
                <c:pt idx="69">
                  <c:v>6187.3546462406039</c:v>
                </c:pt>
                <c:pt idx="70">
                  <c:v>5743.2707958240344</c:v>
                </c:pt>
                <c:pt idx="71">
                  <c:v>6241.1970637398044</c:v>
                </c:pt>
                <c:pt idx="72">
                  <c:v>6021.1728259206784</c:v>
                </c:pt>
                <c:pt idx="73">
                  <c:v>5752.0613425663614</c:v>
                </c:pt>
                <c:pt idx="74">
                  <c:v>5773.0174511757514</c:v>
                </c:pt>
                <c:pt idx="75">
                  <c:v>5574.1003450720282</c:v>
                </c:pt>
                <c:pt idx="76">
                  <c:v>5576.8360694047733</c:v>
                </c:pt>
                <c:pt idx="77">
                  <c:v>7030.1132510406414</c:v>
                </c:pt>
                <c:pt idx="78">
                  <c:v>6358.8744909470388</c:v>
                </c:pt>
                <c:pt idx="79">
                  <c:v>6607.0853075504574</c:v>
                </c:pt>
                <c:pt idx="80">
                  <c:v>6429.8425796800584</c:v>
                </c:pt>
                <c:pt idx="81">
                  <c:v>6100.1257551337148</c:v>
                </c:pt>
                <c:pt idx="82">
                  <c:v>6363.3686303168624</c:v>
                </c:pt>
                <c:pt idx="83">
                  <c:v>6360.4701138768696</c:v>
                </c:pt>
                <c:pt idx="84">
                  <c:v>13413.69482526894</c:v>
                </c:pt>
              </c:numCache>
            </c:numRef>
          </c:val>
        </c:ser>
        <c:ser>
          <c:idx val="1"/>
          <c:order val="1"/>
          <c:tx>
            <c:strRef>
              <c:f>'Sheet1 (2)'!$C$1</c:f>
              <c:strCache>
                <c:ptCount val="1"/>
                <c:pt idx="0">
                  <c:v>商品房销售额均价:住宅</c:v>
                </c:pt>
              </c:strCache>
            </c:strRef>
          </c:tx>
          <c:marker>
            <c:symbol val="none"/>
          </c:marker>
          <c:cat>
            <c:numRef>
              <c:f>'Sheet1 (2)'!$A$2:$A$86</c:f>
              <c:numCache>
                <c:formatCode>yyyy\-mm;@</c:formatCode>
                <c:ptCount val="85"/>
                <c:pt idx="0">
                  <c:v>38776</c:v>
                </c:pt>
                <c:pt idx="1">
                  <c:v>38807</c:v>
                </c:pt>
                <c:pt idx="2">
                  <c:v>38837</c:v>
                </c:pt>
                <c:pt idx="3">
                  <c:v>38868</c:v>
                </c:pt>
                <c:pt idx="4">
                  <c:v>38898</c:v>
                </c:pt>
                <c:pt idx="5">
                  <c:v>38929</c:v>
                </c:pt>
                <c:pt idx="6">
                  <c:v>38960</c:v>
                </c:pt>
                <c:pt idx="7">
                  <c:v>38990</c:v>
                </c:pt>
                <c:pt idx="8">
                  <c:v>39021</c:v>
                </c:pt>
                <c:pt idx="9">
                  <c:v>39051</c:v>
                </c:pt>
                <c:pt idx="10">
                  <c:v>39082</c:v>
                </c:pt>
                <c:pt idx="11">
                  <c:v>39141</c:v>
                </c:pt>
                <c:pt idx="12">
                  <c:v>39172</c:v>
                </c:pt>
                <c:pt idx="13">
                  <c:v>39202</c:v>
                </c:pt>
                <c:pt idx="14">
                  <c:v>39233</c:v>
                </c:pt>
                <c:pt idx="15">
                  <c:v>39263</c:v>
                </c:pt>
                <c:pt idx="16">
                  <c:v>39294</c:v>
                </c:pt>
                <c:pt idx="17">
                  <c:v>39325</c:v>
                </c:pt>
                <c:pt idx="18">
                  <c:v>39355</c:v>
                </c:pt>
                <c:pt idx="19">
                  <c:v>39386</c:v>
                </c:pt>
                <c:pt idx="20">
                  <c:v>39416</c:v>
                </c:pt>
                <c:pt idx="21">
                  <c:v>39447</c:v>
                </c:pt>
                <c:pt idx="22">
                  <c:v>39507</c:v>
                </c:pt>
                <c:pt idx="23">
                  <c:v>39538</c:v>
                </c:pt>
                <c:pt idx="24">
                  <c:v>39568</c:v>
                </c:pt>
                <c:pt idx="25">
                  <c:v>39599</c:v>
                </c:pt>
                <c:pt idx="26">
                  <c:v>39629</c:v>
                </c:pt>
                <c:pt idx="27">
                  <c:v>39660</c:v>
                </c:pt>
                <c:pt idx="28">
                  <c:v>39691</c:v>
                </c:pt>
                <c:pt idx="29">
                  <c:v>39721</c:v>
                </c:pt>
                <c:pt idx="30">
                  <c:v>39752</c:v>
                </c:pt>
                <c:pt idx="31">
                  <c:v>39782</c:v>
                </c:pt>
                <c:pt idx="32">
                  <c:v>39813</c:v>
                </c:pt>
                <c:pt idx="33">
                  <c:v>39872</c:v>
                </c:pt>
                <c:pt idx="34">
                  <c:v>39903</c:v>
                </c:pt>
                <c:pt idx="35">
                  <c:v>39933</c:v>
                </c:pt>
                <c:pt idx="36">
                  <c:v>39964</c:v>
                </c:pt>
                <c:pt idx="37">
                  <c:v>39994</c:v>
                </c:pt>
                <c:pt idx="38">
                  <c:v>40025</c:v>
                </c:pt>
                <c:pt idx="39">
                  <c:v>40056</c:v>
                </c:pt>
                <c:pt idx="40">
                  <c:v>40086</c:v>
                </c:pt>
                <c:pt idx="41">
                  <c:v>40117</c:v>
                </c:pt>
                <c:pt idx="42">
                  <c:v>40147</c:v>
                </c:pt>
                <c:pt idx="43">
                  <c:v>40178</c:v>
                </c:pt>
                <c:pt idx="44">
                  <c:v>40237</c:v>
                </c:pt>
                <c:pt idx="45">
                  <c:v>40268</c:v>
                </c:pt>
                <c:pt idx="46">
                  <c:v>40298</c:v>
                </c:pt>
                <c:pt idx="47">
                  <c:v>40329</c:v>
                </c:pt>
                <c:pt idx="48">
                  <c:v>40359</c:v>
                </c:pt>
                <c:pt idx="49">
                  <c:v>40390</c:v>
                </c:pt>
                <c:pt idx="50">
                  <c:v>40421</c:v>
                </c:pt>
                <c:pt idx="51">
                  <c:v>40451</c:v>
                </c:pt>
                <c:pt idx="52">
                  <c:v>40482</c:v>
                </c:pt>
                <c:pt idx="53">
                  <c:v>40512</c:v>
                </c:pt>
                <c:pt idx="54">
                  <c:v>40543</c:v>
                </c:pt>
                <c:pt idx="55">
                  <c:v>40602</c:v>
                </c:pt>
                <c:pt idx="56">
                  <c:v>40633</c:v>
                </c:pt>
                <c:pt idx="57">
                  <c:v>40663</c:v>
                </c:pt>
                <c:pt idx="58">
                  <c:v>40694</c:v>
                </c:pt>
                <c:pt idx="59">
                  <c:v>40724</c:v>
                </c:pt>
                <c:pt idx="60">
                  <c:v>40755</c:v>
                </c:pt>
                <c:pt idx="61">
                  <c:v>40786</c:v>
                </c:pt>
                <c:pt idx="62">
                  <c:v>40816</c:v>
                </c:pt>
                <c:pt idx="63">
                  <c:v>40847</c:v>
                </c:pt>
                <c:pt idx="64">
                  <c:v>40877</c:v>
                </c:pt>
                <c:pt idx="65">
                  <c:v>40908</c:v>
                </c:pt>
                <c:pt idx="66">
                  <c:v>40968</c:v>
                </c:pt>
                <c:pt idx="67">
                  <c:v>40999</c:v>
                </c:pt>
                <c:pt idx="68">
                  <c:v>41029</c:v>
                </c:pt>
                <c:pt idx="69">
                  <c:v>41060</c:v>
                </c:pt>
                <c:pt idx="70">
                  <c:v>41090</c:v>
                </c:pt>
                <c:pt idx="71">
                  <c:v>41121</c:v>
                </c:pt>
                <c:pt idx="72">
                  <c:v>41152</c:v>
                </c:pt>
                <c:pt idx="73">
                  <c:v>41182</c:v>
                </c:pt>
                <c:pt idx="74">
                  <c:v>41213</c:v>
                </c:pt>
                <c:pt idx="75">
                  <c:v>41243</c:v>
                </c:pt>
                <c:pt idx="76">
                  <c:v>41274</c:v>
                </c:pt>
                <c:pt idx="77">
                  <c:v>41333</c:v>
                </c:pt>
                <c:pt idx="78">
                  <c:v>41364</c:v>
                </c:pt>
                <c:pt idx="79">
                  <c:v>41394</c:v>
                </c:pt>
                <c:pt idx="80">
                  <c:v>41425</c:v>
                </c:pt>
                <c:pt idx="81">
                  <c:v>41455</c:v>
                </c:pt>
                <c:pt idx="82">
                  <c:v>41486</c:v>
                </c:pt>
                <c:pt idx="83">
                  <c:v>41517</c:v>
                </c:pt>
                <c:pt idx="84">
                  <c:v>41518</c:v>
                </c:pt>
              </c:numCache>
            </c:numRef>
          </c:cat>
          <c:val>
            <c:numRef>
              <c:f>'Sheet1 (2)'!$C$2:$C$86</c:f>
              <c:numCache>
                <c:formatCode>0.00_);[Red]\(0.00\)</c:formatCode>
                <c:ptCount val="85"/>
                <c:pt idx="0">
                  <c:v>3174.4359286131262</c:v>
                </c:pt>
                <c:pt idx="1">
                  <c:v>2929.8404014478247</c:v>
                </c:pt>
                <c:pt idx="2">
                  <c:v>3251.5583509157559</c:v>
                </c:pt>
                <c:pt idx="3">
                  <c:v>3422.0525954569043</c:v>
                </c:pt>
                <c:pt idx="4">
                  <c:v>3174.6754302436302</c:v>
                </c:pt>
                <c:pt idx="5">
                  <c:v>3175.5401837277668</c:v>
                </c:pt>
                <c:pt idx="6">
                  <c:v>3294.6892267638227</c:v>
                </c:pt>
                <c:pt idx="7">
                  <c:v>3177.0557390361523</c:v>
                </c:pt>
                <c:pt idx="8">
                  <c:v>3179.3247662972972</c:v>
                </c:pt>
                <c:pt idx="9">
                  <c:v>3613.1435551719946</c:v>
                </c:pt>
                <c:pt idx="10">
                  <c:v>2737.7752577825322</c:v>
                </c:pt>
                <c:pt idx="11">
                  <c:v>3824.176375110454</c:v>
                </c:pt>
                <c:pt idx="12">
                  <c:v>3225.2513664889666</c:v>
                </c:pt>
                <c:pt idx="13">
                  <c:v>3503.7354775733224</c:v>
                </c:pt>
                <c:pt idx="14">
                  <c:v>3651.8655128387177</c:v>
                </c:pt>
                <c:pt idx="15">
                  <c:v>3613.0822173611491</c:v>
                </c:pt>
                <c:pt idx="16">
                  <c:v>3854.7922464723406</c:v>
                </c:pt>
                <c:pt idx="17">
                  <c:v>3991.4878056212947</c:v>
                </c:pt>
                <c:pt idx="18">
                  <c:v>4008.0209592262577</c:v>
                </c:pt>
                <c:pt idx="19">
                  <c:v>4037.5492503371524</c:v>
                </c:pt>
                <c:pt idx="20">
                  <c:v>3931.7225779141736</c:v>
                </c:pt>
                <c:pt idx="21">
                  <c:v>3149.5457366928526</c:v>
                </c:pt>
                <c:pt idx="22">
                  <c:v>3937.7327870308777</c:v>
                </c:pt>
                <c:pt idx="23">
                  <c:v>3513.0842039760273</c:v>
                </c:pt>
                <c:pt idx="24">
                  <c:v>3733.0716718630629</c:v>
                </c:pt>
                <c:pt idx="25">
                  <c:v>3982.02106560829</c:v>
                </c:pt>
                <c:pt idx="26">
                  <c:v>3793.5859218920614</c:v>
                </c:pt>
                <c:pt idx="27">
                  <c:v>3795.8242497417</c:v>
                </c:pt>
                <c:pt idx="28">
                  <c:v>3666.4886657944448</c:v>
                </c:pt>
                <c:pt idx="29">
                  <c:v>3358.2033179348746</c:v>
                </c:pt>
                <c:pt idx="30">
                  <c:v>3659.3868398084956</c:v>
                </c:pt>
                <c:pt idx="31">
                  <c:v>3590.398999399441</c:v>
                </c:pt>
                <c:pt idx="32">
                  <c:v>3198.8624444734469</c:v>
                </c:pt>
                <c:pt idx="33">
                  <c:v>4405.8067931678534</c:v>
                </c:pt>
                <c:pt idx="34">
                  <c:v>4148.0947815077534</c:v>
                </c:pt>
                <c:pt idx="35">
                  <c:v>4505.988584420491</c:v>
                </c:pt>
                <c:pt idx="36">
                  <c:v>4694.5093224276834</c:v>
                </c:pt>
                <c:pt idx="37">
                  <c:v>4483.8882439158042</c:v>
                </c:pt>
                <c:pt idx="38">
                  <c:v>4751.1166788321734</c:v>
                </c:pt>
                <c:pt idx="39">
                  <c:v>4835.7574907465987</c:v>
                </c:pt>
                <c:pt idx="40">
                  <c:v>4294.4999590816233</c:v>
                </c:pt>
                <c:pt idx="41">
                  <c:v>4791.2518043940909</c:v>
                </c:pt>
                <c:pt idx="42">
                  <c:v>4837.3667809051994</c:v>
                </c:pt>
                <c:pt idx="43">
                  <c:v>3950.6009498210387</c:v>
                </c:pt>
                <c:pt idx="44">
                  <c:v>5508.0099181519354</c:v>
                </c:pt>
                <c:pt idx="45">
                  <c:v>4432.5799139615901</c:v>
                </c:pt>
                <c:pt idx="46">
                  <c:v>5306.3260055320634</c:v>
                </c:pt>
                <c:pt idx="47">
                  <c:v>4607.2286870213784</c:v>
                </c:pt>
                <c:pt idx="48">
                  <c:v>4105.2204087996724</c:v>
                </c:pt>
                <c:pt idx="49">
                  <c:v>4370.4945515507234</c:v>
                </c:pt>
                <c:pt idx="50">
                  <c:v>4747.6158004809367</c:v>
                </c:pt>
                <c:pt idx="51">
                  <c:v>4972.8535601862141</c:v>
                </c:pt>
                <c:pt idx="52">
                  <c:v>5196.2515474602524</c:v>
                </c:pt>
                <c:pt idx="53">
                  <c:v>4867.69788403659</c:v>
                </c:pt>
                <c:pt idx="54">
                  <c:v>4369.1175191821139</c:v>
                </c:pt>
                <c:pt idx="55">
                  <c:v>6140.3520818256065</c:v>
                </c:pt>
                <c:pt idx="56">
                  <c:v>4827.3676617688034</c:v>
                </c:pt>
                <c:pt idx="57">
                  <c:v>5001.4394603024475</c:v>
                </c:pt>
                <c:pt idx="58">
                  <c:v>5293.0281544346444</c:v>
                </c:pt>
                <c:pt idx="59">
                  <c:v>4864.3415762569721</c:v>
                </c:pt>
                <c:pt idx="60">
                  <c:v>5162.7713472682235</c:v>
                </c:pt>
                <c:pt idx="61">
                  <c:v>5172.0636030154483</c:v>
                </c:pt>
                <c:pt idx="62">
                  <c:v>4907.3562496522336</c:v>
                </c:pt>
                <c:pt idx="63">
                  <c:v>5054.2386500602588</c:v>
                </c:pt>
                <c:pt idx="64">
                  <c:v>4803.4761702599044</c:v>
                </c:pt>
                <c:pt idx="65">
                  <c:v>4510.0910282629493</c:v>
                </c:pt>
                <c:pt idx="66">
                  <c:v>5501.1776166216414</c:v>
                </c:pt>
                <c:pt idx="67">
                  <c:v>5136.0145060127634</c:v>
                </c:pt>
                <c:pt idx="68">
                  <c:v>5606.8579067882174</c:v>
                </c:pt>
                <c:pt idx="69">
                  <c:v>5740.3899329945907</c:v>
                </c:pt>
                <c:pt idx="70">
                  <c:v>5426.8024218551636</c:v>
                </c:pt>
                <c:pt idx="71">
                  <c:v>5877.8720745682158</c:v>
                </c:pt>
                <c:pt idx="72">
                  <c:v>5712.4157547075556</c:v>
                </c:pt>
                <c:pt idx="73">
                  <c:v>5458.7632302523534</c:v>
                </c:pt>
                <c:pt idx="74">
                  <c:v>5470.3042611770061</c:v>
                </c:pt>
                <c:pt idx="75">
                  <c:v>5223.3759516807022</c:v>
                </c:pt>
                <c:pt idx="76">
                  <c:v>5117.9455445544554</c:v>
                </c:pt>
                <c:pt idx="77">
                  <c:v>6636.5588860788293</c:v>
                </c:pt>
                <c:pt idx="78">
                  <c:v>6053.0497832023475</c:v>
                </c:pt>
                <c:pt idx="79">
                  <c:v>6234.8452189171012</c:v>
                </c:pt>
                <c:pt idx="80">
                  <c:v>6037.4423589790285</c:v>
                </c:pt>
                <c:pt idx="81">
                  <c:v>5715.7818032684845</c:v>
                </c:pt>
                <c:pt idx="82">
                  <c:v>5964.7830064030859</c:v>
                </c:pt>
                <c:pt idx="83">
                  <c:v>5943.3854398253834</c:v>
                </c:pt>
                <c:pt idx="84">
                  <c:v>12723.876409842722</c:v>
                </c:pt>
              </c:numCache>
            </c:numRef>
          </c:val>
        </c:ser>
        <c:ser>
          <c:idx val="2"/>
          <c:order val="2"/>
          <c:tx>
            <c:strRef>
              <c:f>'Sheet1 (2)'!$D$1</c:f>
              <c:strCache>
                <c:ptCount val="1"/>
                <c:pt idx="0">
                  <c:v>商品房销售额均价:办公楼</c:v>
                </c:pt>
              </c:strCache>
            </c:strRef>
          </c:tx>
          <c:marker>
            <c:symbol val="none"/>
          </c:marker>
          <c:cat>
            <c:numRef>
              <c:f>'Sheet1 (2)'!$A$2:$A$86</c:f>
              <c:numCache>
                <c:formatCode>yyyy\-mm;@</c:formatCode>
                <c:ptCount val="85"/>
                <c:pt idx="0">
                  <c:v>38776</c:v>
                </c:pt>
                <c:pt idx="1">
                  <c:v>38807</c:v>
                </c:pt>
                <c:pt idx="2">
                  <c:v>38837</c:v>
                </c:pt>
                <c:pt idx="3">
                  <c:v>38868</c:v>
                </c:pt>
                <c:pt idx="4">
                  <c:v>38898</c:v>
                </c:pt>
                <c:pt idx="5">
                  <c:v>38929</c:v>
                </c:pt>
                <c:pt idx="6">
                  <c:v>38960</c:v>
                </c:pt>
                <c:pt idx="7">
                  <c:v>38990</c:v>
                </c:pt>
                <c:pt idx="8">
                  <c:v>39021</c:v>
                </c:pt>
                <c:pt idx="9">
                  <c:v>39051</c:v>
                </c:pt>
                <c:pt idx="10">
                  <c:v>39082</c:v>
                </c:pt>
                <c:pt idx="11">
                  <c:v>39141</c:v>
                </c:pt>
                <c:pt idx="12">
                  <c:v>39172</c:v>
                </c:pt>
                <c:pt idx="13">
                  <c:v>39202</c:v>
                </c:pt>
                <c:pt idx="14">
                  <c:v>39233</c:v>
                </c:pt>
                <c:pt idx="15">
                  <c:v>39263</c:v>
                </c:pt>
                <c:pt idx="16">
                  <c:v>39294</c:v>
                </c:pt>
                <c:pt idx="17">
                  <c:v>39325</c:v>
                </c:pt>
                <c:pt idx="18">
                  <c:v>39355</c:v>
                </c:pt>
                <c:pt idx="19">
                  <c:v>39386</c:v>
                </c:pt>
                <c:pt idx="20">
                  <c:v>39416</c:v>
                </c:pt>
                <c:pt idx="21">
                  <c:v>39447</c:v>
                </c:pt>
                <c:pt idx="22">
                  <c:v>39507</c:v>
                </c:pt>
                <c:pt idx="23">
                  <c:v>39538</c:v>
                </c:pt>
                <c:pt idx="24">
                  <c:v>39568</c:v>
                </c:pt>
                <c:pt idx="25">
                  <c:v>39599</c:v>
                </c:pt>
                <c:pt idx="26">
                  <c:v>39629</c:v>
                </c:pt>
                <c:pt idx="27">
                  <c:v>39660</c:v>
                </c:pt>
                <c:pt idx="28">
                  <c:v>39691</c:v>
                </c:pt>
                <c:pt idx="29">
                  <c:v>39721</c:v>
                </c:pt>
                <c:pt idx="30">
                  <c:v>39752</c:v>
                </c:pt>
                <c:pt idx="31">
                  <c:v>39782</c:v>
                </c:pt>
                <c:pt idx="32">
                  <c:v>39813</c:v>
                </c:pt>
                <c:pt idx="33">
                  <c:v>39872</c:v>
                </c:pt>
                <c:pt idx="34">
                  <c:v>39903</c:v>
                </c:pt>
                <c:pt idx="35">
                  <c:v>39933</c:v>
                </c:pt>
                <c:pt idx="36">
                  <c:v>39964</c:v>
                </c:pt>
                <c:pt idx="37">
                  <c:v>39994</c:v>
                </c:pt>
                <c:pt idx="38">
                  <c:v>40025</c:v>
                </c:pt>
                <c:pt idx="39">
                  <c:v>40056</c:v>
                </c:pt>
                <c:pt idx="40">
                  <c:v>40086</c:v>
                </c:pt>
                <c:pt idx="41">
                  <c:v>40117</c:v>
                </c:pt>
                <c:pt idx="42">
                  <c:v>40147</c:v>
                </c:pt>
                <c:pt idx="43">
                  <c:v>40178</c:v>
                </c:pt>
                <c:pt idx="44">
                  <c:v>40237</c:v>
                </c:pt>
                <c:pt idx="45">
                  <c:v>40268</c:v>
                </c:pt>
                <c:pt idx="46">
                  <c:v>40298</c:v>
                </c:pt>
                <c:pt idx="47">
                  <c:v>40329</c:v>
                </c:pt>
                <c:pt idx="48">
                  <c:v>40359</c:v>
                </c:pt>
                <c:pt idx="49">
                  <c:v>40390</c:v>
                </c:pt>
                <c:pt idx="50">
                  <c:v>40421</c:v>
                </c:pt>
                <c:pt idx="51">
                  <c:v>40451</c:v>
                </c:pt>
                <c:pt idx="52">
                  <c:v>40482</c:v>
                </c:pt>
                <c:pt idx="53">
                  <c:v>40512</c:v>
                </c:pt>
                <c:pt idx="54">
                  <c:v>40543</c:v>
                </c:pt>
                <c:pt idx="55">
                  <c:v>40602</c:v>
                </c:pt>
                <c:pt idx="56">
                  <c:v>40633</c:v>
                </c:pt>
                <c:pt idx="57">
                  <c:v>40663</c:v>
                </c:pt>
                <c:pt idx="58">
                  <c:v>40694</c:v>
                </c:pt>
                <c:pt idx="59">
                  <c:v>40724</c:v>
                </c:pt>
                <c:pt idx="60">
                  <c:v>40755</c:v>
                </c:pt>
                <c:pt idx="61">
                  <c:v>40786</c:v>
                </c:pt>
                <c:pt idx="62">
                  <c:v>40816</c:v>
                </c:pt>
                <c:pt idx="63">
                  <c:v>40847</c:v>
                </c:pt>
                <c:pt idx="64">
                  <c:v>40877</c:v>
                </c:pt>
                <c:pt idx="65">
                  <c:v>40908</c:v>
                </c:pt>
                <c:pt idx="66">
                  <c:v>40968</c:v>
                </c:pt>
                <c:pt idx="67">
                  <c:v>40999</c:v>
                </c:pt>
                <c:pt idx="68">
                  <c:v>41029</c:v>
                </c:pt>
                <c:pt idx="69">
                  <c:v>41060</c:v>
                </c:pt>
                <c:pt idx="70">
                  <c:v>41090</c:v>
                </c:pt>
                <c:pt idx="71">
                  <c:v>41121</c:v>
                </c:pt>
                <c:pt idx="72">
                  <c:v>41152</c:v>
                </c:pt>
                <c:pt idx="73">
                  <c:v>41182</c:v>
                </c:pt>
                <c:pt idx="74">
                  <c:v>41213</c:v>
                </c:pt>
                <c:pt idx="75">
                  <c:v>41243</c:v>
                </c:pt>
                <c:pt idx="76">
                  <c:v>41274</c:v>
                </c:pt>
                <c:pt idx="77">
                  <c:v>41333</c:v>
                </c:pt>
                <c:pt idx="78">
                  <c:v>41364</c:v>
                </c:pt>
                <c:pt idx="79">
                  <c:v>41394</c:v>
                </c:pt>
                <c:pt idx="80">
                  <c:v>41425</c:v>
                </c:pt>
                <c:pt idx="81">
                  <c:v>41455</c:v>
                </c:pt>
                <c:pt idx="82">
                  <c:v>41486</c:v>
                </c:pt>
                <c:pt idx="83">
                  <c:v>41517</c:v>
                </c:pt>
                <c:pt idx="84">
                  <c:v>41518</c:v>
                </c:pt>
              </c:numCache>
            </c:numRef>
          </c:cat>
          <c:val>
            <c:numRef>
              <c:f>'Sheet1 (2)'!$D$2:$D$86</c:f>
              <c:numCache>
                <c:formatCode>0.00_);[Red]\(0.00\)</c:formatCode>
                <c:ptCount val="85"/>
                <c:pt idx="0">
                  <c:v>8505.9043778801843</c:v>
                </c:pt>
                <c:pt idx="1">
                  <c:v>9009.1489728983288</c:v>
                </c:pt>
                <c:pt idx="2">
                  <c:v>7642.902010050253</c:v>
                </c:pt>
                <c:pt idx="3">
                  <c:v>8737.1097612657159</c:v>
                </c:pt>
                <c:pt idx="4">
                  <c:v>8946.1418953909906</c:v>
                </c:pt>
                <c:pt idx="5">
                  <c:v>8337.4819861129308</c:v>
                </c:pt>
                <c:pt idx="6">
                  <c:v>8628.0921239692416</c:v>
                </c:pt>
                <c:pt idx="7">
                  <c:v>7419.2359660975344</c:v>
                </c:pt>
                <c:pt idx="8">
                  <c:v>9247.3572938688521</c:v>
                </c:pt>
                <c:pt idx="9">
                  <c:v>7842.1607125754254</c:v>
                </c:pt>
                <c:pt idx="10">
                  <c:v>6853.5074689610719</c:v>
                </c:pt>
                <c:pt idx="11">
                  <c:v>8949.1715460321848</c:v>
                </c:pt>
                <c:pt idx="12">
                  <c:v>7121.3910056885334</c:v>
                </c:pt>
                <c:pt idx="13">
                  <c:v>7663.1065706988784</c:v>
                </c:pt>
                <c:pt idx="14">
                  <c:v>8096.103896103923</c:v>
                </c:pt>
                <c:pt idx="15">
                  <c:v>9168.0479911595266</c:v>
                </c:pt>
                <c:pt idx="16">
                  <c:v>9062.0950862154932</c:v>
                </c:pt>
                <c:pt idx="17">
                  <c:v>8188.6321049344124</c:v>
                </c:pt>
                <c:pt idx="18">
                  <c:v>9976.4131075730802</c:v>
                </c:pt>
                <c:pt idx="19">
                  <c:v>8782.6743417948528</c:v>
                </c:pt>
                <c:pt idx="20">
                  <c:v>8092.6981791429234</c:v>
                </c:pt>
                <c:pt idx="21">
                  <c:v>8740.5219889855471</c:v>
                </c:pt>
                <c:pt idx="22">
                  <c:v>8151.7359622803215</c:v>
                </c:pt>
                <c:pt idx="23">
                  <c:v>6816.4233121178095</c:v>
                </c:pt>
                <c:pt idx="24">
                  <c:v>8103.3859501144725</c:v>
                </c:pt>
                <c:pt idx="25">
                  <c:v>9422.015683996462</c:v>
                </c:pt>
                <c:pt idx="26">
                  <c:v>8153.3729316928493</c:v>
                </c:pt>
                <c:pt idx="27">
                  <c:v>10359.590846778448</c:v>
                </c:pt>
                <c:pt idx="28">
                  <c:v>7950.8196721311424</c:v>
                </c:pt>
                <c:pt idx="29">
                  <c:v>11985.900216919748</c:v>
                </c:pt>
                <c:pt idx="30">
                  <c:v>9403.9360045306639</c:v>
                </c:pt>
                <c:pt idx="31">
                  <c:v>8080.5012340991152</c:v>
                </c:pt>
                <c:pt idx="32">
                  <c:v>6573.6603555241272</c:v>
                </c:pt>
                <c:pt idx="33">
                  <c:v>11696.113074204948</c:v>
                </c:pt>
                <c:pt idx="34">
                  <c:v>9492.6873857403589</c:v>
                </c:pt>
                <c:pt idx="35">
                  <c:v>8442.4910238950051</c:v>
                </c:pt>
                <c:pt idx="36">
                  <c:v>7329.7802914944768</c:v>
                </c:pt>
                <c:pt idx="37">
                  <c:v>8602.935697786992</c:v>
                </c:pt>
                <c:pt idx="38">
                  <c:v>9887.0311793944875</c:v>
                </c:pt>
                <c:pt idx="39">
                  <c:v>11496.840729174231</c:v>
                </c:pt>
                <c:pt idx="40">
                  <c:v>10959.779993124785</c:v>
                </c:pt>
                <c:pt idx="41">
                  <c:v>10610.234644029833</c:v>
                </c:pt>
                <c:pt idx="42">
                  <c:v>11060.293658231856</c:v>
                </c:pt>
                <c:pt idx="43">
                  <c:v>11693.091424212716</c:v>
                </c:pt>
                <c:pt idx="44">
                  <c:v>10992.954500559688</c:v>
                </c:pt>
                <c:pt idx="45">
                  <c:v>9862.1570736954836</c:v>
                </c:pt>
                <c:pt idx="46">
                  <c:v>11979.732617056392</c:v>
                </c:pt>
                <c:pt idx="47">
                  <c:v>11941.16319313822</c:v>
                </c:pt>
                <c:pt idx="48">
                  <c:v>11676.46615407804</c:v>
                </c:pt>
                <c:pt idx="49">
                  <c:v>12973.607038123157</c:v>
                </c:pt>
                <c:pt idx="50">
                  <c:v>11969.292929292937</c:v>
                </c:pt>
                <c:pt idx="51">
                  <c:v>11966.731286348604</c:v>
                </c:pt>
                <c:pt idx="52">
                  <c:v>14406.417804231101</c:v>
                </c:pt>
                <c:pt idx="53">
                  <c:v>11532.08363374185</c:v>
                </c:pt>
                <c:pt idx="54">
                  <c:v>9416.2747403488538</c:v>
                </c:pt>
                <c:pt idx="55">
                  <c:v>12722.725851828696</c:v>
                </c:pt>
                <c:pt idx="56">
                  <c:v>13067.969905472301</c:v>
                </c:pt>
                <c:pt idx="57">
                  <c:v>13369.019008083897</c:v>
                </c:pt>
                <c:pt idx="58">
                  <c:v>16072.552840653569</c:v>
                </c:pt>
                <c:pt idx="59">
                  <c:v>11597.57959622236</c:v>
                </c:pt>
                <c:pt idx="60">
                  <c:v>14138.850839881716</c:v>
                </c:pt>
                <c:pt idx="61">
                  <c:v>16882.477128782561</c:v>
                </c:pt>
                <c:pt idx="62">
                  <c:v>11474.010531679975</c:v>
                </c:pt>
                <c:pt idx="63">
                  <c:v>12021.991447770351</c:v>
                </c:pt>
                <c:pt idx="64">
                  <c:v>12107.51336057843</c:v>
                </c:pt>
                <c:pt idx="65">
                  <c:v>8608.8774525570898</c:v>
                </c:pt>
                <c:pt idx="66">
                  <c:v>10653.89658514334</c:v>
                </c:pt>
                <c:pt idx="67">
                  <c:v>10166.832080911197</c:v>
                </c:pt>
                <c:pt idx="68">
                  <c:v>13409.112527347097</c:v>
                </c:pt>
                <c:pt idx="69">
                  <c:v>15388.653341409246</c:v>
                </c:pt>
                <c:pt idx="70">
                  <c:v>12697.749501471884</c:v>
                </c:pt>
                <c:pt idx="71">
                  <c:v>13276.51129656016</c:v>
                </c:pt>
                <c:pt idx="72">
                  <c:v>11982.344027933306</c:v>
                </c:pt>
                <c:pt idx="73">
                  <c:v>13169.063900023581</c:v>
                </c:pt>
                <c:pt idx="74">
                  <c:v>12741.348851709448</c:v>
                </c:pt>
                <c:pt idx="75">
                  <c:v>11129.038468943732</c:v>
                </c:pt>
                <c:pt idx="76">
                  <c:v>12353.716943152634</c:v>
                </c:pt>
                <c:pt idx="77">
                  <c:v>14250.636739891754</c:v>
                </c:pt>
                <c:pt idx="78">
                  <c:v>13569.762460132417</c:v>
                </c:pt>
                <c:pt idx="79">
                  <c:v>12357.187370170344</c:v>
                </c:pt>
                <c:pt idx="80">
                  <c:v>14225.687473738262</c:v>
                </c:pt>
                <c:pt idx="81">
                  <c:v>12967.724072462666</c:v>
                </c:pt>
                <c:pt idx="82">
                  <c:v>13367.5799086758</c:v>
                </c:pt>
                <c:pt idx="83">
                  <c:v>14935.182849936969</c:v>
                </c:pt>
                <c:pt idx="84">
                  <c:v>155.82834040765013</c:v>
                </c:pt>
              </c:numCache>
            </c:numRef>
          </c:val>
        </c:ser>
        <c:ser>
          <c:idx val="3"/>
          <c:order val="3"/>
          <c:tx>
            <c:strRef>
              <c:f>'Sheet1 (2)'!$E$1</c:f>
              <c:strCache>
                <c:ptCount val="1"/>
                <c:pt idx="0">
                  <c:v>商品房销售额均价:商业营业用房</c:v>
                </c:pt>
              </c:strCache>
            </c:strRef>
          </c:tx>
          <c:marker>
            <c:symbol val="none"/>
          </c:marker>
          <c:cat>
            <c:numRef>
              <c:f>'Sheet1 (2)'!$A$2:$A$86</c:f>
              <c:numCache>
                <c:formatCode>yyyy\-mm;@</c:formatCode>
                <c:ptCount val="85"/>
                <c:pt idx="0">
                  <c:v>38776</c:v>
                </c:pt>
                <c:pt idx="1">
                  <c:v>38807</c:v>
                </c:pt>
                <c:pt idx="2">
                  <c:v>38837</c:v>
                </c:pt>
                <c:pt idx="3">
                  <c:v>38868</c:v>
                </c:pt>
                <c:pt idx="4">
                  <c:v>38898</c:v>
                </c:pt>
                <c:pt idx="5">
                  <c:v>38929</c:v>
                </c:pt>
                <c:pt idx="6">
                  <c:v>38960</c:v>
                </c:pt>
                <c:pt idx="7">
                  <c:v>38990</c:v>
                </c:pt>
                <c:pt idx="8">
                  <c:v>39021</c:v>
                </c:pt>
                <c:pt idx="9">
                  <c:v>39051</c:v>
                </c:pt>
                <c:pt idx="10">
                  <c:v>39082</c:v>
                </c:pt>
                <c:pt idx="11">
                  <c:v>39141</c:v>
                </c:pt>
                <c:pt idx="12">
                  <c:v>39172</c:v>
                </c:pt>
                <c:pt idx="13">
                  <c:v>39202</c:v>
                </c:pt>
                <c:pt idx="14">
                  <c:v>39233</c:v>
                </c:pt>
                <c:pt idx="15">
                  <c:v>39263</c:v>
                </c:pt>
                <c:pt idx="16">
                  <c:v>39294</c:v>
                </c:pt>
                <c:pt idx="17">
                  <c:v>39325</c:v>
                </c:pt>
                <c:pt idx="18">
                  <c:v>39355</c:v>
                </c:pt>
                <c:pt idx="19">
                  <c:v>39386</c:v>
                </c:pt>
                <c:pt idx="20">
                  <c:v>39416</c:v>
                </c:pt>
                <c:pt idx="21">
                  <c:v>39447</c:v>
                </c:pt>
                <c:pt idx="22">
                  <c:v>39507</c:v>
                </c:pt>
                <c:pt idx="23">
                  <c:v>39538</c:v>
                </c:pt>
                <c:pt idx="24">
                  <c:v>39568</c:v>
                </c:pt>
                <c:pt idx="25">
                  <c:v>39599</c:v>
                </c:pt>
                <c:pt idx="26">
                  <c:v>39629</c:v>
                </c:pt>
                <c:pt idx="27">
                  <c:v>39660</c:v>
                </c:pt>
                <c:pt idx="28">
                  <c:v>39691</c:v>
                </c:pt>
                <c:pt idx="29">
                  <c:v>39721</c:v>
                </c:pt>
                <c:pt idx="30">
                  <c:v>39752</c:v>
                </c:pt>
                <c:pt idx="31">
                  <c:v>39782</c:v>
                </c:pt>
                <c:pt idx="32">
                  <c:v>39813</c:v>
                </c:pt>
                <c:pt idx="33">
                  <c:v>39872</c:v>
                </c:pt>
                <c:pt idx="34">
                  <c:v>39903</c:v>
                </c:pt>
                <c:pt idx="35">
                  <c:v>39933</c:v>
                </c:pt>
                <c:pt idx="36">
                  <c:v>39964</c:v>
                </c:pt>
                <c:pt idx="37">
                  <c:v>39994</c:v>
                </c:pt>
                <c:pt idx="38">
                  <c:v>40025</c:v>
                </c:pt>
                <c:pt idx="39">
                  <c:v>40056</c:v>
                </c:pt>
                <c:pt idx="40">
                  <c:v>40086</c:v>
                </c:pt>
                <c:pt idx="41">
                  <c:v>40117</c:v>
                </c:pt>
                <c:pt idx="42">
                  <c:v>40147</c:v>
                </c:pt>
                <c:pt idx="43">
                  <c:v>40178</c:v>
                </c:pt>
                <c:pt idx="44">
                  <c:v>40237</c:v>
                </c:pt>
                <c:pt idx="45">
                  <c:v>40268</c:v>
                </c:pt>
                <c:pt idx="46">
                  <c:v>40298</c:v>
                </c:pt>
                <c:pt idx="47">
                  <c:v>40329</c:v>
                </c:pt>
                <c:pt idx="48">
                  <c:v>40359</c:v>
                </c:pt>
                <c:pt idx="49">
                  <c:v>40390</c:v>
                </c:pt>
                <c:pt idx="50">
                  <c:v>40421</c:v>
                </c:pt>
                <c:pt idx="51">
                  <c:v>40451</c:v>
                </c:pt>
                <c:pt idx="52">
                  <c:v>40482</c:v>
                </c:pt>
                <c:pt idx="53">
                  <c:v>40512</c:v>
                </c:pt>
                <c:pt idx="54">
                  <c:v>40543</c:v>
                </c:pt>
                <c:pt idx="55">
                  <c:v>40602</c:v>
                </c:pt>
                <c:pt idx="56">
                  <c:v>40633</c:v>
                </c:pt>
                <c:pt idx="57">
                  <c:v>40663</c:v>
                </c:pt>
                <c:pt idx="58">
                  <c:v>40694</c:v>
                </c:pt>
                <c:pt idx="59">
                  <c:v>40724</c:v>
                </c:pt>
                <c:pt idx="60">
                  <c:v>40755</c:v>
                </c:pt>
                <c:pt idx="61">
                  <c:v>40786</c:v>
                </c:pt>
                <c:pt idx="62">
                  <c:v>40816</c:v>
                </c:pt>
                <c:pt idx="63">
                  <c:v>40847</c:v>
                </c:pt>
                <c:pt idx="64">
                  <c:v>40877</c:v>
                </c:pt>
                <c:pt idx="65">
                  <c:v>40908</c:v>
                </c:pt>
                <c:pt idx="66">
                  <c:v>40968</c:v>
                </c:pt>
                <c:pt idx="67">
                  <c:v>40999</c:v>
                </c:pt>
                <c:pt idx="68">
                  <c:v>41029</c:v>
                </c:pt>
                <c:pt idx="69">
                  <c:v>41060</c:v>
                </c:pt>
                <c:pt idx="70">
                  <c:v>41090</c:v>
                </c:pt>
                <c:pt idx="71">
                  <c:v>41121</c:v>
                </c:pt>
                <c:pt idx="72">
                  <c:v>41152</c:v>
                </c:pt>
                <c:pt idx="73">
                  <c:v>41182</c:v>
                </c:pt>
                <c:pt idx="74">
                  <c:v>41213</c:v>
                </c:pt>
                <c:pt idx="75">
                  <c:v>41243</c:v>
                </c:pt>
                <c:pt idx="76">
                  <c:v>41274</c:v>
                </c:pt>
                <c:pt idx="77">
                  <c:v>41333</c:v>
                </c:pt>
                <c:pt idx="78">
                  <c:v>41364</c:v>
                </c:pt>
                <c:pt idx="79">
                  <c:v>41394</c:v>
                </c:pt>
                <c:pt idx="80">
                  <c:v>41425</c:v>
                </c:pt>
                <c:pt idx="81">
                  <c:v>41455</c:v>
                </c:pt>
                <c:pt idx="82">
                  <c:v>41486</c:v>
                </c:pt>
                <c:pt idx="83">
                  <c:v>41517</c:v>
                </c:pt>
                <c:pt idx="84">
                  <c:v>41518</c:v>
                </c:pt>
              </c:numCache>
            </c:numRef>
          </c:cat>
          <c:val>
            <c:numRef>
              <c:f>'Sheet1 (2)'!$E$2:$E$86</c:f>
              <c:numCache>
                <c:formatCode>0.00_);[Red]\(0.00\)</c:formatCode>
                <c:ptCount val="85"/>
                <c:pt idx="0">
                  <c:v>5888.6622856711629</c:v>
                </c:pt>
                <c:pt idx="1">
                  <c:v>5428.5015546937993</c:v>
                </c:pt>
                <c:pt idx="2">
                  <c:v>5685.7586990314712</c:v>
                </c:pt>
                <c:pt idx="3">
                  <c:v>5179.6650971784629</c:v>
                </c:pt>
                <c:pt idx="4">
                  <c:v>5652.1364080740714</c:v>
                </c:pt>
                <c:pt idx="5">
                  <c:v>5563.8054264104103</c:v>
                </c:pt>
                <c:pt idx="6">
                  <c:v>5506.8061649229621</c:v>
                </c:pt>
                <c:pt idx="7">
                  <c:v>5788.0443673723075</c:v>
                </c:pt>
                <c:pt idx="8">
                  <c:v>4132.6530612244924</c:v>
                </c:pt>
                <c:pt idx="9">
                  <c:v>6692.9795095733953</c:v>
                </c:pt>
                <c:pt idx="10">
                  <c:v>4002.1811112603932</c:v>
                </c:pt>
                <c:pt idx="11">
                  <c:v>7236.5799166717024</c:v>
                </c:pt>
                <c:pt idx="12">
                  <c:v>5520.8178989479939</c:v>
                </c:pt>
                <c:pt idx="13">
                  <c:v>6926.2470739507435</c:v>
                </c:pt>
                <c:pt idx="14">
                  <c:v>5795.2740591877073</c:v>
                </c:pt>
                <c:pt idx="15">
                  <c:v>5767.1210991586149</c:v>
                </c:pt>
                <c:pt idx="16">
                  <c:v>5287.0311506675134</c:v>
                </c:pt>
                <c:pt idx="17">
                  <c:v>6033.9926739926759</c:v>
                </c:pt>
                <c:pt idx="18">
                  <c:v>6189.8059415428852</c:v>
                </c:pt>
                <c:pt idx="19">
                  <c:v>5750.133475707421</c:v>
                </c:pt>
                <c:pt idx="20">
                  <c:v>6168.9456795120204</c:v>
                </c:pt>
                <c:pt idx="21">
                  <c:v>4801.4805356681418</c:v>
                </c:pt>
                <c:pt idx="22">
                  <c:v>6476.3640044539443</c:v>
                </c:pt>
                <c:pt idx="23">
                  <c:v>5874.5365782035824</c:v>
                </c:pt>
                <c:pt idx="24">
                  <c:v>6522.5289087767524</c:v>
                </c:pt>
                <c:pt idx="25">
                  <c:v>6190.6740919291824</c:v>
                </c:pt>
                <c:pt idx="26">
                  <c:v>5873.3225695455812</c:v>
                </c:pt>
                <c:pt idx="27">
                  <c:v>7556.8528693528997</c:v>
                </c:pt>
                <c:pt idx="28">
                  <c:v>5856.9306930693156</c:v>
                </c:pt>
                <c:pt idx="29">
                  <c:v>5362.0469083155622</c:v>
                </c:pt>
                <c:pt idx="30">
                  <c:v>6077.7512826071224</c:v>
                </c:pt>
                <c:pt idx="31">
                  <c:v>6130.2003384894024</c:v>
                </c:pt>
                <c:pt idx="32">
                  <c:v>4060.8666795719141</c:v>
                </c:pt>
                <c:pt idx="33">
                  <c:v>7093.7550953856244</c:v>
                </c:pt>
                <c:pt idx="34">
                  <c:v>6040.1108755910836</c:v>
                </c:pt>
                <c:pt idx="35">
                  <c:v>6869.9884449735646</c:v>
                </c:pt>
                <c:pt idx="36">
                  <c:v>7065.4377880183938</c:v>
                </c:pt>
                <c:pt idx="37">
                  <c:v>7213.0718954248396</c:v>
                </c:pt>
                <c:pt idx="38">
                  <c:v>7647.3278950979811</c:v>
                </c:pt>
                <c:pt idx="39">
                  <c:v>6926.080032876157</c:v>
                </c:pt>
                <c:pt idx="40">
                  <c:v>7222.7280251614193</c:v>
                </c:pt>
                <c:pt idx="41">
                  <c:v>7620.4912749755586</c:v>
                </c:pt>
                <c:pt idx="42">
                  <c:v>6940.2677044637285</c:v>
                </c:pt>
                <c:pt idx="43">
                  <c:v>5889.2739140946096</c:v>
                </c:pt>
                <c:pt idx="44">
                  <c:v>8095.4328561690518</c:v>
                </c:pt>
                <c:pt idx="45">
                  <c:v>7549.8133310961048</c:v>
                </c:pt>
                <c:pt idx="46">
                  <c:v>7237.5985545335134</c:v>
                </c:pt>
                <c:pt idx="47">
                  <c:v>7730.151638590346</c:v>
                </c:pt>
                <c:pt idx="48">
                  <c:v>7639.1283612751931</c:v>
                </c:pt>
                <c:pt idx="49">
                  <c:v>7506.3786732359704</c:v>
                </c:pt>
                <c:pt idx="50">
                  <c:v>8763.828230651543</c:v>
                </c:pt>
                <c:pt idx="51">
                  <c:v>8191.7398150891095</c:v>
                </c:pt>
                <c:pt idx="52">
                  <c:v>7395.4243493530794</c:v>
                </c:pt>
                <c:pt idx="53">
                  <c:v>8503.5114632738951</c:v>
                </c:pt>
                <c:pt idx="54">
                  <c:v>6996.0697794309244</c:v>
                </c:pt>
                <c:pt idx="55">
                  <c:v>9096.516539120963</c:v>
                </c:pt>
                <c:pt idx="56">
                  <c:v>8534.5024915042341</c:v>
                </c:pt>
                <c:pt idx="57">
                  <c:v>9295.4237979685204</c:v>
                </c:pt>
                <c:pt idx="58">
                  <c:v>8602.5663561258571</c:v>
                </c:pt>
                <c:pt idx="59">
                  <c:v>8497.824996950927</c:v>
                </c:pt>
                <c:pt idx="60">
                  <c:v>9000.733833294551</c:v>
                </c:pt>
                <c:pt idx="61">
                  <c:v>8898.6653484923336</c:v>
                </c:pt>
                <c:pt idx="62">
                  <c:v>8747.240894953351</c:v>
                </c:pt>
                <c:pt idx="63">
                  <c:v>8296.7797816067086</c:v>
                </c:pt>
                <c:pt idx="64">
                  <c:v>9000.1491387238711</c:v>
                </c:pt>
                <c:pt idx="65">
                  <c:v>7514.145395151264</c:v>
                </c:pt>
                <c:pt idx="66">
                  <c:v>9572.498732703747</c:v>
                </c:pt>
                <c:pt idx="67">
                  <c:v>8814.1543702313302</c:v>
                </c:pt>
                <c:pt idx="68">
                  <c:v>8905.4195248262331</c:v>
                </c:pt>
                <c:pt idx="69">
                  <c:v>10123.666235099769</c:v>
                </c:pt>
                <c:pt idx="70">
                  <c:v>8250.164976903221</c:v>
                </c:pt>
                <c:pt idx="71">
                  <c:v>9151.111863004955</c:v>
                </c:pt>
                <c:pt idx="72">
                  <c:v>9082.154731347644</c:v>
                </c:pt>
                <c:pt idx="73">
                  <c:v>8965.0497586556739</c:v>
                </c:pt>
                <c:pt idx="74">
                  <c:v>8773.5235854896619</c:v>
                </c:pt>
                <c:pt idx="75">
                  <c:v>8979.9749004200949</c:v>
                </c:pt>
                <c:pt idx="76">
                  <c:v>9118.3937954729172</c:v>
                </c:pt>
                <c:pt idx="77">
                  <c:v>11424.707630185509</c:v>
                </c:pt>
                <c:pt idx="78">
                  <c:v>9257.7974747052449</c:v>
                </c:pt>
                <c:pt idx="79">
                  <c:v>10726.863266613602</c:v>
                </c:pt>
                <c:pt idx="80">
                  <c:v>9645.9223856483641</c:v>
                </c:pt>
                <c:pt idx="81">
                  <c:v>9514.393021274549</c:v>
                </c:pt>
                <c:pt idx="82">
                  <c:v>10247.372760925637</c:v>
                </c:pt>
                <c:pt idx="83">
                  <c:v>10007.159943371355</c:v>
                </c:pt>
                <c:pt idx="84">
                  <c:v>480.1869728340543</c:v>
                </c:pt>
              </c:numCache>
            </c:numRef>
          </c:val>
        </c:ser>
        <c:marker val="1"/>
        <c:axId val="344233856"/>
        <c:axId val="344235392"/>
      </c:lineChart>
      <c:dateAx>
        <c:axId val="344233856"/>
        <c:scaling>
          <c:orientation val="minMax"/>
        </c:scaling>
        <c:axPos val="b"/>
        <c:numFmt formatCode="yyyy\-mm;@" sourceLinked="1"/>
        <c:majorTickMark val="none"/>
        <c:tickLblPos val="nextTo"/>
        <c:crossAx val="344235392"/>
        <c:crosses val="autoZero"/>
        <c:auto val="1"/>
        <c:lblOffset val="100"/>
        <c:majorUnit val="1"/>
        <c:majorTimeUnit val="years"/>
      </c:dateAx>
      <c:valAx>
        <c:axId val="344235392"/>
        <c:scaling>
          <c:orientation val="minMax"/>
        </c:scaling>
        <c:axPos val="l"/>
        <c:numFmt formatCode="0.00_);[Red]\(0.00\)" sourceLinked="1"/>
        <c:majorTickMark val="none"/>
        <c:tickLblPos val="nextTo"/>
        <c:crossAx val="344233856"/>
        <c:crosses val="autoZero"/>
        <c:crossBetween val="between"/>
      </c:valAx>
    </c:plotArea>
    <c:legend>
      <c:legendPos val="b"/>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'Sheet1 (3)'!$C$13</c:f>
              <c:strCache>
                <c:ptCount val="1"/>
                <c:pt idx="0">
                  <c:v>房屋新开工面积</c:v>
                </c:pt>
              </c:strCache>
            </c:strRef>
          </c:tx>
          <c:cat>
            <c:numRef>
              <c:f>'Sheet1 (3)'!$A$14:$A$87</c:f>
              <c:numCache>
                <c:formatCode>yyyy\-mm;@</c:formatCode>
                <c:ptCount val="74"/>
                <c:pt idx="0">
                  <c:v>39141</c:v>
                </c:pt>
                <c:pt idx="1">
                  <c:v>39172</c:v>
                </c:pt>
                <c:pt idx="2">
                  <c:v>39202</c:v>
                </c:pt>
                <c:pt idx="3">
                  <c:v>39233</c:v>
                </c:pt>
                <c:pt idx="4">
                  <c:v>39263</c:v>
                </c:pt>
                <c:pt idx="5">
                  <c:v>39294</c:v>
                </c:pt>
                <c:pt idx="6">
                  <c:v>39325</c:v>
                </c:pt>
                <c:pt idx="7">
                  <c:v>39355</c:v>
                </c:pt>
                <c:pt idx="8">
                  <c:v>39386</c:v>
                </c:pt>
                <c:pt idx="9">
                  <c:v>39416</c:v>
                </c:pt>
                <c:pt idx="10">
                  <c:v>39447</c:v>
                </c:pt>
                <c:pt idx="11">
                  <c:v>39507</c:v>
                </c:pt>
                <c:pt idx="12">
                  <c:v>39538</c:v>
                </c:pt>
                <c:pt idx="13">
                  <c:v>39568</c:v>
                </c:pt>
                <c:pt idx="14">
                  <c:v>39599</c:v>
                </c:pt>
                <c:pt idx="15">
                  <c:v>39629</c:v>
                </c:pt>
                <c:pt idx="16">
                  <c:v>39660</c:v>
                </c:pt>
                <c:pt idx="17">
                  <c:v>39691</c:v>
                </c:pt>
                <c:pt idx="18">
                  <c:v>39721</c:v>
                </c:pt>
                <c:pt idx="19">
                  <c:v>39752</c:v>
                </c:pt>
                <c:pt idx="20">
                  <c:v>39782</c:v>
                </c:pt>
                <c:pt idx="21">
                  <c:v>39813</c:v>
                </c:pt>
                <c:pt idx="22">
                  <c:v>39872</c:v>
                </c:pt>
                <c:pt idx="23">
                  <c:v>39903</c:v>
                </c:pt>
                <c:pt idx="24">
                  <c:v>39933</c:v>
                </c:pt>
                <c:pt idx="25">
                  <c:v>39964</c:v>
                </c:pt>
                <c:pt idx="26">
                  <c:v>39994</c:v>
                </c:pt>
                <c:pt idx="27">
                  <c:v>40025</c:v>
                </c:pt>
                <c:pt idx="28">
                  <c:v>40056</c:v>
                </c:pt>
                <c:pt idx="29">
                  <c:v>40086</c:v>
                </c:pt>
                <c:pt idx="30">
                  <c:v>40117</c:v>
                </c:pt>
                <c:pt idx="31">
                  <c:v>40147</c:v>
                </c:pt>
                <c:pt idx="32">
                  <c:v>40178</c:v>
                </c:pt>
                <c:pt idx="33">
                  <c:v>40237</c:v>
                </c:pt>
                <c:pt idx="34">
                  <c:v>40268</c:v>
                </c:pt>
                <c:pt idx="35">
                  <c:v>40298</c:v>
                </c:pt>
                <c:pt idx="36">
                  <c:v>40329</c:v>
                </c:pt>
                <c:pt idx="37">
                  <c:v>40359</c:v>
                </c:pt>
                <c:pt idx="38">
                  <c:v>40390</c:v>
                </c:pt>
                <c:pt idx="39">
                  <c:v>40421</c:v>
                </c:pt>
                <c:pt idx="40">
                  <c:v>40451</c:v>
                </c:pt>
                <c:pt idx="41">
                  <c:v>40482</c:v>
                </c:pt>
                <c:pt idx="42">
                  <c:v>40512</c:v>
                </c:pt>
                <c:pt idx="43">
                  <c:v>40543</c:v>
                </c:pt>
                <c:pt idx="44">
                  <c:v>40602</c:v>
                </c:pt>
                <c:pt idx="45">
                  <c:v>40633</c:v>
                </c:pt>
                <c:pt idx="46">
                  <c:v>40663</c:v>
                </c:pt>
                <c:pt idx="47">
                  <c:v>40694</c:v>
                </c:pt>
                <c:pt idx="48">
                  <c:v>40724</c:v>
                </c:pt>
                <c:pt idx="49">
                  <c:v>40755</c:v>
                </c:pt>
                <c:pt idx="50">
                  <c:v>40786</c:v>
                </c:pt>
                <c:pt idx="51">
                  <c:v>40816</c:v>
                </c:pt>
                <c:pt idx="52">
                  <c:v>40847</c:v>
                </c:pt>
                <c:pt idx="53">
                  <c:v>40877</c:v>
                </c:pt>
                <c:pt idx="54">
                  <c:v>40908</c:v>
                </c:pt>
                <c:pt idx="55">
                  <c:v>40968</c:v>
                </c:pt>
                <c:pt idx="56">
                  <c:v>40999</c:v>
                </c:pt>
                <c:pt idx="57">
                  <c:v>41029</c:v>
                </c:pt>
                <c:pt idx="58">
                  <c:v>41060</c:v>
                </c:pt>
                <c:pt idx="59">
                  <c:v>41090</c:v>
                </c:pt>
                <c:pt idx="60">
                  <c:v>41121</c:v>
                </c:pt>
                <c:pt idx="61">
                  <c:v>41152</c:v>
                </c:pt>
                <c:pt idx="62">
                  <c:v>41182</c:v>
                </c:pt>
                <c:pt idx="63">
                  <c:v>41213</c:v>
                </c:pt>
                <c:pt idx="64">
                  <c:v>41243</c:v>
                </c:pt>
                <c:pt idx="65">
                  <c:v>41274</c:v>
                </c:pt>
                <c:pt idx="66">
                  <c:v>41333</c:v>
                </c:pt>
                <c:pt idx="67">
                  <c:v>41364</c:v>
                </c:pt>
                <c:pt idx="68">
                  <c:v>41394</c:v>
                </c:pt>
                <c:pt idx="69">
                  <c:v>41425</c:v>
                </c:pt>
                <c:pt idx="70">
                  <c:v>41455</c:v>
                </c:pt>
                <c:pt idx="71">
                  <c:v>41486</c:v>
                </c:pt>
                <c:pt idx="72">
                  <c:v>41517</c:v>
                </c:pt>
                <c:pt idx="73">
                  <c:v>41518</c:v>
                </c:pt>
              </c:numCache>
            </c:numRef>
          </c:cat>
          <c:val>
            <c:numRef>
              <c:f>'Sheet1 (3)'!$C$14:$C$87</c:f>
              <c:numCache>
                <c:formatCode>#,##0.00_ </c:formatCode>
                <c:ptCount val="74"/>
                <c:pt idx="0" formatCode="###,###,###,###,##0.00_ ">
                  <c:v>9966.7400000000089</c:v>
                </c:pt>
                <c:pt idx="1">
                  <c:v>9077.49</c:v>
                </c:pt>
                <c:pt idx="2">
                  <c:v>8338.0800000000017</c:v>
                </c:pt>
                <c:pt idx="3">
                  <c:v>8128.03</c:v>
                </c:pt>
                <c:pt idx="4">
                  <c:v>9381.6300000000047</c:v>
                </c:pt>
                <c:pt idx="5">
                  <c:v>7665.6900000000023</c:v>
                </c:pt>
                <c:pt idx="6">
                  <c:v>6714.7099999999991</c:v>
                </c:pt>
                <c:pt idx="7">
                  <c:v>7455.6</c:v>
                </c:pt>
                <c:pt idx="8">
                  <c:v>6665.3500000000058</c:v>
                </c:pt>
                <c:pt idx="9">
                  <c:v>6542.25</c:v>
                </c:pt>
                <c:pt idx="10">
                  <c:v>15465.959999999932</c:v>
                </c:pt>
                <c:pt idx="11" formatCode="###,###,###,###,##0.00_ ">
                  <c:v>12679.1</c:v>
                </c:pt>
                <c:pt idx="12">
                  <c:v>11292.26</c:v>
                </c:pt>
                <c:pt idx="13">
                  <c:v>8998.5999999999494</c:v>
                </c:pt>
                <c:pt idx="14">
                  <c:v>9555.75</c:v>
                </c:pt>
                <c:pt idx="15">
                  <c:v>10947.07</c:v>
                </c:pt>
                <c:pt idx="16">
                  <c:v>7037.2099999999991</c:v>
                </c:pt>
                <c:pt idx="17">
                  <c:v>6538.6400000000094</c:v>
                </c:pt>
                <c:pt idx="18">
                  <c:v>6472.6200000000044</c:v>
                </c:pt>
                <c:pt idx="19">
                  <c:v>5251.0300000000007</c:v>
                </c:pt>
                <c:pt idx="20">
                  <c:v>5517.2299999999959</c:v>
                </c:pt>
                <c:pt idx="21">
                  <c:v>18263.86</c:v>
                </c:pt>
                <c:pt idx="22" formatCode="###,###,###,###,##0.00_ ">
                  <c:v>10798.4</c:v>
                </c:pt>
                <c:pt idx="23">
                  <c:v>9283.9599999999264</c:v>
                </c:pt>
                <c:pt idx="24">
                  <c:v>7754.3899999999994</c:v>
                </c:pt>
                <c:pt idx="25">
                  <c:v>7815.4499999999971</c:v>
                </c:pt>
                <c:pt idx="26">
                  <c:v>12269.25</c:v>
                </c:pt>
                <c:pt idx="27">
                  <c:v>7058.2800000000061</c:v>
                </c:pt>
                <c:pt idx="28">
                  <c:v>8127.3299999999954</c:v>
                </c:pt>
                <c:pt idx="29">
                  <c:v>10116.430000000008</c:v>
                </c:pt>
                <c:pt idx="30">
                  <c:v>8151.1200000000044</c:v>
                </c:pt>
                <c:pt idx="31">
                  <c:v>16199.039999999985</c:v>
                </c:pt>
                <c:pt idx="32">
                  <c:v>18848.400000000009</c:v>
                </c:pt>
                <c:pt idx="33" formatCode="###,###,###,###,##0.00_ ">
                  <c:v>14914.32</c:v>
                </c:pt>
                <c:pt idx="34">
                  <c:v>17374.280000000021</c:v>
                </c:pt>
                <c:pt idx="35">
                  <c:v>13398.210000000006</c:v>
                </c:pt>
                <c:pt idx="36">
                  <c:v>15775.830000000002</c:v>
                </c:pt>
                <c:pt idx="37">
                  <c:v>18988.300000000003</c:v>
                </c:pt>
                <c:pt idx="38">
                  <c:v>11732.330000000002</c:v>
                </c:pt>
                <c:pt idx="39">
                  <c:v>12664.190000000002</c:v>
                </c:pt>
                <c:pt idx="40">
                  <c:v>14593.539999999985</c:v>
                </c:pt>
                <c:pt idx="41">
                  <c:v>12315.459999999932</c:v>
                </c:pt>
                <c:pt idx="42">
                  <c:v>13373.540000000008</c:v>
                </c:pt>
                <c:pt idx="43">
                  <c:v>18516.869999999992</c:v>
                </c:pt>
                <c:pt idx="44" formatCode="###,###,###,###,##0.00_ ">
                  <c:v>19082.79</c:v>
                </c:pt>
                <c:pt idx="45">
                  <c:v>20759.64</c:v>
                </c:pt>
                <c:pt idx="46">
                  <c:v>16998.080000000005</c:v>
                </c:pt>
                <c:pt idx="47">
                  <c:v>19277.649999999911</c:v>
                </c:pt>
                <c:pt idx="48">
                  <c:v>23324.429999999993</c:v>
                </c:pt>
                <c:pt idx="49">
                  <c:v>15726.570000000007</c:v>
                </c:pt>
                <c:pt idx="50">
                  <c:v>16711.510000000006</c:v>
                </c:pt>
                <c:pt idx="51">
                  <c:v>15894.019999999951</c:v>
                </c:pt>
                <c:pt idx="52">
                  <c:v>12587.5</c:v>
                </c:pt>
                <c:pt idx="53">
                  <c:v>14589.559999999943</c:v>
                </c:pt>
                <c:pt idx="54">
                  <c:v>16285.118199999983</c:v>
                </c:pt>
                <c:pt idx="55" formatCode="###,###,###,###,##0.00_ ">
                  <c:v>20048.653300000002</c:v>
                </c:pt>
                <c:pt idx="56">
                  <c:v>19897.619299999853</c:v>
                </c:pt>
                <c:pt idx="57">
                  <c:v>14521.526700000002</c:v>
                </c:pt>
                <c:pt idx="58">
                  <c:v>18391.499500000002</c:v>
                </c:pt>
                <c:pt idx="59">
                  <c:v>19520.374100000001</c:v>
                </c:pt>
                <c:pt idx="60">
                  <c:v>11524.874199999949</c:v>
                </c:pt>
                <c:pt idx="61">
                  <c:v>19035.885300000009</c:v>
                </c:pt>
                <c:pt idx="62">
                  <c:v>12074.000599999985</c:v>
                </c:pt>
                <c:pt idx="63">
                  <c:v>11777.762000000017</c:v>
                </c:pt>
                <c:pt idx="64">
                  <c:v>15621.022499999992</c:v>
                </c:pt>
                <c:pt idx="65">
                  <c:v>14920.399899999951</c:v>
                </c:pt>
                <c:pt idx="66" formatCode="###,###,###,###,##0.00_ ">
                  <c:v>23001.018199999999</c:v>
                </c:pt>
                <c:pt idx="67">
                  <c:v>15871.932200000008</c:v>
                </c:pt>
                <c:pt idx="68">
                  <c:v>16632.934499999999</c:v>
                </c:pt>
                <c:pt idx="69">
                  <c:v>18107.401000000005</c:v>
                </c:pt>
                <c:pt idx="70">
                  <c:v>22287.803100000005</c:v>
                </c:pt>
                <c:pt idx="71">
                  <c:v>16736.634499999986</c:v>
                </c:pt>
                <c:pt idx="72">
                  <c:v>15202.586500000005</c:v>
                </c:pt>
                <c:pt idx="73" formatCode="###,###,###,###,##0.00_ ">
                  <c:v>17059.25</c:v>
                </c:pt>
              </c:numCache>
            </c:numRef>
          </c:val>
        </c:ser>
        <c:gapWidth val="75"/>
        <c:axId val="344336256"/>
        <c:axId val="344337792"/>
      </c:barChart>
      <c:lineChart>
        <c:grouping val="standard"/>
        <c:ser>
          <c:idx val="1"/>
          <c:order val="1"/>
          <c:tx>
            <c:strRef>
              <c:f>'Sheet1 (3)'!$D$13</c:f>
              <c:strCache>
                <c:ptCount val="1"/>
                <c:pt idx="0">
                  <c:v>同比变化</c:v>
                </c:pt>
              </c:strCache>
            </c:strRef>
          </c:tx>
          <c:marker>
            <c:symbol val="none"/>
          </c:marker>
          <c:cat>
            <c:numRef>
              <c:f>'Sheet1 (3)'!$A$14:$A$87</c:f>
              <c:numCache>
                <c:formatCode>yyyy\-mm;@</c:formatCode>
                <c:ptCount val="74"/>
                <c:pt idx="0">
                  <c:v>39141</c:v>
                </c:pt>
                <c:pt idx="1">
                  <c:v>39172</c:v>
                </c:pt>
                <c:pt idx="2">
                  <c:v>39202</c:v>
                </c:pt>
                <c:pt idx="3">
                  <c:v>39233</c:v>
                </c:pt>
                <c:pt idx="4">
                  <c:v>39263</c:v>
                </c:pt>
                <c:pt idx="5">
                  <c:v>39294</c:v>
                </c:pt>
                <c:pt idx="6">
                  <c:v>39325</c:v>
                </c:pt>
                <c:pt idx="7">
                  <c:v>39355</c:v>
                </c:pt>
                <c:pt idx="8">
                  <c:v>39386</c:v>
                </c:pt>
                <c:pt idx="9">
                  <c:v>39416</c:v>
                </c:pt>
                <c:pt idx="10">
                  <c:v>39447</c:v>
                </c:pt>
                <c:pt idx="11">
                  <c:v>39507</c:v>
                </c:pt>
                <c:pt idx="12">
                  <c:v>39538</c:v>
                </c:pt>
                <c:pt idx="13">
                  <c:v>39568</c:v>
                </c:pt>
                <c:pt idx="14">
                  <c:v>39599</c:v>
                </c:pt>
                <c:pt idx="15">
                  <c:v>39629</c:v>
                </c:pt>
                <c:pt idx="16">
                  <c:v>39660</c:v>
                </c:pt>
                <c:pt idx="17">
                  <c:v>39691</c:v>
                </c:pt>
                <c:pt idx="18">
                  <c:v>39721</c:v>
                </c:pt>
                <c:pt idx="19">
                  <c:v>39752</c:v>
                </c:pt>
                <c:pt idx="20">
                  <c:v>39782</c:v>
                </c:pt>
                <c:pt idx="21">
                  <c:v>39813</c:v>
                </c:pt>
                <c:pt idx="22">
                  <c:v>39872</c:v>
                </c:pt>
                <c:pt idx="23">
                  <c:v>39903</c:v>
                </c:pt>
                <c:pt idx="24">
                  <c:v>39933</c:v>
                </c:pt>
                <c:pt idx="25">
                  <c:v>39964</c:v>
                </c:pt>
                <c:pt idx="26">
                  <c:v>39994</c:v>
                </c:pt>
                <c:pt idx="27">
                  <c:v>40025</c:v>
                </c:pt>
                <c:pt idx="28">
                  <c:v>40056</c:v>
                </c:pt>
                <c:pt idx="29">
                  <c:v>40086</c:v>
                </c:pt>
                <c:pt idx="30">
                  <c:v>40117</c:v>
                </c:pt>
                <c:pt idx="31">
                  <c:v>40147</c:v>
                </c:pt>
                <c:pt idx="32">
                  <c:v>40178</c:v>
                </c:pt>
                <c:pt idx="33">
                  <c:v>40237</c:v>
                </c:pt>
                <c:pt idx="34">
                  <c:v>40268</c:v>
                </c:pt>
                <c:pt idx="35">
                  <c:v>40298</c:v>
                </c:pt>
                <c:pt idx="36">
                  <c:v>40329</c:v>
                </c:pt>
                <c:pt idx="37">
                  <c:v>40359</c:v>
                </c:pt>
                <c:pt idx="38">
                  <c:v>40390</c:v>
                </c:pt>
                <c:pt idx="39">
                  <c:v>40421</c:v>
                </c:pt>
                <c:pt idx="40">
                  <c:v>40451</c:v>
                </c:pt>
                <c:pt idx="41">
                  <c:v>40482</c:v>
                </c:pt>
                <c:pt idx="42">
                  <c:v>40512</c:v>
                </c:pt>
                <c:pt idx="43">
                  <c:v>40543</c:v>
                </c:pt>
                <c:pt idx="44">
                  <c:v>40602</c:v>
                </c:pt>
                <c:pt idx="45">
                  <c:v>40633</c:v>
                </c:pt>
                <c:pt idx="46">
                  <c:v>40663</c:v>
                </c:pt>
                <c:pt idx="47">
                  <c:v>40694</c:v>
                </c:pt>
                <c:pt idx="48">
                  <c:v>40724</c:v>
                </c:pt>
                <c:pt idx="49">
                  <c:v>40755</c:v>
                </c:pt>
                <c:pt idx="50">
                  <c:v>40786</c:v>
                </c:pt>
                <c:pt idx="51">
                  <c:v>40816</c:v>
                </c:pt>
                <c:pt idx="52">
                  <c:v>40847</c:v>
                </c:pt>
                <c:pt idx="53">
                  <c:v>40877</c:v>
                </c:pt>
                <c:pt idx="54">
                  <c:v>40908</c:v>
                </c:pt>
                <c:pt idx="55">
                  <c:v>40968</c:v>
                </c:pt>
                <c:pt idx="56">
                  <c:v>40999</c:v>
                </c:pt>
                <c:pt idx="57">
                  <c:v>41029</c:v>
                </c:pt>
                <c:pt idx="58">
                  <c:v>41060</c:v>
                </c:pt>
                <c:pt idx="59">
                  <c:v>41090</c:v>
                </c:pt>
                <c:pt idx="60">
                  <c:v>41121</c:v>
                </c:pt>
                <c:pt idx="61">
                  <c:v>41152</c:v>
                </c:pt>
                <c:pt idx="62">
                  <c:v>41182</c:v>
                </c:pt>
                <c:pt idx="63">
                  <c:v>41213</c:v>
                </c:pt>
                <c:pt idx="64">
                  <c:v>41243</c:v>
                </c:pt>
                <c:pt idx="65">
                  <c:v>41274</c:v>
                </c:pt>
                <c:pt idx="66">
                  <c:v>41333</c:v>
                </c:pt>
                <c:pt idx="67">
                  <c:v>41364</c:v>
                </c:pt>
                <c:pt idx="68">
                  <c:v>41394</c:v>
                </c:pt>
                <c:pt idx="69">
                  <c:v>41425</c:v>
                </c:pt>
                <c:pt idx="70">
                  <c:v>41455</c:v>
                </c:pt>
                <c:pt idx="71">
                  <c:v>41486</c:v>
                </c:pt>
                <c:pt idx="72">
                  <c:v>41517</c:v>
                </c:pt>
                <c:pt idx="73">
                  <c:v>41518</c:v>
                </c:pt>
              </c:numCache>
            </c:numRef>
          </c:cat>
          <c:val>
            <c:numRef>
              <c:f>'Sheet1 (3)'!$D$14:$D$87</c:f>
              <c:numCache>
                <c:formatCode>0.00%</c:formatCode>
                <c:ptCount val="74"/>
                <c:pt idx="0">
                  <c:v>3.6340987643024562E-2</c:v>
                </c:pt>
                <c:pt idx="1">
                  <c:v>0.1946140645480533</c:v>
                </c:pt>
                <c:pt idx="2">
                  <c:v>0.25065884699900282</c:v>
                </c:pt>
                <c:pt idx="3">
                  <c:v>0.27725510593729608</c:v>
                </c:pt>
                <c:pt idx="4">
                  <c:v>0.22506294005808278</c:v>
                </c:pt>
                <c:pt idx="5">
                  <c:v>0.35174467814973187</c:v>
                </c:pt>
                <c:pt idx="6">
                  <c:v>0.29995256855779523</c:v>
                </c:pt>
                <c:pt idx="7">
                  <c:v>0.21336596924759491</c:v>
                </c:pt>
                <c:pt idx="8">
                  <c:v>0.34327079844338049</c:v>
                </c:pt>
                <c:pt idx="9">
                  <c:v>0.25793147208121753</c:v>
                </c:pt>
                <c:pt idx="10">
                  <c:v>8.880630166052822E-2</c:v>
                </c:pt>
                <c:pt idx="11">
                  <c:v>0.27214114143641627</c:v>
                </c:pt>
                <c:pt idx="12">
                  <c:v>0.24398484603122786</c:v>
                </c:pt>
                <c:pt idx="13">
                  <c:v>7.9217277838543335E-2</c:v>
                </c:pt>
                <c:pt idx="14">
                  <c:v>0.17565387923026918</c:v>
                </c:pt>
                <c:pt idx="15">
                  <c:v>0.16686226167520934</c:v>
                </c:pt>
                <c:pt idx="16">
                  <c:v>-8.1986096489683705E-2</c:v>
                </c:pt>
                <c:pt idx="17">
                  <c:v>-2.6221534511541446E-2</c:v>
                </c:pt>
                <c:pt idx="18">
                  <c:v>-0.1318445195557707</c:v>
                </c:pt>
                <c:pt idx="19">
                  <c:v>-0.21218990750673344</c:v>
                </c:pt>
                <c:pt idx="20">
                  <c:v>-0.15667698421796844</c:v>
                </c:pt>
                <c:pt idx="21">
                  <c:v>0.18090697247374299</c:v>
                </c:pt>
                <c:pt idx="22">
                  <c:v>-0.14833071747994736</c:v>
                </c:pt>
                <c:pt idx="23">
                  <c:v>-0.17784748137219822</c:v>
                </c:pt>
                <c:pt idx="24">
                  <c:v>-0.13826706376547543</c:v>
                </c:pt>
                <c:pt idx="25">
                  <c:v>-0.18212071265991667</c:v>
                </c:pt>
                <c:pt idx="26">
                  <c:v>0.1207793500909376</c:v>
                </c:pt>
                <c:pt idx="27">
                  <c:v>2.9940843032973436E-3</c:v>
                </c:pt>
                <c:pt idx="28">
                  <c:v>0.24296948600932267</c:v>
                </c:pt>
                <c:pt idx="29">
                  <c:v>0.56295750407099676</c:v>
                </c:pt>
                <c:pt idx="30">
                  <c:v>0.55228974125076358</c:v>
                </c:pt>
                <c:pt idx="31">
                  <c:v>1.9360820556692455</c:v>
                </c:pt>
                <c:pt idx="32">
                  <c:v>3.2005282563489439E-2</c:v>
                </c:pt>
                <c:pt idx="33">
                  <c:v>0.38116017187731727</c:v>
                </c:pt>
                <c:pt idx="34">
                  <c:v>0.87142986398045663</c:v>
                </c:pt>
                <c:pt idx="35">
                  <c:v>0.72782256244527532</c:v>
                </c:pt>
                <c:pt idx="36">
                  <c:v>1.0185440377713386</c:v>
                </c:pt>
                <c:pt idx="37">
                  <c:v>0.54763331091957823</c:v>
                </c:pt>
                <c:pt idx="38">
                  <c:v>0.66220807335498511</c:v>
                </c:pt>
                <c:pt idx="39">
                  <c:v>0.55822268813989473</c:v>
                </c:pt>
                <c:pt idx="40">
                  <c:v>0.44255829378545597</c:v>
                </c:pt>
                <c:pt idx="41">
                  <c:v>0.51089175475272097</c:v>
                </c:pt>
                <c:pt idx="42">
                  <c:v>-0.17442391647900041</c:v>
                </c:pt>
                <c:pt idx="43">
                  <c:v>-1.7589291398740117E-2</c:v>
                </c:pt>
                <c:pt idx="44">
                  <c:v>0.27949447242650027</c:v>
                </c:pt>
                <c:pt idx="45">
                  <c:v>0.19484893762504121</c:v>
                </c:pt>
                <c:pt idx="46">
                  <c:v>0.26868290614940588</c:v>
                </c:pt>
                <c:pt idx="47">
                  <c:v>0.22197374084279617</c:v>
                </c:pt>
                <c:pt idx="48">
                  <c:v>0.22835798886682876</c:v>
                </c:pt>
                <c:pt idx="49">
                  <c:v>0.34044729393053252</c:v>
                </c:pt>
                <c:pt idx="50">
                  <c:v>0.31958775097341602</c:v>
                </c:pt>
                <c:pt idx="51">
                  <c:v>8.9113402231398034E-2</c:v>
                </c:pt>
                <c:pt idx="52">
                  <c:v>2.208930888493086E-2</c:v>
                </c:pt>
                <c:pt idx="53">
                  <c:v>9.092730870061326E-2</c:v>
                </c:pt>
                <c:pt idx="54">
                  <c:v>-0.12052532636455321</c:v>
                </c:pt>
                <c:pt idx="55">
                  <c:v>5.0614365090220076E-2</c:v>
                </c:pt>
                <c:pt idx="56">
                  <c:v>-4.1523875173172645E-2</c:v>
                </c:pt>
                <c:pt idx="57">
                  <c:v>-0.14569606096688564</c:v>
                </c:pt>
                <c:pt idx="58">
                  <c:v>-4.5967765780579845E-2</c:v>
                </c:pt>
                <c:pt idx="59">
                  <c:v>-0.16309319884773243</c:v>
                </c:pt>
                <c:pt idx="60">
                  <c:v>-0.26717178634629257</c:v>
                </c:pt>
                <c:pt idx="61">
                  <c:v>0.13908828705485021</c:v>
                </c:pt>
                <c:pt idx="62">
                  <c:v>-0.240343185676124</c:v>
                </c:pt>
                <c:pt idx="63">
                  <c:v>-6.4328738828201698E-2</c:v>
                </c:pt>
                <c:pt idx="64">
                  <c:v>7.069867083037451E-2</c:v>
                </c:pt>
                <c:pt idx="65">
                  <c:v>-8.3801559389357724E-2</c:v>
                </c:pt>
                <c:pt idx="66">
                  <c:v>0.14726001072600767</c:v>
                </c:pt>
                <c:pt idx="67">
                  <c:v>-0.2023200383575533</c:v>
                </c:pt>
                <c:pt idx="68">
                  <c:v>0.14539847246226612</c:v>
                </c:pt>
                <c:pt idx="69">
                  <c:v>-1.544727225749048E-2</c:v>
                </c:pt>
                <c:pt idx="70">
                  <c:v>0.14177130959800641</c:v>
                </c:pt>
                <c:pt idx="71">
                  <c:v>0.45221841119966616</c:v>
                </c:pt>
                <c:pt idx="72">
                  <c:v>-0.2013722366776397</c:v>
                </c:pt>
                <c:pt idx="73">
                  <c:v>0.41289126654507718</c:v>
                </c:pt>
              </c:numCache>
            </c:numRef>
          </c:val>
        </c:ser>
        <c:marker val="1"/>
        <c:axId val="344468096"/>
        <c:axId val="344466560"/>
      </c:lineChart>
      <c:dateAx>
        <c:axId val="344336256"/>
        <c:scaling>
          <c:orientation val="minMax"/>
        </c:scaling>
        <c:axPos val="b"/>
        <c:numFmt formatCode="yyyy\-mm;@" sourceLinked="1"/>
        <c:majorTickMark val="none"/>
        <c:tickLblPos val="nextTo"/>
        <c:crossAx val="344337792"/>
        <c:crosses val="autoZero"/>
        <c:auto val="1"/>
        <c:lblOffset val="100"/>
        <c:majorUnit val="1"/>
        <c:majorTimeUnit val="years"/>
      </c:dateAx>
      <c:valAx>
        <c:axId val="344337792"/>
        <c:scaling>
          <c:orientation val="minMax"/>
        </c:scaling>
        <c:axPos val="l"/>
        <c:numFmt formatCode="###,###,###,###,##0.00_ " sourceLinked="1"/>
        <c:majorTickMark val="in"/>
        <c:tickLblPos val="nextTo"/>
        <c:crossAx val="344336256"/>
        <c:crosses val="autoZero"/>
        <c:crossBetween val="between"/>
      </c:valAx>
      <c:valAx>
        <c:axId val="344466560"/>
        <c:scaling>
          <c:orientation val="minMax"/>
        </c:scaling>
        <c:axPos val="r"/>
        <c:numFmt formatCode="0.00%" sourceLinked="1"/>
        <c:tickLblPos val="nextTo"/>
        <c:crossAx val="344468096"/>
        <c:crosses val="max"/>
        <c:crossBetween val="between"/>
      </c:valAx>
      <c:dateAx>
        <c:axId val="344468096"/>
        <c:scaling>
          <c:orientation val="minMax"/>
        </c:scaling>
        <c:delete val="1"/>
        <c:axPos val="b"/>
        <c:numFmt formatCode="yyyy\-mm;@" sourceLinked="1"/>
        <c:tickLblPos val="none"/>
        <c:crossAx val="344466560"/>
        <c:crosses val="autoZero"/>
        <c:auto val="1"/>
        <c:lblOffset val="100"/>
      </c:dateAx>
    </c:plotArea>
    <c:legend>
      <c:legendPos val="b"/>
    </c:legend>
    <c:plotVisOnly val="1"/>
    <c:dispBlanksAs val="gap"/>
  </c:chart>
  <c:txPr>
    <a:bodyPr/>
    <a:lstStyle/>
    <a:p>
      <a:pPr>
        <a:defRPr sz="900" baseline="0"/>
      </a:pPr>
      <a:endParaRPr lang="zh-CN"/>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zh-CN"/>
  <c:chart>
    <c:plotArea>
      <c:layout/>
      <c:barChart>
        <c:barDir val="col"/>
        <c:grouping val="clustered"/>
        <c:ser>
          <c:idx val="0"/>
          <c:order val="0"/>
          <c:tx>
            <c:strRef>
              <c:f>'Sheet1 (3)'!$G$13</c:f>
              <c:strCache>
                <c:ptCount val="1"/>
                <c:pt idx="0">
                  <c:v>房屋竣工面积</c:v>
                </c:pt>
              </c:strCache>
            </c:strRef>
          </c:tx>
          <c:cat>
            <c:numRef>
              <c:f>'Sheet1 (3)'!$E$14:$E$87</c:f>
              <c:numCache>
                <c:formatCode>yyyy\-mm;@</c:formatCode>
                <c:ptCount val="74"/>
                <c:pt idx="0">
                  <c:v>39141</c:v>
                </c:pt>
                <c:pt idx="1">
                  <c:v>39172</c:v>
                </c:pt>
                <c:pt idx="2">
                  <c:v>39202</c:v>
                </c:pt>
                <c:pt idx="3">
                  <c:v>39233</c:v>
                </c:pt>
                <c:pt idx="4">
                  <c:v>39263</c:v>
                </c:pt>
                <c:pt idx="5">
                  <c:v>39294</c:v>
                </c:pt>
                <c:pt idx="6">
                  <c:v>39325</c:v>
                </c:pt>
                <c:pt idx="7">
                  <c:v>39355</c:v>
                </c:pt>
                <c:pt idx="8">
                  <c:v>39386</c:v>
                </c:pt>
                <c:pt idx="9">
                  <c:v>39416</c:v>
                </c:pt>
                <c:pt idx="10">
                  <c:v>39447</c:v>
                </c:pt>
                <c:pt idx="11">
                  <c:v>39507</c:v>
                </c:pt>
                <c:pt idx="12">
                  <c:v>39538</c:v>
                </c:pt>
                <c:pt idx="13">
                  <c:v>39568</c:v>
                </c:pt>
                <c:pt idx="14">
                  <c:v>39599</c:v>
                </c:pt>
                <c:pt idx="15">
                  <c:v>39629</c:v>
                </c:pt>
                <c:pt idx="16">
                  <c:v>39660</c:v>
                </c:pt>
                <c:pt idx="17">
                  <c:v>39691</c:v>
                </c:pt>
                <c:pt idx="18">
                  <c:v>39721</c:v>
                </c:pt>
                <c:pt idx="19">
                  <c:v>39752</c:v>
                </c:pt>
                <c:pt idx="20">
                  <c:v>39782</c:v>
                </c:pt>
                <c:pt idx="21">
                  <c:v>39813</c:v>
                </c:pt>
                <c:pt idx="22">
                  <c:v>39872</c:v>
                </c:pt>
                <c:pt idx="23">
                  <c:v>39903</c:v>
                </c:pt>
                <c:pt idx="24">
                  <c:v>39933</c:v>
                </c:pt>
                <c:pt idx="25">
                  <c:v>39964</c:v>
                </c:pt>
                <c:pt idx="26">
                  <c:v>39994</c:v>
                </c:pt>
                <c:pt idx="27">
                  <c:v>40025</c:v>
                </c:pt>
                <c:pt idx="28">
                  <c:v>40056</c:v>
                </c:pt>
                <c:pt idx="29">
                  <c:v>40086</c:v>
                </c:pt>
                <c:pt idx="30">
                  <c:v>40117</c:v>
                </c:pt>
                <c:pt idx="31">
                  <c:v>40147</c:v>
                </c:pt>
                <c:pt idx="32">
                  <c:v>40178</c:v>
                </c:pt>
                <c:pt idx="33">
                  <c:v>40237</c:v>
                </c:pt>
                <c:pt idx="34">
                  <c:v>40268</c:v>
                </c:pt>
                <c:pt idx="35">
                  <c:v>40298</c:v>
                </c:pt>
                <c:pt idx="36">
                  <c:v>40329</c:v>
                </c:pt>
                <c:pt idx="37">
                  <c:v>40359</c:v>
                </c:pt>
                <c:pt idx="38">
                  <c:v>40390</c:v>
                </c:pt>
                <c:pt idx="39">
                  <c:v>40421</c:v>
                </c:pt>
                <c:pt idx="40">
                  <c:v>40451</c:v>
                </c:pt>
                <c:pt idx="41">
                  <c:v>40482</c:v>
                </c:pt>
                <c:pt idx="42">
                  <c:v>40512</c:v>
                </c:pt>
                <c:pt idx="43">
                  <c:v>40543</c:v>
                </c:pt>
                <c:pt idx="44">
                  <c:v>40602</c:v>
                </c:pt>
                <c:pt idx="45">
                  <c:v>40633</c:v>
                </c:pt>
                <c:pt idx="46">
                  <c:v>40663</c:v>
                </c:pt>
                <c:pt idx="47">
                  <c:v>40694</c:v>
                </c:pt>
                <c:pt idx="48">
                  <c:v>40724</c:v>
                </c:pt>
                <c:pt idx="49">
                  <c:v>40755</c:v>
                </c:pt>
                <c:pt idx="50">
                  <c:v>40786</c:v>
                </c:pt>
                <c:pt idx="51">
                  <c:v>40816</c:v>
                </c:pt>
                <c:pt idx="52">
                  <c:v>40847</c:v>
                </c:pt>
                <c:pt idx="53">
                  <c:v>40877</c:v>
                </c:pt>
                <c:pt idx="54">
                  <c:v>40908</c:v>
                </c:pt>
                <c:pt idx="55">
                  <c:v>40968</c:v>
                </c:pt>
                <c:pt idx="56">
                  <c:v>40999</c:v>
                </c:pt>
                <c:pt idx="57">
                  <c:v>41029</c:v>
                </c:pt>
                <c:pt idx="58">
                  <c:v>41060</c:v>
                </c:pt>
                <c:pt idx="59">
                  <c:v>41090</c:v>
                </c:pt>
                <c:pt idx="60">
                  <c:v>41121</c:v>
                </c:pt>
                <c:pt idx="61">
                  <c:v>41152</c:v>
                </c:pt>
                <c:pt idx="62">
                  <c:v>41182</c:v>
                </c:pt>
                <c:pt idx="63">
                  <c:v>41213</c:v>
                </c:pt>
                <c:pt idx="64">
                  <c:v>41243</c:v>
                </c:pt>
                <c:pt idx="65">
                  <c:v>41274</c:v>
                </c:pt>
                <c:pt idx="66">
                  <c:v>41333</c:v>
                </c:pt>
                <c:pt idx="67">
                  <c:v>41364</c:v>
                </c:pt>
                <c:pt idx="68">
                  <c:v>41394</c:v>
                </c:pt>
                <c:pt idx="69">
                  <c:v>41425</c:v>
                </c:pt>
                <c:pt idx="70">
                  <c:v>41455</c:v>
                </c:pt>
                <c:pt idx="71">
                  <c:v>41486</c:v>
                </c:pt>
                <c:pt idx="72">
                  <c:v>41517</c:v>
                </c:pt>
                <c:pt idx="73">
                  <c:v>41518</c:v>
                </c:pt>
              </c:numCache>
            </c:numRef>
          </c:cat>
          <c:val>
            <c:numRef>
              <c:f>'Sheet1 (3)'!$G$14:$G$87</c:f>
              <c:numCache>
                <c:formatCode>#,##0.0_ </c:formatCode>
                <c:ptCount val="74"/>
                <c:pt idx="0" formatCode="###,###,###,###,##0.00_ ">
                  <c:v>3330.54</c:v>
                </c:pt>
                <c:pt idx="1">
                  <c:v>2861.6499999999987</c:v>
                </c:pt>
                <c:pt idx="2">
                  <c:v>2519.38</c:v>
                </c:pt>
                <c:pt idx="3">
                  <c:v>2485.3000000000011</c:v>
                </c:pt>
                <c:pt idx="4">
                  <c:v>3673.7899999999877</c:v>
                </c:pt>
                <c:pt idx="5">
                  <c:v>3068.82</c:v>
                </c:pt>
                <c:pt idx="6">
                  <c:v>2895.1700000000019</c:v>
                </c:pt>
                <c:pt idx="7">
                  <c:v>3601.9699999999957</c:v>
                </c:pt>
                <c:pt idx="8">
                  <c:v>3698.130000000001</c:v>
                </c:pt>
                <c:pt idx="9">
                  <c:v>4926.4599999999991</c:v>
                </c:pt>
                <c:pt idx="10">
                  <c:v>27545.47</c:v>
                </c:pt>
                <c:pt idx="11" formatCode="###,###,###,###,##0.00_ ">
                  <c:v>4381.6500000000024</c:v>
                </c:pt>
                <c:pt idx="12">
                  <c:v>3474.2000000000007</c:v>
                </c:pt>
                <c:pt idx="13">
                  <c:v>2555.1800000000003</c:v>
                </c:pt>
                <c:pt idx="14">
                  <c:v>2822.1899999999987</c:v>
                </c:pt>
                <c:pt idx="15">
                  <c:v>3687.0599999999995</c:v>
                </c:pt>
                <c:pt idx="16">
                  <c:v>3462.1100000000006</c:v>
                </c:pt>
                <c:pt idx="17">
                  <c:v>2989.0600000000013</c:v>
                </c:pt>
                <c:pt idx="18">
                  <c:v>3433.2099999999987</c:v>
                </c:pt>
                <c:pt idx="19">
                  <c:v>3887.0299999999988</c:v>
                </c:pt>
                <c:pt idx="20">
                  <c:v>4392.5400000000045</c:v>
                </c:pt>
                <c:pt idx="21">
                  <c:v>31460.57</c:v>
                </c:pt>
                <c:pt idx="22" formatCode="###,###,###,###,##0.00_ ">
                  <c:v>5650.57</c:v>
                </c:pt>
                <c:pt idx="23">
                  <c:v>4271.76</c:v>
                </c:pt>
                <c:pt idx="24">
                  <c:v>3308.6399999999994</c:v>
                </c:pt>
                <c:pt idx="25">
                  <c:v>2987.8200000000015</c:v>
                </c:pt>
                <c:pt idx="26">
                  <c:v>4449.68</c:v>
                </c:pt>
                <c:pt idx="27">
                  <c:v>4729.7799999999988</c:v>
                </c:pt>
                <c:pt idx="28">
                  <c:v>3824.4900000000016</c:v>
                </c:pt>
                <c:pt idx="29">
                  <c:v>4179.01</c:v>
                </c:pt>
                <c:pt idx="30">
                  <c:v>4269.6900000000023</c:v>
                </c:pt>
                <c:pt idx="31">
                  <c:v>6577.4299999999994</c:v>
                </c:pt>
                <c:pt idx="32">
                  <c:v>28428.529999999992</c:v>
                </c:pt>
                <c:pt idx="33" formatCode="###,###,###,###,##0.00_ ">
                  <c:v>6100.87</c:v>
                </c:pt>
                <c:pt idx="34">
                  <c:v>5016.09</c:v>
                </c:pt>
                <c:pt idx="35">
                  <c:v>3903.1000000000004</c:v>
                </c:pt>
                <c:pt idx="36">
                  <c:v>4138.0500000000011</c:v>
                </c:pt>
                <c:pt idx="37">
                  <c:v>5265.4599999999991</c:v>
                </c:pt>
                <c:pt idx="38">
                  <c:v>4179.91</c:v>
                </c:pt>
                <c:pt idx="39">
                  <c:v>3744.1100000000006</c:v>
                </c:pt>
                <c:pt idx="40">
                  <c:v>4527.3700000000008</c:v>
                </c:pt>
                <c:pt idx="41">
                  <c:v>5091.42</c:v>
                </c:pt>
                <c:pt idx="42">
                  <c:v>6531.010000000002</c:v>
                </c:pt>
                <c:pt idx="43">
                  <c:v>30246.509999999904</c:v>
                </c:pt>
                <c:pt idx="44" formatCode="###,###,###,###,##0.00_ ">
                  <c:v>6951.52</c:v>
                </c:pt>
                <c:pt idx="45">
                  <c:v>5879.99</c:v>
                </c:pt>
                <c:pt idx="46">
                  <c:v>4295.4600000000009</c:v>
                </c:pt>
                <c:pt idx="47">
                  <c:v>4493.5399999999972</c:v>
                </c:pt>
                <c:pt idx="48">
                  <c:v>5937.52</c:v>
                </c:pt>
                <c:pt idx="49">
                  <c:v>4887.4000000000015</c:v>
                </c:pt>
                <c:pt idx="50">
                  <c:v>4649.5500000000029</c:v>
                </c:pt>
                <c:pt idx="51">
                  <c:v>6361</c:v>
                </c:pt>
                <c:pt idx="52">
                  <c:v>6264.6900000000014</c:v>
                </c:pt>
                <c:pt idx="53">
                  <c:v>9605.5</c:v>
                </c:pt>
                <c:pt idx="54">
                  <c:v>33293.774100000002</c:v>
                </c:pt>
                <c:pt idx="55" formatCode="###,###,###,###,##0.00_ ">
                  <c:v>10093.9184</c:v>
                </c:pt>
                <c:pt idx="56">
                  <c:v>7786.4769999999999</c:v>
                </c:pt>
                <c:pt idx="57">
                  <c:v>4415.4712999999974</c:v>
                </c:pt>
                <c:pt idx="58">
                  <c:v>5009.6494000000021</c:v>
                </c:pt>
                <c:pt idx="59">
                  <c:v>5953.2899000000007</c:v>
                </c:pt>
                <c:pt idx="60">
                  <c:v>5349.1145000000033</c:v>
                </c:pt>
                <c:pt idx="61">
                  <c:v>5994.9518000000025</c:v>
                </c:pt>
                <c:pt idx="62">
                  <c:v>5963.7483999999968</c:v>
                </c:pt>
                <c:pt idx="63">
                  <c:v>7750.4681</c:v>
                </c:pt>
                <c:pt idx="64">
                  <c:v>9388.9131999999536</c:v>
                </c:pt>
                <c:pt idx="65">
                  <c:v>31718.956400000021</c:v>
                </c:pt>
                <c:pt idx="66" formatCode="###,###,###,###,##0.00_ ">
                  <c:v>13524.4388</c:v>
                </c:pt>
                <c:pt idx="67">
                  <c:v>5948.9664000000012</c:v>
                </c:pt>
                <c:pt idx="68">
                  <c:v>4285.4915000000001</c:v>
                </c:pt>
                <c:pt idx="69">
                  <c:v>4986.1685000000034</c:v>
                </c:pt>
                <c:pt idx="70">
                  <c:v>6601.0017000000007</c:v>
                </c:pt>
                <c:pt idx="71">
                  <c:v>6296.6461000000054</c:v>
                </c:pt>
                <c:pt idx="72">
                  <c:v>5006.9496000000008</c:v>
                </c:pt>
                <c:pt idx="73">
                  <c:v>6055.95</c:v>
                </c:pt>
              </c:numCache>
            </c:numRef>
          </c:val>
        </c:ser>
        <c:gapWidth val="75"/>
        <c:axId val="344510464"/>
        <c:axId val="344512000"/>
      </c:barChart>
      <c:lineChart>
        <c:grouping val="standard"/>
        <c:ser>
          <c:idx val="1"/>
          <c:order val="1"/>
          <c:tx>
            <c:strRef>
              <c:f>'Sheet1 (3)'!$H$13</c:f>
              <c:strCache>
                <c:ptCount val="1"/>
                <c:pt idx="0">
                  <c:v>同比变化</c:v>
                </c:pt>
              </c:strCache>
            </c:strRef>
          </c:tx>
          <c:marker>
            <c:symbol val="none"/>
          </c:marker>
          <c:cat>
            <c:numRef>
              <c:f>'Sheet1 (3)'!$E$14:$E$87</c:f>
              <c:numCache>
                <c:formatCode>yyyy\-mm;@</c:formatCode>
                <c:ptCount val="74"/>
                <c:pt idx="0">
                  <c:v>39141</c:v>
                </c:pt>
                <c:pt idx="1">
                  <c:v>39172</c:v>
                </c:pt>
                <c:pt idx="2">
                  <c:v>39202</c:v>
                </c:pt>
                <c:pt idx="3">
                  <c:v>39233</c:v>
                </c:pt>
                <c:pt idx="4">
                  <c:v>39263</c:v>
                </c:pt>
                <c:pt idx="5">
                  <c:v>39294</c:v>
                </c:pt>
                <c:pt idx="6">
                  <c:v>39325</c:v>
                </c:pt>
                <c:pt idx="7">
                  <c:v>39355</c:v>
                </c:pt>
                <c:pt idx="8">
                  <c:v>39386</c:v>
                </c:pt>
                <c:pt idx="9">
                  <c:v>39416</c:v>
                </c:pt>
                <c:pt idx="10">
                  <c:v>39447</c:v>
                </c:pt>
                <c:pt idx="11">
                  <c:v>39507</c:v>
                </c:pt>
                <c:pt idx="12">
                  <c:v>39538</c:v>
                </c:pt>
                <c:pt idx="13">
                  <c:v>39568</c:v>
                </c:pt>
                <c:pt idx="14">
                  <c:v>39599</c:v>
                </c:pt>
                <c:pt idx="15">
                  <c:v>39629</c:v>
                </c:pt>
                <c:pt idx="16">
                  <c:v>39660</c:v>
                </c:pt>
                <c:pt idx="17">
                  <c:v>39691</c:v>
                </c:pt>
                <c:pt idx="18">
                  <c:v>39721</c:v>
                </c:pt>
                <c:pt idx="19">
                  <c:v>39752</c:v>
                </c:pt>
                <c:pt idx="20">
                  <c:v>39782</c:v>
                </c:pt>
                <c:pt idx="21">
                  <c:v>39813</c:v>
                </c:pt>
                <c:pt idx="22">
                  <c:v>39872</c:v>
                </c:pt>
                <c:pt idx="23">
                  <c:v>39903</c:v>
                </c:pt>
                <c:pt idx="24">
                  <c:v>39933</c:v>
                </c:pt>
                <c:pt idx="25">
                  <c:v>39964</c:v>
                </c:pt>
                <c:pt idx="26">
                  <c:v>39994</c:v>
                </c:pt>
                <c:pt idx="27">
                  <c:v>40025</c:v>
                </c:pt>
                <c:pt idx="28">
                  <c:v>40056</c:v>
                </c:pt>
                <c:pt idx="29">
                  <c:v>40086</c:v>
                </c:pt>
                <c:pt idx="30">
                  <c:v>40117</c:v>
                </c:pt>
                <c:pt idx="31">
                  <c:v>40147</c:v>
                </c:pt>
                <c:pt idx="32">
                  <c:v>40178</c:v>
                </c:pt>
                <c:pt idx="33">
                  <c:v>40237</c:v>
                </c:pt>
                <c:pt idx="34">
                  <c:v>40268</c:v>
                </c:pt>
                <c:pt idx="35">
                  <c:v>40298</c:v>
                </c:pt>
                <c:pt idx="36">
                  <c:v>40329</c:v>
                </c:pt>
                <c:pt idx="37">
                  <c:v>40359</c:v>
                </c:pt>
                <c:pt idx="38">
                  <c:v>40390</c:v>
                </c:pt>
                <c:pt idx="39">
                  <c:v>40421</c:v>
                </c:pt>
                <c:pt idx="40">
                  <c:v>40451</c:v>
                </c:pt>
                <c:pt idx="41">
                  <c:v>40482</c:v>
                </c:pt>
                <c:pt idx="42">
                  <c:v>40512</c:v>
                </c:pt>
                <c:pt idx="43">
                  <c:v>40543</c:v>
                </c:pt>
                <c:pt idx="44">
                  <c:v>40602</c:v>
                </c:pt>
                <c:pt idx="45">
                  <c:v>40633</c:v>
                </c:pt>
                <c:pt idx="46">
                  <c:v>40663</c:v>
                </c:pt>
                <c:pt idx="47">
                  <c:v>40694</c:v>
                </c:pt>
                <c:pt idx="48">
                  <c:v>40724</c:v>
                </c:pt>
                <c:pt idx="49">
                  <c:v>40755</c:v>
                </c:pt>
                <c:pt idx="50">
                  <c:v>40786</c:v>
                </c:pt>
                <c:pt idx="51">
                  <c:v>40816</c:v>
                </c:pt>
                <c:pt idx="52">
                  <c:v>40847</c:v>
                </c:pt>
                <c:pt idx="53">
                  <c:v>40877</c:v>
                </c:pt>
                <c:pt idx="54">
                  <c:v>40908</c:v>
                </c:pt>
                <c:pt idx="55">
                  <c:v>40968</c:v>
                </c:pt>
                <c:pt idx="56">
                  <c:v>40999</c:v>
                </c:pt>
                <c:pt idx="57">
                  <c:v>41029</c:v>
                </c:pt>
                <c:pt idx="58">
                  <c:v>41060</c:v>
                </c:pt>
                <c:pt idx="59">
                  <c:v>41090</c:v>
                </c:pt>
                <c:pt idx="60">
                  <c:v>41121</c:v>
                </c:pt>
                <c:pt idx="61">
                  <c:v>41152</c:v>
                </c:pt>
                <c:pt idx="62">
                  <c:v>41182</c:v>
                </c:pt>
                <c:pt idx="63">
                  <c:v>41213</c:v>
                </c:pt>
                <c:pt idx="64">
                  <c:v>41243</c:v>
                </c:pt>
                <c:pt idx="65">
                  <c:v>41274</c:v>
                </c:pt>
                <c:pt idx="66">
                  <c:v>41333</c:v>
                </c:pt>
                <c:pt idx="67">
                  <c:v>41364</c:v>
                </c:pt>
                <c:pt idx="68">
                  <c:v>41394</c:v>
                </c:pt>
                <c:pt idx="69">
                  <c:v>41425</c:v>
                </c:pt>
                <c:pt idx="70">
                  <c:v>41455</c:v>
                </c:pt>
                <c:pt idx="71">
                  <c:v>41486</c:v>
                </c:pt>
                <c:pt idx="72">
                  <c:v>41517</c:v>
                </c:pt>
                <c:pt idx="73">
                  <c:v>41518</c:v>
                </c:pt>
              </c:numCache>
            </c:numRef>
          </c:cat>
          <c:val>
            <c:numRef>
              <c:f>'Sheet1 (3)'!$H$14:$H$87</c:f>
              <c:numCache>
                <c:formatCode>0.00%</c:formatCode>
                <c:ptCount val="74"/>
                <c:pt idx="0">
                  <c:v>-1.1228016007790189E-2</c:v>
                </c:pt>
                <c:pt idx="1">
                  <c:v>0.2502839916113247</c:v>
                </c:pt>
                <c:pt idx="2">
                  <c:v>0.12889609807681959</c:v>
                </c:pt>
                <c:pt idx="3">
                  <c:v>0.1582268452497467</c:v>
                </c:pt>
                <c:pt idx="4">
                  <c:v>9.4621329948573876E-2</c:v>
                </c:pt>
                <c:pt idx="5">
                  <c:v>4.9998460322511144E-2</c:v>
                </c:pt>
                <c:pt idx="6">
                  <c:v>0.11106122182694612</c:v>
                </c:pt>
                <c:pt idx="7">
                  <c:v>0.16361868395633541</c:v>
                </c:pt>
                <c:pt idx="8">
                  <c:v>-2.0534158266369042E-2</c:v>
                </c:pt>
                <c:pt idx="9">
                  <c:v>5.2435265038955473E-2</c:v>
                </c:pt>
                <c:pt idx="10">
                  <c:v>8.620268129160695E-2</c:v>
                </c:pt>
                <c:pt idx="11">
                  <c:v>0.31559747068043031</c:v>
                </c:pt>
                <c:pt idx="12">
                  <c:v>0.21405482850802898</c:v>
                </c:pt>
                <c:pt idx="13">
                  <c:v>1.4209845279394208E-2</c:v>
                </c:pt>
                <c:pt idx="14">
                  <c:v>0.13555305194543821</c:v>
                </c:pt>
                <c:pt idx="15">
                  <c:v>3.612073635128965E-3</c:v>
                </c:pt>
                <c:pt idx="16">
                  <c:v>0.12815675080324063</c:v>
                </c:pt>
                <c:pt idx="17">
                  <c:v>3.2429874584221322E-2</c:v>
                </c:pt>
                <c:pt idx="18">
                  <c:v>-4.685213924602355E-2</c:v>
                </c:pt>
                <c:pt idx="19">
                  <c:v>5.1079870096507607E-2</c:v>
                </c:pt>
                <c:pt idx="20">
                  <c:v>-0.10837802397664772</c:v>
                </c:pt>
                <c:pt idx="21">
                  <c:v>0.14213226349014921</c:v>
                </c:pt>
                <c:pt idx="22">
                  <c:v>0.28959866716876287</c:v>
                </c:pt>
                <c:pt idx="23">
                  <c:v>0.22956651891082819</c:v>
                </c:pt>
                <c:pt idx="24">
                  <c:v>0.29487550779201654</c:v>
                </c:pt>
                <c:pt idx="25">
                  <c:v>5.8688465340747072E-2</c:v>
                </c:pt>
                <c:pt idx="26">
                  <c:v>0.20683688358746727</c:v>
                </c:pt>
                <c:pt idx="27">
                  <c:v>0.36615532146581081</c:v>
                </c:pt>
                <c:pt idx="28">
                  <c:v>0.27949589503054612</c:v>
                </c:pt>
                <c:pt idx="29">
                  <c:v>0.21723110441831456</c:v>
                </c:pt>
                <c:pt idx="30">
                  <c:v>9.8445342588044729E-2</c:v>
                </c:pt>
                <c:pt idx="31">
                  <c:v>0.49740924385435348</c:v>
                </c:pt>
                <c:pt idx="32">
                  <c:v>-9.6375876215847645E-2</c:v>
                </c:pt>
                <c:pt idx="33">
                  <c:v>7.9691075413630894E-2</c:v>
                </c:pt>
                <c:pt idx="34">
                  <c:v>0.17424433956963981</c:v>
                </c:pt>
                <c:pt idx="35">
                  <c:v>0.17966898786208368</c:v>
                </c:pt>
                <c:pt idx="36">
                  <c:v>0.38497299034078619</c:v>
                </c:pt>
                <c:pt idx="37">
                  <c:v>0.18333453192139712</c:v>
                </c:pt>
                <c:pt idx="38">
                  <c:v>-0.11625699292567512</c:v>
                </c:pt>
                <c:pt idx="39">
                  <c:v>-2.1017181375817685E-2</c:v>
                </c:pt>
                <c:pt idx="40">
                  <c:v>8.3359455947700764E-2</c:v>
                </c:pt>
                <c:pt idx="41">
                  <c:v>0.19245659520948719</c:v>
                </c:pt>
                <c:pt idx="42">
                  <c:v>-7.0574677343579924E-3</c:v>
                </c:pt>
                <c:pt idx="43">
                  <c:v>6.3949138418342488E-2</c:v>
                </c:pt>
                <c:pt idx="44">
                  <c:v>0.13943093362094294</c:v>
                </c:pt>
                <c:pt idx="45">
                  <c:v>0.17222577744817189</c:v>
                </c:pt>
                <c:pt idx="46">
                  <c:v>0.10052522354026361</c:v>
                </c:pt>
                <c:pt idx="47">
                  <c:v>8.5907613489444534E-2</c:v>
                </c:pt>
                <c:pt idx="48">
                  <c:v>0.12763557220071842</c:v>
                </c:pt>
                <c:pt idx="49">
                  <c:v>0.16925962520724169</c:v>
                </c:pt>
                <c:pt idx="50">
                  <c:v>0.24183050177478818</c:v>
                </c:pt>
                <c:pt idx="51">
                  <c:v>0.40500997267729438</c:v>
                </c:pt>
                <c:pt idx="52">
                  <c:v>0.23044062363741299</c:v>
                </c:pt>
                <c:pt idx="53">
                  <c:v>0.47075260947387881</c:v>
                </c:pt>
                <c:pt idx="54">
                  <c:v>0.10074762675098722</c:v>
                </c:pt>
                <c:pt idx="55">
                  <c:v>0.45204479020415805</c:v>
                </c:pt>
                <c:pt idx="56">
                  <c:v>0.32423303440992263</c:v>
                </c:pt>
                <c:pt idx="57">
                  <c:v>2.7939103146111612E-2</c:v>
                </c:pt>
                <c:pt idx="58">
                  <c:v>0.11485585974532438</c:v>
                </c:pt>
                <c:pt idx="59">
                  <c:v>2.6559742114545728E-3</c:v>
                </c:pt>
                <c:pt idx="60">
                  <c:v>9.4470372795351726E-2</c:v>
                </c:pt>
                <c:pt idx="61">
                  <c:v>0.28936172317751313</c:v>
                </c:pt>
                <c:pt idx="62">
                  <c:v>-6.2451124037101929E-2</c:v>
                </c:pt>
                <c:pt idx="63">
                  <c:v>0.23716705854559544</c:v>
                </c:pt>
                <c:pt idx="64">
                  <c:v>-2.2548206756546205E-2</c:v>
                </c:pt>
                <c:pt idx="65">
                  <c:v>-4.7300666342899984E-2</c:v>
                </c:pt>
                <c:pt idx="66">
                  <c:v>0.33986012805493088</c:v>
                </c:pt>
                <c:pt idx="67">
                  <c:v>-0.23598741767297413</c:v>
                </c:pt>
                <c:pt idx="68">
                  <c:v>-2.9437355871840487E-2</c:v>
                </c:pt>
                <c:pt idx="69">
                  <c:v>-4.6871343930779356E-3</c:v>
                </c:pt>
                <c:pt idx="70">
                  <c:v>0.10879896844936132</c:v>
                </c:pt>
                <c:pt idx="71">
                  <c:v>0.17713802910743554</c:v>
                </c:pt>
                <c:pt idx="72">
                  <c:v>-0.16480569535187958</c:v>
                </c:pt>
                <c:pt idx="73">
                  <c:v>1.5460343699275358E-2</c:v>
                </c:pt>
              </c:numCache>
            </c:numRef>
          </c:val>
        </c:ser>
        <c:marker val="1"/>
        <c:axId val="345162496"/>
        <c:axId val="344513536"/>
      </c:lineChart>
      <c:dateAx>
        <c:axId val="344510464"/>
        <c:scaling>
          <c:orientation val="minMax"/>
        </c:scaling>
        <c:axPos val="b"/>
        <c:numFmt formatCode="yyyy\-mm;@" sourceLinked="1"/>
        <c:majorTickMark val="none"/>
        <c:tickLblPos val="nextTo"/>
        <c:crossAx val="344512000"/>
        <c:crosses val="autoZero"/>
        <c:auto val="1"/>
        <c:lblOffset val="100"/>
      </c:dateAx>
      <c:valAx>
        <c:axId val="344512000"/>
        <c:scaling>
          <c:orientation val="minMax"/>
        </c:scaling>
        <c:axPos val="l"/>
        <c:numFmt formatCode="###,###,###,###,##0.00_ " sourceLinked="1"/>
        <c:majorTickMark val="none"/>
        <c:tickLblPos val="nextTo"/>
        <c:txPr>
          <a:bodyPr/>
          <a:lstStyle/>
          <a:p>
            <a:pPr>
              <a:defRPr sz="900" baseline="0"/>
            </a:pPr>
            <a:endParaRPr lang="zh-CN"/>
          </a:p>
        </c:txPr>
        <c:crossAx val="344510464"/>
        <c:crosses val="autoZero"/>
        <c:crossBetween val="between"/>
      </c:valAx>
      <c:valAx>
        <c:axId val="344513536"/>
        <c:scaling>
          <c:orientation val="minMax"/>
        </c:scaling>
        <c:axPos val="r"/>
        <c:numFmt formatCode="0.00%" sourceLinked="1"/>
        <c:tickLblPos val="nextTo"/>
        <c:crossAx val="345162496"/>
        <c:crosses val="max"/>
        <c:crossBetween val="between"/>
      </c:valAx>
      <c:dateAx>
        <c:axId val="345162496"/>
        <c:scaling>
          <c:orientation val="minMax"/>
        </c:scaling>
        <c:delete val="1"/>
        <c:axPos val="b"/>
        <c:numFmt formatCode="yyyy\-mm;@" sourceLinked="1"/>
        <c:tickLblPos val="none"/>
        <c:crossAx val="344513536"/>
        <c:crosses val="autoZero"/>
        <c:auto val="1"/>
        <c:lblOffset val="100"/>
      </c:dateAx>
    </c:plotArea>
    <c:legend>
      <c:legendPos val="b"/>
    </c:legend>
    <c:plotVisOnly val="1"/>
    <c:dispBlanksAs val="gap"/>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zh-CN"/>
  <c:chart>
    <c:plotArea>
      <c:layout/>
      <c:barChart>
        <c:barDir val="col"/>
        <c:grouping val="clustered"/>
        <c:ser>
          <c:idx val="0"/>
          <c:order val="0"/>
          <c:tx>
            <c:strRef>
              <c:f>'Sheet1 (4)'!$B$13</c:f>
              <c:strCache>
                <c:ptCount val="1"/>
                <c:pt idx="0">
                  <c:v>房地产开发投资完成额</c:v>
                </c:pt>
              </c:strCache>
            </c:strRef>
          </c:tx>
          <c:cat>
            <c:numRef>
              <c:f>'Sheet1 (4)'!$A$14:$A$87</c:f>
              <c:numCache>
                <c:formatCode>yyyy\-mm;@</c:formatCode>
                <c:ptCount val="74"/>
                <c:pt idx="0">
                  <c:v>39141</c:v>
                </c:pt>
                <c:pt idx="1">
                  <c:v>39172</c:v>
                </c:pt>
                <c:pt idx="2">
                  <c:v>39202</c:v>
                </c:pt>
                <c:pt idx="3">
                  <c:v>39233</c:v>
                </c:pt>
                <c:pt idx="4">
                  <c:v>39263</c:v>
                </c:pt>
                <c:pt idx="5">
                  <c:v>39294</c:v>
                </c:pt>
                <c:pt idx="6">
                  <c:v>39325</c:v>
                </c:pt>
                <c:pt idx="7">
                  <c:v>39355</c:v>
                </c:pt>
                <c:pt idx="8">
                  <c:v>39386</c:v>
                </c:pt>
                <c:pt idx="9">
                  <c:v>39416</c:v>
                </c:pt>
                <c:pt idx="10">
                  <c:v>39447</c:v>
                </c:pt>
                <c:pt idx="11">
                  <c:v>39507</c:v>
                </c:pt>
                <c:pt idx="12">
                  <c:v>39538</c:v>
                </c:pt>
                <c:pt idx="13">
                  <c:v>39568</c:v>
                </c:pt>
                <c:pt idx="14">
                  <c:v>39599</c:v>
                </c:pt>
                <c:pt idx="15">
                  <c:v>39629</c:v>
                </c:pt>
                <c:pt idx="16">
                  <c:v>39660</c:v>
                </c:pt>
                <c:pt idx="17">
                  <c:v>39691</c:v>
                </c:pt>
                <c:pt idx="18">
                  <c:v>39721</c:v>
                </c:pt>
                <c:pt idx="19">
                  <c:v>39752</c:v>
                </c:pt>
                <c:pt idx="20">
                  <c:v>39782</c:v>
                </c:pt>
                <c:pt idx="21">
                  <c:v>39813</c:v>
                </c:pt>
                <c:pt idx="22">
                  <c:v>39872</c:v>
                </c:pt>
                <c:pt idx="23">
                  <c:v>39903</c:v>
                </c:pt>
                <c:pt idx="24">
                  <c:v>39933</c:v>
                </c:pt>
                <c:pt idx="25">
                  <c:v>39964</c:v>
                </c:pt>
                <c:pt idx="26">
                  <c:v>39994</c:v>
                </c:pt>
                <c:pt idx="27">
                  <c:v>40025</c:v>
                </c:pt>
                <c:pt idx="28">
                  <c:v>40056</c:v>
                </c:pt>
                <c:pt idx="29">
                  <c:v>40086</c:v>
                </c:pt>
                <c:pt idx="30">
                  <c:v>40117</c:v>
                </c:pt>
                <c:pt idx="31">
                  <c:v>40147</c:v>
                </c:pt>
                <c:pt idx="32">
                  <c:v>40178</c:v>
                </c:pt>
                <c:pt idx="33">
                  <c:v>40237</c:v>
                </c:pt>
                <c:pt idx="34">
                  <c:v>40268</c:v>
                </c:pt>
                <c:pt idx="35">
                  <c:v>40298</c:v>
                </c:pt>
                <c:pt idx="36">
                  <c:v>40329</c:v>
                </c:pt>
                <c:pt idx="37">
                  <c:v>40359</c:v>
                </c:pt>
                <c:pt idx="38">
                  <c:v>40390</c:v>
                </c:pt>
                <c:pt idx="39">
                  <c:v>40421</c:v>
                </c:pt>
                <c:pt idx="40">
                  <c:v>40451</c:v>
                </c:pt>
                <c:pt idx="41">
                  <c:v>40482</c:v>
                </c:pt>
                <c:pt idx="42">
                  <c:v>40512</c:v>
                </c:pt>
                <c:pt idx="43">
                  <c:v>40543</c:v>
                </c:pt>
                <c:pt idx="44">
                  <c:v>40602</c:v>
                </c:pt>
                <c:pt idx="45">
                  <c:v>40633</c:v>
                </c:pt>
                <c:pt idx="46">
                  <c:v>40663</c:v>
                </c:pt>
                <c:pt idx="47">
                  <c:v>40694</c:v>
                </c:pt>
                <c:pt idx="48">
                  <c:v>40724</c:v>
                </c:pt>
                <c:pt idx="49">
                  <c:v>40755</c:v>
                </c:pt>
                <c:pt idx="50">
                  <c:v>40786</c:v>
                </c:pt>
                <c:pt idx="51">
                  <c:v>40816</c:v>
                </c:pt>
                <c:pt idx="52">
                  <c:v>40847</c:v>
                </c:pt>
                <c:pt idx="53">
                  <c:v>40877</c:v>
                </c:pt>
                <c:pt idx="54">
                  <c:v>40908</c:v>
                </c:pt>
                <c:pt idx="55">
                  <c:v>40968</c:v>
                </c:pt>
                <c:pt idx="56">
                  <c:v>40999</c:v>
                </c:pt>
                <c:pt idx="57">
                  <c:v>41029</c:v>
                </c:pt>
                <c:pt idx="58">
                  <c:v>41060</c:v>
                </c:pt>
                <c:pt idx="59">
                  <c:v>41090</c:v>
                </c:pt>
                <c:pt idx="60">
                  <c:v>41121</c:v>
                </c:pt>
                <c:pt idx="61">
                  <c:v>41152</c:v>
                </c:pt>
                <c:pt idx="62">
                  <c:v>41182</c:v>
                </c:pt>
                <c:pt idx="63">
                  <c:v>41213</c:v>
                </c:pt>
                <c:pt idx="64">
                  <c:v>41243</c:v>
                </c:pt>
                <c:pt idx="65">
                  <c:v>41274</c:v>
                </c:pt>
                <c:pt idx="66">
                  <c:v>41333</c:v>
                </c:pt>
                <c:pt idx="67">
                  <c:v>41364</c:v>
                </c:pt>
                <c:pt idx="68">
                  <c:v>41394</c:v>
                </c:pt>
                <c:pt idx="69">
                  <c:v>41425</c:v>
                </c:pt>
                <c:pt idx="70">
                  <c:v>41455</c:v>
                </c:pt>
                <c:pt idx="71">
                  <c:v>41486</c:v>
                </c:pt>
                <c:pt idx="72">
                  <c:v>41517</c:v>
                </c:pt>
                <c:pt idx="73">
                  <c:v>41518</c:v>
                </c:pt>
              </c:numCache>
            </c:numRef>
          </c:cat>
          <c:val>
            <c:numRef>
              <c:f>'Sheet1 (4)'!$B$14:$B$87</c:f>
              <c:numCache>
                <c:formatCode>0.00_);[Red]\(0.00\)</c:formatCode>
                <c:ptCount val="74"/>
                <c:pt idx="0" formatCode="###,###,###,###,##0.00_ ">
                  <c:v>1785.6599999999999</c:v>
                </c:pt>
                <c:pt idx="1">
                  <c:v>1758.12</c:v>
                </c:pt>
                <c:pt idx="2">
                  <c:v>1720.8299999999995</c:v>
                </c:pt>
                <c:pt idx="3">
                  <c:v>1949.75</c:v>
                </c:pt>
                <c:pt idx="4">
                  <c:v>2672.8700000000022</c:v>
                </c:pt>
                <c:pt idx="5">
                  <c:v>2247.4899999999998</c:v>
                </c:pt>
                <c:pt idx="6">
                  <c:v>2142.0300000000011</c:v>
                </c:pt>
                <c:pt idx="7">
                  <c:v>2537.2999999999993</c:v>
                </c:pt>
                <c:pt idx="8">
                  <c:v>2378.16</c:v>
                </c:pt>
                <c:pt idx="9">
                  <c:v>2439.6700000000019</c:v>
                </c:pt>
                <c:pt idx="10">
                  <c:v>3656.9199999999992</c:v>
                </c:pt>
                <c:pt idx="11" formatCode="###,###,###,###,##0.00_ ">
                  <c:v>2373.7199999999998</c:v>
                </c:pt>
                <c:pt idx="12">
                  <c:v>2314.0300000000002</c:v>
                </c:pt>
                <c:pt idx="13">
                  <c:v>2264.3300000000022</c:v>
                </c:pt>
                <c:pt idx="14">
                  <c:v>2567.2000000000007</c:v>
                </c:pt>
                <c:pt idx="15">
                  <c:v>3676.3899999999994</c:v>
                </c:pt>
                <c:pt idx="16">
                  <c:v>2687.8700000000022</c:v>
                </c:pt>
                <c:pt idx="17">
                  <c:v>2546.4300000000012</c:v>
                </c:pt>
                <c:pt idx="18">
                  <c:v>2847.7199999999957</c:v>
                </c:pt>
                <c:pt idx="19">
                  <c:v>2640.0200000000004</c:v>
                </c:pt>
                <c:pt idx="20">
                  <c:v>2628.0200000000004</c:v>
                </c:pt>
                <c:pt idx="21">
                  <c:v>4657.4699999999993</c:v>
                </c:pt>
                <c:pt idx="22" formatCode="###,###,###,###,##0.00_ ">
                  <c:v>2398.15</c:v>
                </c:pt>
                <c:pt idx="23">
                  <c:v>2482.14</c:v>
                </c:pt>
                <c:pt idx="24">
                  <c:v>2409.6899999999987</c:v>
                </c:pt>
                <c:pt idx="25">
                  <c:v>2777.24</c:v>
                </c:pt>
                <c:pt idx="26">
                  <c:v>4228.1900000000014</c:v>
                </c:pt>
                <c:pt idx="27">
                  <c:v>3096.8899999999994</c:v>
                </c:pt>
                <c:pt idx="28">
                  <c:v>3348.6399999999994</c:v>
                </c:pt>
                <c:pt idx="29">
                  <c:v>3819.0600000000013</c:v>
                </c:pt>
                <c:pt idx="30">
                  <c:v>3326.5800000000017</c:v>
                </c:pt>
                <c:pt idx="31">
                  <c:v>3384.3399999999965</c:v>
                </c:pt>
                <c:pt idx="32">
                  <c:v>4970.8800000000047</c:v>
                </c:pt>
                <c:pt idx="33" formatCode="###,###,###,###,##0.00_ ">
                  <c:v>3143.64</c:v>
                </c:pt>
                <c:pt idx="34">
                  <c:v>3450.8100000000022</c:v>
                </c:pt>
                <c:pt idx="35">
                  <c:v>3337.5999999999995</c:v>
                </c:pt>
                <c:pt idx="36">
                  <c:v>3985.3600000000006</c:v>
                </c:pt>
                <c:pt idx="37">
                  <c:v>5829.7099999999991</c:v>
                </c:pt>
                <c:pt idx="38">
                  <c:v>4117.6500000000024</c:v>
                </c:pt>
                <c:pt idx="39">
                  <c:v>4490.2799999999988</c:v>
                </c:pt>
                <c:pt idx="40">
                  <c:v>5156.2000000000007</c:v>
                </c:pt>
                <c:pt idx="41">
                  <c:v>4558.2699999999995</c:v>
                </c:pt>
                <c:pt idx="42">
                  <c:v>4627.8100000000049</c:v>
                </c:pt>
                <c:pt idx="43">
                  <c:v>5562.07</c:v>
                </c:pt>
                <c:pt idx="44" formatCode="###,###,###,###,##0.00_ ">
                  <c:v>4250.37</c:v>
                </c:pt>
                <c:pt idx="45">
                  <c:v>4595.9900000000007</c:v>
                </c:pt>
                <c:pt idx="46">
                  <c:v>4493.7999999999993</c:v>
                </c:pt>
                <c:pt idx="47">
                  <c:v>5397.07</c:v>
                </c:pt>
                <c:pt idx="48">
                  <c:v>7513.2200000000012</c:v>
                </c:pt>
                <c:pt idx="49">
                  <c:v>5622.58</c:v>
                </c:pt>
                <c:pt idx="50">
                  <c:v>5907.81</c:v>
                </c:pt>
                <c:pt idx="51">
                  <c:v>6444</c:v>
                </c:pt>
                <c:pt idx="52">
                  <c:v>5697.9800000000005</c:v>
                </c:pt>
                <c:pt idx="53">
                  <c:v>5560.2099999999991</c:v>
                </c:pt>
                <c:pt idx="54">
                  <c:v>6313.8700000000026</c:v>
                </c:pt>
                <c:pt idx="55" formatCode="###,###,###,###,##0.00_ ">
                  <c:v>5431.4591</c:v>
                </c:pt>
                <c:pt idx="56">
                  <c:v>5495.7060999999994</c:v>
                </c:pt>
                <c:pt idx="57">
                  <c:v>4908.0215000000044</c:v>
                </c:pt>
                <c:pt idx="58">
                  <c:v>6377.7385000000004</c:v>
                </c:pt>
                <c:pt idx="59">
                  <c:v>8396.903399999981</c:v>
                </c:pt>
                <c:pt idx="60">
                  <c:v>6164.6474999999991</c:v>
                </c:pt>
                <c:pt idx="61">
                  <c:v>6913.4036000000006</c:v>
                </c:pt>
                <c:pt idx="62">
                  <c:v>7358.0457000000015</c:v>
                </c:pt>
                <c:pt idx="63">
                  <c:v>6582.8250000000044</c:v>
                </c:pt>
                <c:pt idx="64">
                  <c:v>7143.6502000000228</c:v>
                </c:pt>
                <c:pt idx="65">
                  <c:v>7031.3863000000056</c:v>
                </c:pt>
                <c:pt idx="66" formatCode="###,###,###,###,##0.00_ ">
                  <c:v>6669.7035000000005</c:v>
                </c:pt>
                <c:pt idx="67">
                  <c:v>6462.8700000000008</c:v>
                </c:pt>
                <c:pt idx="68">
                  <c:v>6047.5676000000003</c:v>
                </c:pt>
                <c:pt idx="69">
                  <c:v>7617.8322000000044</c:v>
                </c:pt>
                <c:pt idx="70">
                  <c:v>10029.961999999943</c:v>
                </c:pt>
                <c:pt idx="71">
                  <c:v>7473.6397000000006</c:v>
                </c:pt>
                <c:pt idx="72">
                  <c:v>7818.1909000000014</c:v>
                </c:pt>
                <c:pt idx="73">
                  <c:v>8999.7815000000046</c:v>
                </c:pt>
              </c:numCache>
            </c:numRef>
          </c:val>
        </c:ser>
        <c:gapWidth val="75"/>
        <c:axId val="346052480"/>
        <c:axId val="346054016"/>
      </c:barChart>
      <c:lineChart>
        <c:grouping val="standard"/>
        <c:ser>
          <c:idx val="1"/>
          <c:order val="1"/>
          <c:tx>
            <c:strRef>
              <c:f>'Sheet1 (4)'!$C$13</c:f>
              <c:strCache>
                <c:ptCount val="1"/>
                <c:pt idx="0">
                  <c:v>同比变化</c:v>
                </c:pt>
              </c:strCache>
            </c:strRef>
          </c:tx>
          <c:marker>
            <c:symbol val="none"/>
          </c:marker>
          <c:cat>
            <c:numRef>
              <c:f>'Sheet1 (4)'!$A$14:$A$87</c:f>
              <c:numCache>
                <c:formatCode>yyyy\-mm;@</c:formatCode>
                <c:ptCount val="74"/>
                <c:pt idx="0">
                  <c:v>39141</c:v>
                </c:pt>
                <c:pt idx="1">
                  <c:v>39172</c:v>
                </c:pt>
                <c:pt idx="2">
                  <c:v>39202</c:v>
                </c:pt>
                <c:pt idx="3">
                  <c:v>39233</c:v>
                </c:pt>
                <c:pt idx="4">
                  <c:v>39263</c:v>
                </c:pt>
                <c:pt idx="5">
                  <c:v>39294</c:v>
                </c:pt>
                <c:pt idx="6">
                  <c:v>39325</c:v>
                </c:pt>
                <c:pt idx="7">
                  <c:v>39355</c:v>
                </c:pt>
                <c:pt idx="8">
                  <c:v>39386</c:v>
                </c:pt>
                <c:pt idx="9">
                  <c:v>39416</c:v>
                </c:pt>
                <c:pt idx="10">
                  <c:v>39447</c:v>
                </c:pt>
                <c:pt idx="11">
                  <c:v>39507</c:v>
                </c:pt>
                <c:pt idx="12">
                  <c:v>39538</c:v>
                </c:pt>
                <c:pt idx="13">
                  <c:v>39568</c:v>
                </c:pt>
                <c:pt idx="14">
                  <c:v>39599</c:v>
                </c:pt>
                <c:pt idx="15">
                  <c:v>39629</c:v>
                </c:pt>
                <c:pt idx="16">
                  <c:v>39660</c:v>
                </c:pt>
                <c:pt idx="17">
                  <c:v>39691</c:v>
                </c:pt>
                <c:pt idx="18">
                  <c:v>39721</c:v>
                </c:pt>
                <c:pt idx="19">
                  <c:v>39752</c:v>
                </c:pt>
                <c:pt idx="20">
                  <c:v>39782</c:v>
                </c:pt>
                <c:pt idx="21">
                  <c:v>39813</c:v>
                </c:pt>
                <c:pt idx="22">
                  <c:v>39872</c:v>
                </c:pt>
                <c:pt idx="23">
                  <c:v>39903</c:v>
                </c:pt>
                <c:pt idx="24">
                  <c:v>39933</c:v>
                </c:pt>
                <c:pt idx="25">
                  <c:v>39964</c:v>
                </c:pt>
                <c:pt idx="26">
                  <c:v>39994</c:v>
                </c:pt>
                <c:pt idx="27">
                  <c:v>40025</c:v>
                </c:pt>
                <c:pt idx="28">
                  <c:v>40056</c:v>
                </c:pt>
                <c:pt idx="29">
                  <c:v>40086</c:v>
                </c:pt>
                <c:pt idx="30">
                  <c:v>40117</c:v>
                </c:pt>
                <c:pt idx="31">
                  <c:v>40147</c:v>
                </c:pt>
                <c:pt idx="32">
                  <c:v>40178</c:v>
                </c:pt>
                <c:pt idx="33">
                  <c:v>40237</c:v>
                </c:pt>
                <c:pt idx="34">
                  <c:v>40268</c:v>
                </c:pt>
                <c:pt idx="35">
                  <c:v>40298</c:v>
                </c:pt>
                <c:pt idx="36">
                  <c:v>40329</c:v>
                </c:pt>
                <c:pt idx="37">
                  <c:v>40359</c:v>
                </c:pt>
                <c:pt idx="38">
                  <c:v>40390</c:v>
                </c:pt>
                <c:pt idx="39">
                  <c:v>40421</c:v>
                </c:pt>
                <c:pt idx="40">
                  <c:v>40451</c:v>
                </c:pt>
                <c:pt idx="41">
                  <c:v>40482</c:v>
                </c:pt>
                <c:pt idx="42">
                  <c:v>40512</c:v>
                </c:pt>
                <c:pt idx="43">
                  <c:v>40543</c:v>
                </c:pt>
                <c:pt idx="44">
                  <c:v>40602</c:v>
                </c:pt>
                <c:pt idx="45">
                  <c:v>40633</c:v>
                </c:pt>
                <c:pt idx="46">
                  <c:v>40663</c:v>
                </c:pt>
                <c:pt idx="47">
                  <c:v>40694</c:v>
                </c:pt>
                <c:pt idx="48">
                  <c:v>40724</c:v>
                </c:pt>
                <c:pt idx="49">
                  <c:v>40755</c:v>
                </c:pt>
                <c:pt idx="50">
                  <c:v>40786</c:v>
                </c:pt>
                <c:pt idx="51">
                  <c:v>40816</c:v>
                </c:pt>
                <c:pt idx="52">
                  <c:v>40847</c:v>
                </c:pt>
                <c:pt idx="53">
                  <c:v>40877</c:v>
                </c:pt>
                <c:pt idx="54">
                  <c:v>40908</c:v>
                </c:pt>
                <c:pt idx="55">
                  <c:v>40968</c:v>
                </c:pt>
                <c:pt idx="56">
                  <c:v>40999</c:v>
                </c:pt>
                <c:pt idx="57">
                  <c:v>41029</c:v>
                </c:pt>
                <c:pt idx="58">
                  <c:v>41060</c:v>
                </c:pt>
                <c:pt idx="59">
                  <c:v>41090</c:v>
                </c:pt>
                <c:pt idx="60">
                  <c:v>41121</c:v>
                </c:pt>
                <c:pt idx="61">
                  <c:v>41152</c:v>
                </c:pt>
                <c:pt idx="62">
                  <c:v>41182</c:v>
                </c:pt>
                <c:pt idx="63">
                  <c:v>41213</c:v>
                </c:pt>
                <c:pt idx="64">
                  <c:v>41243</c:v>
                </c:pt>
                <c:pt idx="65">
                  <c:v>41274</c:v>
                </c:pt>
                <c:pt idx="66">
                  <c:v>41333</c:v>
                </c:pt>
                <c:pt idx="67">
                  <c:v>41364</c:v>
                </c:pt>
                <c:pt idx="68">
                  <c:v>41394</c:v>
                </c:pt>
                <c:pt idx="69">
                  <c:v>41425</c:v>
                </c:pt>
                <c:pt idx="70">
                  <c:v>41455</c:v>
                </c:pt>
                <c:pt idx="71">
                  <c:v>41486</c:v>
                </c:pt>
                <c:pt idx="72">
                  <c:v>41517</c:v>
                </c:pt>
                <c:pt idx="73">
                  <c:v>41518</c:v>
                </c:pt>
              </c:numCache>
            </c:numRef>
          </c:cat>
          <c:val>
            <c:numRef>
              <c:f>'Sheet1 (4)'!$C$14:$C$87</c:f>
              <c:numCache>
                <c:formatCode>0.00%</c:formatCode>
                <c:ptCount val="74"/>
                <c:pt idx="0">
                  <c:v>0.24315819519768367</c:v>
                </c:pt>
                <c:pt idx="1">
                  <c:v>0.29627144637208891</c:v>
                </c:pt>
                <c:pt idx="2">
                  <c:v>0.28590003213199483</c:v>
                </c:pt>
                <c:pt idx="3">
                  <c:v>0.27704238359412331</c:v>
                </c:pt>
                <c:pt idx="4">
                  <c:v>0.31221801650539299</c:v>
                </c:pt>
                <c:pt idx="5">
                  <c:v>0.30905479707376426</c:v>
                </c:pt>
                <c:pt idx="6">
                  <c:v>0.29694235892468063</c:v>
                </c:pt>
                <c:pt idx="7">
                  <c:v>0.37946969820532561</c:v>
                </c:pt>
                <c:pt idx="8">
                  <c:v>0.3922430699880004</c:v>
                </c:pt>
                <c:pt idx="9">
                  <c:v>0.35148295460840684</c:v>
                </c:pt>
                <c:pt idx="10">
                  <c:v>0.21606693336259644</c:v>
                </c:pt>
                <c:pt idx="11">
                  <c:v>0.32932361143778965</c:v>
                </c:pt>
                <c:pt idx="12">
                  <c:v>0.31619570905285405</c:v>
                </c:pt>
                <c:pt idx="13">
                  <c:v>0.31583596287838012</c:v>
                </c:pt>
                <c:pt idx="14">
                  <c:v>0.31668162584947096</c:v>
                </c:pt>
                <c:pt idx="15">
                  <c:v>0.37544661730649265</c:v>
                </c:pt>
                <c:pt idx="16">
                  <c:v>0.19594302977988826</c:v>
                </c:pt>
                <c:pt idx="17">
                  <c:v>0.18879287404938291</c:v>
                </c:pt>
                <c:pt idx="18">
                  <c:v>0.1223426476963695</c:v>
                </c:pt>
                <c:pt idx="19">
                  <c:v>0.11011033740370731</c:v>
                </c:pt>
                <c:pt idx="20">
                  <c:v>7.7203064348866424E-2</c:v>
                </c:pt>
                <c:pt idx="21">
                  <c:v>0.27360456340308331</c:v>
                </c:pt>
                <c:pt idx="22">
                  <c:v>1.02918625617176E-2</c:v>
                </c:pt>
                <c:pt idx="23">
                  <c:v>7.2648150628988967E-2</c:v>
                </c:pt>
                <c:pt idx="24">
                  <c:v>6.4195589865434804E-2</c:v>
                </c:pt>
                <c:pt idx="25">
                  <c:v>8.1816765347460518E-2</c:v>
                </c:pt>
                <c:pt idx="26">
                  <c:v>0.15009289003615059</c:v>
                </c:pt>
                <c:pt idx="27">
                  <c:v>0.15217253810638109</c:v>
                </c:pt>
                <c:pt idx="28">
                  <c:v>0.31503320334743246</c:v>
                </c:pt>
                <c:pt idx="29">
                  <c:v>0.3410939277737996</c:v>
                </c:pt>
                <c:pt idx="30">
                  <c:v>0.26005863591942674</c:v>
                </c:pt>
                <c:pt idx="31">
                  <c:v>0.28779080828912867</c:v>
                </c:pt>
                <c:pt idx="32">
                  <c:v>6.7291898820605073E-2</c:v>
                </c:pt>
                <c:pt idx="33">
                  <c:v>0.31086045493401365</c:v>
                </c:pt>
                <c:pt idx="34">
                  <c:v>0.39025598878387352</c:v>
                </c:pt>
                <c:pt idx="35">
                  <c:v>0.38507442866095015</c:v>
                </c:pt>
                <c:pt idx="36">
                  <c:v>0.43500741743601595</c:v>
                </c:pt>
                <c:pt idx="37">
                  <c:v>0.37877200409631506</c:v>
                </c:pt>
                <c:pt idx="38">
                  <c:v>0.32960809069744496</c:v>
                </c:pt>
                <c:pt idx="39">
                  <c:v>0.34092646566964835</c:v>
                </c:pt>
                <c:pt idx="40">
                  <c:v>0.35012280508816412</c:v>
                </c:pt>
                <c:pt idx="41">
                  <c:v>0.37025714096759865</c:v>
                </c:pt>
                <c:pt idx="42">
                  <c:v>0.3674187581626</c:v>
                </c:pt>
                <c:pt idx="43">
                  <c:v>0.11893065211793374</c:v>
                </c:pt>
                <c:pt idx="44">
                  <c:v>0.35205367026758838</c:v>
                </c:pt>
                <c:pt idx="45">
                  <c:v>0.33185831732260335</c:v>
                </c:pt>
                <c:pt idx="46">
                  <c:v>0.34641658676893688</c:v>
                </c:pt>
                <c:pt idx="47">
                  <c:v>0.35422395969247533</c:v>
                </c:pt>
                <c:pt idx="48">
                  <c:v>0.28878108859617413</c:v>
                </c:pt>
                <c:pt idx="49">
                  <c:v>0.36548273894090216</c:v>
                </c:pt>
                <c:pt idx="50">
                  <c:v>0.31568855394318512</c:v>
                </c:pt>
                <c:pt idx="51">
                  <c:v>0.24975757340677229</c:v>
                </c:pt>
                <c:pt idx="52">
                  <c:v>0.2500312618603126</c:v>
                </c:pt>
                <c:pt idx="53">
                  <c:v>0.20147758875148203</c:v>
                </c:pt>
                <c:pt idx="54">
                  <c:v>0.13516550492892088</c:v>
                </c:pt>
                <c:pt idx="55">
                  <c:v>0.27787912581728336</c:v>
                </c:pt>
                <c:pt idx="56">
                  <c:v>0.19576110914079481</c:v>
                </c:pt>
                <c:pt idx="57">
                  <c:v>9.217622057056421E-2</c:v>
                </c:pt>
                <c:pt idx="58">
                  <c:v>0.1817038689511164</c:v>
                </c:pt>
                <c:pt idx="59">
                  <c:v>0.11761713353262621</c:v>
                </c:pt>
                <c:pt idx="60">
                  <c:v>9.640903286391668E-2</c:v>
                </c:pt>
                <c:pt idx="61">
                  <c:v>0.17021427567914346</c:v>
                </c:pt>
                <c:pt idx="62">
                  <c:v>0.14184445996275644</c:v>
                </c:pt>
                <c:pt idx="63">
                  <c:v>0.15529099786240091</c:v>
                </c:pt>
                <c:pt idx="64">
                  <c:v>0.28478064677413351</c:v>
                </c:pt>
                <c:pt idx="65">
                  <c:v>0.11364128498052772</c:v>
                </c:pt>
                <c:pt idx="66">
                  <c:v>0.22797638299439718</c:v>
                </c:pt>
                <c:pt idx="67">
                  <c:v>0.17598537520046878</c:v>
                </c:pt>
                <c:pt idx="68">
                  <c:v>0.23218033987829975</c:v>
                </c:pt>
                <c:pt idx="69">
                  <c:v>0.19444097621751019</c:v>
                </c:pt>
                <c:pt idx="70">
                  <c:v>0.19448343302365451</c:v>
                </c:pt>
                <c:pt idx="71">
                  <c:v>0.21233853192741428</c:v>
                </c:pt>
                <c:pt idx="72">
                  <c:v>0.13087436411205675</c:v>
                </c:pt>
                <c:pt idx="73">
                  <c:v>0.22312117468908838</c:v>
                </c:pt>
              </c:numCache>
            </c:numRef>
          </c:val>
        </c:ser>
        <c:marker val="1"/>
        <c:axId val="346081920"/>
        <c:axId val="346080384"/>
      </c:lineChart>
      <c:dateAx>
        <c:axId val="346052480"/>
        <c:scaling>
          <c:orientation val="minMax"/>
        </c:scaling>
        <c:axPos val="b"/>
        <c:numFmt formatCode="yyyy\-mm;@" sourceLinked="1"/>
        <c:majorTickMark val="none"/>
        <c:tickLblPos val="nextTo"/>
        <c:txPr>
          <a:bodyPr/>
          <a:lstStyle/>
          <a:p>
            <a:pPr>
              <a:defRPr sz="900" baseline="0"/>
            </a:pPr>
            <a:endParaRPr lang="zh-CN"/>
          </a:p>
        </c:txPr>
        <c:crossAx val="346054016"/>
        <c:crosses val="autoZero"/>
        <c:auto val="1"/>
        <c:lblOffset val="100"/>
        <c:majorUnit val="1"/>
        <c:majorTimeUnit val="years"/>
      </c:dateAx>
      <c:valAx>
        <c:axId val="346054016"/>
        <c:scaling>
          <c:orientation val="minMax"/>
        </c:scaling>
        <c:axPos val="l"/>
        <c:numFmt formatCode="###,###,###,###,##0.00_ " sourceLinked="1"/>
        <c:majorTickMark val="none"/>
        <c:tickLblPos val="nextTo"/>
        <c:txPr>
          <a:bodyPr/>
          <a:lstStyle/>
          <a:p>
            <a:pPr>
              <a:defRPr sz="900" baseline="0"/>
            </a:pPr>
            <a:endParaRPr lang="zh-CN"/>
          </a:p>
        </c:txPr>
        <c:crossAx val="346052480"/>
        <c:crosses val="autoZero"/>
        <c:crossBetween val="between"/>
      </c:valAx>
      <c:valAx>
        <c:axId val="346080384"/>
        <c:scaling>
          <c:orientation val="minMax"/>
        </c:scaling>
        <c:axPos val="r"/>
        <c:numFmt formatCode="0.00%" sourceLinked="1"/>
        <c:tickLblPos val="nextTo"/>
        <c:txPr>
          <a:bodyPr/>
          <a:lstStyle/>
          <a:p>
            <a:pPr>
              <a:defRPr sz="900" baseline="0"/>
            </a:pPr>
            <a:endParaRPr lang="zh-CN"/>
          </a:p>
        </c:txPr>
        <c:crossAx val="346081920"/>
        <c:crosses val="max"/>
        <c:crossBetween val="between"/>
      </c:valAx>
      <c:dateAx>
        <c:axId val="346081920"/>
        <c:scaling>
          <c:orientation val="minMax"/>
        </c:scaling>
        <c:delete val="1"/>
        <c:axPos val="b"/>
        <c:numFmt formatCode="yyyy\-mm;@" sourceLinked="1"/>
        <c:tickLblPos val="none"/>
        <c:crossAx val="346080384"/>
        <c:crosses val="autoZero"/>
        <c:auto val="1"/>
        <c:lblOffset val="100"/>
      </c:dateAx>
    </c:plotArea>
    <c:legend>
      <c:legendPos val="b"/>
      <c:txPr>
        <a:bodyPr/>
        <a:lstStyle/>
        <a:p>
          <a:pPr>
            <a:defRPr sz="900" baseline="0"/>
          </a:pPr>
          <a:endParaRPr lang="zh-CN"/>
        </a:p>
      </c:txPr>
    </c:legend>
    <c:plotVisOnly val="1"/>
    <c:dispBlanksAs val="gap"/>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zh-CN"/>
  <c:chart>
    <c:plotArea>
      <c:layout/>
      <c:barChart>
        <c:barDir val="col"/>
        <c:grouping val="clustered"/>
        <c:ser>
          <c:idx val="0"/>
          <c:order val="0"/>
          <c:tx>
            <c:strRef>
              <c:f>'Sheet1 (4)'!$F$13</c:f>
              <c:strCache>
                <c:ptCount val="1"/>
                <c:pt idx="0">
                  <c:v>房地产开发投资完成额:住宅</c:v>
                </c:pt>
              </c:strCache>
            </c:strRef>
          </c:tx>
          <c:cat>
            <c:numRef>
              <c:f>'Sheet1 (4)'!$E$14:$E$87</c:f>
              <c:numCache>
                <c:formatCode>yyyy\-mm;@</c:formatCode>
                <c:ptCount val="74"/>
                <c:pt idx="0">
                  <c:v>39141</c:v>
                </c:pt>
                <c:pt idx="1">
                  <c:v>39172</c:v>
                </c:pt>
                <c:pt idx="2">
                  <c:v>39202</c:v>
                </c:pt>
                <c:pt idx="3">
                  <c:v>39233</c:v>
                </c:pt>
                <c:pt idx="4">
                  <c:v>39263</c:v>
                </c:pt>
                <c:pt idx="5">
                  <c:v>39294</c:v>
                </c:pt>
                <c:pt idx="6">
                  <c:v>39325</c:v>
                </c:pt>
                <c:pt idx="7">
                  <c:v>39355</c:v>
                </c:pt>
                <c:pt idx="8">
                  <c:v>39386</c:v>
                </c:pt>
                <c:pt idx="9">
                  <c:v>39416</c:v>
                </c:pt>
                <c:pt idx="10">
                  <c:v>39447</c:v>
                </c:pt>
                <c:pt idx="11">
                  <c:v>39507</c:v>
                </c:pt>
                <c:pt idx="12">
                  <c:v>39538</c:v>
                </c:pt>
                <c:pt idx="13">
                  <c:v>39568</c:v>
                </c:pt>
                <c:pt idx="14">
                  <c:v>39599</c:v>
                </c:pt>
                <c:pt idx="15">
                  <c:v>39629</c:v>
                </c:pt>
                <c:pt idx="16">
                  <c:v>39660</c:v>
                </c:pt>
                <c:pt idx="17">
                  <c:v>39691</c:v>
                </c:pt>
                <c:pt idx="18">
                  <c:v>39721</c:v>
                </c:pt>
                <c:pt idx="19">
                  <c:v>39752</c:v>
                </c:pt>
                <c:pt idx="20">
                  <c:v>39782</c:v>
                </c:pt>
                <c:pt idx="21">
                  <c:v>39813</c:v>
                </c:pt>
                <c:pt idx="22">
                  <c:v>39872</c:v>
                </c:pt>
                <c:pt idx="23">
                  <c:v>39903</c:v>
                </c:pt>
                <c:pt idx="24">
                  <c:v>39933</c:v>
                </c:pt>
                <c:pt idx="25">
                  <c:v>39964</c:v>
                </c:pt>
                <c:pt idx="26">
                  <c:v>39994</c:v>
                </c:pt>
                <c:pt idx="27">
                  <c:v>40025</c:v>
                </c:pt>
                <c:pt idx="28">
                  <c:v>40056</c:v>
                </c:pt>
                <c:pt idx="29">
                  <c:v>40086</c:v>
                </c:pt>
                <c:pt idx="30">
                  <c:v>40117</c:v>
                </c:pt>
                <c:pt idx="31">
                  <c:v>40147</c:v>
                </c:pt>
                <c:pt idx="32">
                  <c:v>40178</c:v>
                </c:pt>
                <c:pt idx="33">
                  <c:v>40237</c:v>
                </c:pt>
                <c:pt idx="34">
                  <c:v>40268</c:v>
                </c:pt>
                <c:pt idx="35">
                  <c:v>40298</c:v>
                </c:pt>
                <c:pt idx="36">
                  <c:v>40329</c:v>
                </c:pt>
                <c:pt idx="37">
                  <c:v>40359</c:v>
                </c:pt>
                <c:pt idx="38">
                  <c:v>40390</c:v>
                </c:pt>
                <c:pt idx="39">
                  <c:v>40421</c:v>
                </c:pt>
                <c:pt idx="40">
                  <c:v>40451</c:v>
                </c:pt>
                <c:pt idx="41">
                  <c:v>40482</c:v>
                </c:pt>
                <c:pt idx="42">
                  <c:v>40512</c:v>
                </c:pt>
                <c:pt idx="43">
                  <c:v>40543</c:v>
                </c:pt>
                <c:pt idx="44">
                  <c:v>40602</c:v>
                </c:pt>
                <c:pt idx="45">
                  <c:v>40633</c:v>
                </c:pt>
                <c:pt idx="46">
                  <c:v>40663</c:v>
                </c:pt>
                <c:pt idx="47">
                  <c:v>40694</c:v>
                </c:pt>
                <c:pt idx="48">
                  <c:v>40724</c:v>
                </c:pt>
                <c:pt idx="49">
                  <c:v>40755</c:v>
                </c:pt>
                <c:pt idx="50">
                  <c:v>40786</c:v>
                </c:pt>
                <c:pt idx="51">
                  <c:v>40816</c:v>
                </c:pt>
                <c:pt idx="52">
                  <c:v>40847</c:v>
                </c:pt>
                <c:pt idx="53">
                  <c:v>40877</c:v>
                </c:pt>
                <c:pt idx="54">
                  <c:v>40908</c:v>
                </c:pt>
                <c:pt idx="55">
                  <c:v>40968</c:v>
                </c:pt>
                <c:pt idx="56">
                  <c:v>40999</c:v>
                </c:pt>
                <c:pt idx="57">
                  <c:v>41029</c:v>
                </c:pt>
                <c:pt idx="58">
                  <c:v>41060</c:v>
                </c:pt>
                <c:pt idx="59">
                  <c:v>41090</c:v>
                </c:pt>
                <c:pt idx="60">
                  <c:v>41121</c:v>
                </c:pt>
                <c:pt idx="61">
                  <c:v>41152</c:v>
                </c:pt>
                <c:pt idx="62">
                  <c:v>41182</c:v>
                </c:pt>
                <c:pt idx="63">
                  <c:v>41213</c:v>
                </c:pt>
                <c:pt idx="64">
                  <c:v>41243</c:v>
                </c:pt>
                <c:pt idx="65">
                  <c:v>41274</c:v>
                </c:pt>
                <c:pt idx="66">
                  <c:v>41333</c:v>
                </c:pt>
                <c:pt idx="67">
                  <c:v>41364</c:v>
                </c:pt>
                <c:pt idx="68">
                  <c:v>41394</c:v>
                </c:pt>
                <c:pt idx="69">
                  <c:v>41425</c:v>
                </c:pt>
                <c:pt idx="70">
                  <c:v>41455</c:v>
                </c:pt>
                <c:pt idx="71">
                  <c:v>41486</c:v>
                </c:pt>
                <c:pt idx="72">
                  <c:v>41517</c:v>
                </c:pt>
                <c:pt idx="73">
                  <c:v>41518</c:v>
                </c:pt>
              </c:numCache>
            </c:numRef>
          </c:cat>
          <c:val>
            <c:numRef>
              <c:f>'Sheet1 (4)'!$F$14:$F$87</c:f>
              <c:numCache>
                <c:formatCode>#,##0.00_ </c:formatCode>
                <c:ptCount val="74"/>
                <c:pt idx="0" formatCode="###,###,###,###,##0.00_ ">
                  <c:v>1277.43</c:v>
                </c:pt>
                <c:pt idx="1">
                  <c:v>1184.5399999999997</c:v>
                </c:pt>
                <c:pt idx="2">
                  <c:v>1195.96</c:v>
                </c:pt>
                <c:pt idx="3">
                  <c:v>1384.3300000000004</c:v>
                </c:pt>
                <c:pt idx="4">
                  <c:v>1912.6099999999997</c:v>
                </c:pt>
                <c:pt idx="5">
                  <c:v>1638.8399999999992</c:v>
                </c:pt>
                <c:pt idx="6">
                  <c:v>1566.9800000000014</c:v>
                </c:pt>
                <c:pt idx="7">
                  <c:v>1889.2999999999993</c:v>
                </c:pt>
                <c:pt idx="8">
                  <c:v>1675.7900000000009</c:v>
                </c:pt>
                <c:pt idx="9">
                  <c:v>1714.1099999999988</c:v>
                </c:pt>
                <c:pt idx="10">
                  <c:v>2565.5299999999988</c:v>
                </c:pt>
                <c:pt idx="11" formatCode="###,###,###,###,##0.00_ ">
                  <c:v>1669.45</c:v>
                </c:pt>
                <c:pt idx="12">
                  <c:v>1647.03</c:v>
                </c:pt>
                <c:pt idx="13">
                  <c:v>1627.9</c:v>
                </c:pt>
                <c:pt idx="14">
                  <c:v>1861.8799999999999</c:v>
                </c:pt>
                <c:pt idx="15">
                  <c:v>2690.8300000000022</c:v>
                </c:pt>
                <c:pt idx="16">
                  <c:v>1989.08</c:v>
                </c:pt>
                <c:pt idx="17">
                  <c:v>1898.6299999999992</c:v>
                </c:pt>
                <c:pt idx="18">
                  <c:v>2123.5100000000002</c:v>
                </c:pt>
                <c:pt idx="19">
                  <c:v>1974.0399999999991</c:v>
                </c:pt>
                <c:pt idx="20">
                  <c:v>1850.3100000000009</c:v>
                </c:pt>
                <c:pt idx="21">
                  <c:v>3108.2099999999987</c:v>
                </c:pt>
                <c:pt idx="22" formatCode="###,###,###,###,##0.00_ ">
                  <c:v>1682.35</c:v>
                </c:pt>
                <c:pt idx="23">
                  <c:v>1739.3899999999999</c:v>
                </c:pt>
                <c:pt idx="24">
                  <c:v>1692.3500000000004</c:v>
                </c:pt>
                <c:pt idx="25">
                  <c:v>1990.5</c:v>
                </c:pt>
                <c:pt idx="26">
                  <c:v>3083.2700000000004</c:v>
                </c:pt>
                <c:pt idx="27">
                  <c:v>2238.3599999999992</c:v>
                </c:pt>
                <c:pt idx="28">
                  <c:v>2418.4600000000009</c:v>
                </c:pt>
                <c:pt idx="29">
                  <c:v>2733.7700000000004</c:v>
                </c:pt>
                <c:pt idx="30">
                  <c:v>2370.0799999999981</c:v>
                </c:pt>
                <c:pt idx="31">
                  <c:v>2420.4600000000028</c:v>
                </c:pt>
                <c:pt idx="32">
                  <c:v>3244.6999999999957</c:v>
                </c:pt>
                <c:pt idx="33" formatCode="###,###,###,###,##0.00_ ">
                  <c:v>2233.42</c:v>
                </c:pt>
                <c:pt idx="34">
                  <c:v>2318.4100000000012</c:v>
                </c:pt>
                <c:pt idx="35">
                  <c:v>2302.6499999999987</c:v>
                </c:pt>
                <c:pt idx="36">
                  <c:v>2788.7000000000007</c:v>
                </c:pt>
                <c:pt idx="37">
                  <c:v>4049.1100000000006</c:v>
                </c:pt>
                <c:pt idx="38">
                  <c:v>3016.5099999999984</c:v>
                </c:pt>
                <c:pt idx="39">
                  <c:v>3167.380000000001</c:v>
                </c:pt>
                <c:pt idx="40">
                  <c:v>3635.869999999999</c:v>
                </c:pt>
                <c:pt idx="41">
                  <c:v>3170.869999999999</c:v>
                </c:pt>
                <c:pt idx="42">
                  <c:v>3338.7100000000028</c:v>
                </c:pt>
                <c:pt idx="43">
                  <c:v>4004.6000000000017</c:v>
                </c:pt>
                <c:pt idx="44" formatCode="###,###,###,###,##0.00_ ">
                  <c:v>3013.7</c:v>
                </c:pt>
                <c:pt idx="45">
                  <c:v>3239.4300000000012</c:v>
                </c:pt>
                <c:pt idx="46">
                  <c:v>3244.1799999999994</c:v>
                </c:pt>
                <c:pt idx="47">
                  <c:v>3793.1000000000004</c:v>
                </c:pt>
                <c:pt idx="48">
                  <c:v>5350.26</c:v>
                </c:pt>
                <c:pt idx="49">
                  <c:v>4148.7100000000028</c:v>
                </c:pt>
                <c:pt idx="50">
                  <c:v>4328.6000000000004</c:v>
                </c:pt>
                <c:pt idx="51">
                  <c:v>4669.7900000000009</c:v>
                </c:pt>
                <c:pt idx="52">
                  <c:v>4044.3500000000022</c:v>
                </c:pt>
                <c:pt idx="53">
                  <c:v>4024.5199999999968</c:v>
                </c:pt>
                <c:pt idx="54">
                  <c:v>4462.8618000000024</c:v>
                </c:pt>
                <c:pt idx="55" formatCode="###,###,###,###,##0.00_ ">
                  <c:v>3713.4322999999999</c:v>
                </c:pt>
                <c:pt idx="56">
                  <c:v>3729.6425999999997</c:v>
                </c:pt>
                <c:pt idx="57">
                  <c:v>3375.1990000000005</c:v>
                </c:pt>
                <c:pt idx="58">
                  <c:v>4279.3802000000014</c:v>
                </c:pt>
                <c:pt idx="59">
                  <c:v>5780.9198000000006</c:v>
                </c:pt>
                <c:pt idx="60">
                  <c:v>4347.8758000000016</c:v>
                </c:pt>
                <c:pt idx="61">
                  <c:v>4763.1601000000201</c:v>
                </c:pt>
                <c:pt idx="62">
                  <c:v>5136.5557000000035</c:v>
                </c:pt>
                <c:pt idx="63">
                  <c:v>4577.9514000000008</c:v>
                </c:pt>
                <c:pt idx="64">
                  <c:v>4902.3517000000011</c:v>
                </c:pt>
                <c:pt idx="65">
                  <c:v>4767.7451000000001</c:v>
                </c:pt>
                <c:pt idx="66" formatCode="###,###,###,###,##0.00_ ">
                  <c:v>4583.0882999999994</c:v>
                </c:pt>
                <c:pt idx="67">
                  <c:v>4429.5345000000007</c:v>
                </c:pt>
                <c:pt idx="68">
                  <c:v>4108.0286000000024</c:v>
                </c:pt>
                <c:pt idx="69">
                  <c:v>5242.6663000000044</c:v>
                </c:pt>
                <c:pt idx="70">
                  <c:v>6863.8184000000001</c:v>
                </c:pt>
                <c:pt idx="71">
                  <c:v>5090.966800000002</c:v>
                </c:pt>
                <c:pt idx="72">
                  <c:v>5420.3546000000024</c:v>
                </c:pt>
                <c:pt idx="73">
                  <c:v>6240.7271000000037</c:v>
                </c:pt>
              </c:numCache>
            </c:numRef>
          </c:val>
        </c:ser>
        <c:gapWidth val="75"/>
        <c:axId val="346133248"/>
        <c:axId val="346134784"/>
      </c:barChart>
      <c:lineChart>
        <c:grouping val="standard"/>
        <c:ser>
          <c:idx val="1"/>
          <c:order val="1"/>
          <c:tx>
            <c:strRef>
              <c:f>'Sheet1 (4)'!$G$13</c:f>
              <c:strCache>
                <c:ptCount val="1"/>
                <c:pt idx="0">
                  <c:v>同比变化</c:v>
                </c:pt>
              </c:strCache>
            </c:strRef>
          </c:tx>
          <c:marker>
            <c:symbol val="none"/>
          </c:marker>
          <c:cat>
            <c:numRef>
              <c:f>'Sheet1 (4)'!$E$14:$E$87</c:f>
              <c:numCache>
                <c:formatCode>yyyy\-mm;@</c:formatCode>
                <c:ptCount val="74"/>
                <c:pt idx="0">
                  <c:v>39141</c:v>
                </c:pt>
                <c:pt idx="1">
                  <c:v>39172</c:v>
                </c:pt>
                <c:pt idx="2">
                  <c:v>39202</c:v>
                </c:pt>
                <c:pt idx="3">
                  <c:v>39233</c:v>
                </c:pt>
                <c:pt idx="4">
                  <c:v>39263</c:v>
                </c:pt>
                <c:pt idx="5">
                  <c:v>39294</c:v>
                </c:pt>
                <c:pt idx="6">
                  <c:v>39325</c:v>
                </c:pt>
                <c:pt idx="7">
                  <c:v>39355</c:v>
                </c:pt>
                <c:pt idx="8">
                  <c:v>39386</c:v>
                </c:pt>
                <c:pt idx="9">
                  <c:v>39416</c:v>
                </c:pt>
                <c:pt idx="10">
                  <c:v>39447</c:v>
                </c:pt>
                <c:pt idx="11">
                  <c:v>39507</c:v>
                </c:pt>
                <c:pt idx="12">
                  <c:v>39538</c:v>
                </c:pt>
                <c:pt idx="13">
                  <c:v>39568</c:v>
                </c:pt>
                <c:pt idx="14">
                  <c:v>39599</c:v>
                </c:pt>
                <c:pt idx="15">
                  <c:v>39629</c:v>
                </c:pt>
                <c:pt idx="16">
                  <c:v>39660</c:v>
                </c:pt>
                <c:pt idx="17">
                  <c:v>39691</c:v>
                </c:pt>
                <c:pt idx="18">
                  <c:v>39721</c:v>
                </c:pt>
                <c:pt idx="19">
                  <c:v>39752</c:v>
                </c:pt>
                <c:pt idx="20">
                  <c:v>39782</c:v>
                </c:pt>
                <c:pt idx="21">
                  <c:v>39813</c:v>
                </c:pt>
                <c:pt idx="22">
                  <c:v>39872</c:v>
                </c:pt>
                <c:pt idx="23">
                  <c:v>39903</c:v>
                </c:pt>
                <c:pt idx="24">
                  <c:v>39933</c:v>
                </c:pt>
                <c:pt idx="25">
                  <c:v>39964</c:v>
                </c:pt>
                <c:pt idx="26">
                  <c:v>39994</c:v>
                </c:pt>
                <c:pt idx="27">
                  <c:v>40025</c:v>
                </c:pt>
                <c:pt idx="28">
                  <c:v>40056</c:v>
                </c:pt>
                <c:pt idx="29">
                  <c:v>40086</c:v>
                </c:pt>
                <c:pt idx="30">
                  <c:v>40117</c:v>
                </c:pt>
                <c:pt idx="31">
                  <c:v>40147</c:v>
                </c:pt>
                <c:pt idx="32">
                  <c:v>40178</c:v>
                </c:pt>
                <c:pt idx="33">
                  <c:v>40237</c:v>
                </c:pt>
                <c:pt idx="34">
                  <c:v>40268</c:v>
                </c:pt>
                <c:pt idx="35">
                  <c:v>40298</c:v>
                </c:pt>
                <c:pt idx="36">
                  <c:v>40329</c:v>
                </c:pt>
                <c:pt idx="37">
                  <c:v>40359</c:v>
                </c:pt>
                <c:pt idx="38">
                  <c:v>40390</c:v>
                </c:pt>
                <c:pt idx="39">
                  <c:v>40421</c:v>
                </c:pt>
                <c:pt idx="40">
                  <c:v>40451</c:v>
                </c:pt>
                <c:pt idx="41">
                  <c:v>40482</c:v>
                </c:pt>
                <c:pt idx="42">
                  <c:v>40512</c:v>
                </c:pt>
                <c:pt idx="43">
                  <c:v>40543</c:v>
                </c:pt>
                <c:pt idx="44">
                  <c:v>40602</c:v>
                </c:pt>
                <c:pt idx="45">
                  <c:v>40633</c:v>
                </c:pt>
                <c:pt idx="46">
                  <c:v>40663</c:v>
                </c:pt>
                <c:pt idx="47">
                  <c:v>40694</c:v>
                </c:pt>
                <c:pt idx="48">
                  <c:v>40724</c:v>
                </c:pt>
                <c:pt idx="49">
                  <c:v>40755</c:v>
                </c:pt>
                <c:pt idx="50">
                  <c:v>40786</c:v>
                </c:pt>
                <c:pt idx="51">
                  <c:v>40816</c:v>
                </c:pt>
                <c:pt idx="52">
                  <c:v>40847</c:v>
                </c:pt>
                <c:pt idx="53">
                  <c:v>40877</c:v>
                </c:pt>
                <c:pt idx="54">
                  <c:v>40908</c:v>
                </c:pt>
                <c:pt idx="55">
                  <c:v>40968</c:v>
                </c:pt>
                <c:pt idx="56">
                  <c:v>40999</c:v>
                </c:pt>
                <c:pt idx="57">
                  <c:v>41029</c:v>
                </c:pt>
                <c:pt idx="58">
                  <c:v>41060</c:v>
                </c:pt>
                <c:pt idx="59">
                  <c:v>41090</c:v>
                </c:pt>
                <c:pt idx="60">
                  <c:v>41121</c:v>
                </c:pt>
                <c:pt idx="61">
                  <c:v>41152</c:v>
                </c:pt>
                <c:pt idx="62">
                  <c:v>41182</c:v>
                </c:pt>
                <c:pt idx="63">
                  <c:v>41213</c:v>
                </c:pt>
                <c:pt idx="64">
                  <c:v>41243</c:v>
                </c:pt>
                <c:pt idx="65">
                  <c:v>41274</c:v>
                </c:pt>
                <c:pt idx="66">
                  <c:v>41333</c:v>
                </c:pt>
                <c:pt idx="67">
                  <c:v>41364</c:v>
                </c:pt>
                <c:pt idx="68">
                  <c:v>41394</c:v>
                </c:pt>
                <c:pt idx="69">
                  <c:v>41425</c:v>
                </c:pt>
                <c:pt idx="70">
                  <c:v>41455</c:v>
                </c:pt>
                <c:pt idx="71">
                  <c:v>41486</c:v>
                </c:pt>
                <c:pt idx="72">
                  <c:v>41517</c:v>
                </c:pt>
                <c:pt idx="73">
                  <c:v>41518</c:v>
                </c:pt>
              </c:numCache>
            </c:numRef>
          </c:cat>
          <c:val>
            <c:numRef>
              <c:f>'Sheet1 (4)'!$G$14:$G$87</c:f>
              <c:numCache>
                <c:formatCode>0.00%</c:formatCode>
                <c:ptCount val="74"/>
                <c:pt idx="0">
                  <c:v>0.29855753102985805</c:v>
                </c:pt>
                <c:pt idx="1">
                  <c:v>0.31060731790973872</c:v>
                </c:pt>
                <c:pt idx="2">
                  <c:v>0.26184070310933882</c:v>
                </c:pt>
                <c:pt idx="3">
                  <c:v>0.30974029045839424</c:v>
                </c:pt>
                <c:pt idx="4">
                  <c:v>0.34157992199994669</c:v>
                </c:pt>
                <c:pt idx="5">
                  <c:v>0.30326284900873934</c:v>
                </c:pt>
                <c:pt idx="6">
                  <c:v>0.32065199069548134</c:v>
                </c:pt>
                <c:pt idx="7">
                  <c:v>0.437364008460006</c:v>
                </c:pt>
                <c:pt idx="8">
                  <c:v>0.4057107865752913</c:v>
                </c:pt>
                <c:pt idx="9">
                  <c:v>0.33805081768861545</c:v>
                </c:pt>
                <c:pt idx="10">
                  <c:v>0.22818448163609276</c:v>
                </c:pt>
                <c:pt idx="11">
                  <c:v>0.30688178608612632</c:v>
                </c:pt>
                <c:pt idx="12">
                  <c:v>0.39043848244888502</c:v>
                </c:pt>
                <c:pt idx="13">
                  <c:v>0.36116592528178232</c:v>
                </c:pt>
                <c:pt idx="14">
                  <c:v>0.34496832402678534</c:v>
                </c:pt>
                <c:pt idx="15">
                  <c:v>0.40688901553374873</c:v>
                </c:pt>
                <c:pt idx="16">
                  <c:v>0.21371213785360532</c:v>
                </c:pt>
                <c:pt idx="17">
                  <c:v>0.21164915952979563</c:v>
                </c:pt>
                <c:pt idx="18">
                  <c:v>0.12396654845710176</c:v>
                </c:pt>
                <c:pt idx="19">
                  <c:v>0.17797576068600371</c:v>
                </c:pt>
                <c:pt idx="20">
                  <c:v>7.9458144459808824E-2</c:v>
                </c:pt>
                <c:pt idx="21">
                  <c:v>0.21152744267266538</c:v>
                </c:pt>
                <c:pt idx="22">
                  <c:v>7.7270957500972558E-3</c:v>
                </c:pt>
                <c:pt idx="23">
                  <c:v>5.6076695627887724E-2</c:v>
                </c:pt>
                <c:pt idx="24">
                  <c:v>3.9590883960931425E-2</c:v>
                </c:pt>
                <c:pt idx="25">
                  <c:v>6.9080714116914133E-2</c:v>
                </c:pt>
                <c:pt idx="26">
                  <c:v>0.14584347580486412</c:v>
                </c:pt>
                <c:pt idx="27">
                  <c:v>0.12532427051702241</c:v>
                </c:pt>
                <c:pt idx="28">
                  <c:v>0.27379215539626045</c:v>
                </c:pt>
                <c:pt idx="29">
                  <c:v>0.28738268244557535</c:v>
                </c:pt>
                <c:pt idx="30">
                  <c:v>0.20062410082875687</c:v>
                </c:pt>
                <c:pt idx="31">
                  <c:v>0.30813755532856718</c:v>
                </c:pt>
                <c:pt idx="32">
                  <c:v>4.3912734339056674E-2</c:v>
                </c:pt>
                <c:pt idx="33">
                  <c:v>0.32755966356584904</c:v>
                </c:pt>
                <c:pt idx="34">
                  <c:v>0.33288681664261993</c:v>
                </c:pt>
                <c:pt idx="35">
                  <c:v>0.36062280261175367</c:v>
                </c:pt>
                <c:pt idx="36">
                  <c:v>0.40100477267018381</c:v>
                </c:pt>
                <c:pt idx="37">
                  <c:v>0.31325183976751952</c:v>
                </c:pt>
                <c:pt idx="38">
                  <c:v>0.34764291713576156</c:v>
                </c:pt>
                <c:pt idx="39">
                  <c:v>0.3096681359212074</c:v>
                </c:pt>
                <c:pt idx="40">
                  <c:v>0.32998386843077676</c:v>
                </c:pt>
                <c:pt idx="41">
                  <c:v>0.33787467089718887</c:v>
                </c:pt>
                <c:pt idx="42">
                  <c:v>0.37937003710038741</c:v>
                </c:pt>
                <c:pt idx="43">
                  <c:v>0.23419730637655431</c:v>
                </c:pt>
                <c:pt idx="44">
                  <c:v>0.34936554700862382</c:v>
                </c:pt>
                <c:pt idx="45">
                  <c:v>0.39726364189250585</c:v>
                </c:pt>
                <c:pt idx="46">
                  <c:v>0.40888975745336892</c:v>
                </c:pt>
                <c:pt idx="47">
                  <c:v>0.36016782013124382</c:v>
                </c:pt>
                <c:pt idx="48">
                  <c:v>0.32134222088310732</c:v>
                </c:pt>
                <c:pt idx="49">
                  <c:v>0.37533440963232656</c:v>
                </c:pt>
                <c:pt idx="50">
                  <c:v>0.36661846699796247</c:v>
                </c:pt>
                <c:pt idx="51">
                  <c:v>0.2843666027663263</c:v>
                </c:pt>
                <c:pt idx="52">
                  <c:v>0.27547013911008889</c:v>
                </c:pt>
                <c:pt idx="53">
                  <c:v>0.20541167097471583</c:v>
                </c:pt>
                <c:pt idx="54">
                  <c:v>0.11443385107126712</c:v>
                </c:pt>
                <c:pt idx="55">
                  <c:v>0.23218379400736641</c:v>
                </c:pt>
                <c:pt idx="56">
                  <c:v>0.15132680749391075</c:v>
                </c:pt>
                <c:pt idx="57">
                  <c:v>4.0385860217374225E-2</c:v>
                </c:pt>
                <c:pt idx="58">
                  <c:v>0.12820126018296463</c:v>
                </c:pt>
                <c:pt idx="59">
                  <c:v>8.049324705715262E-2</c:v>
                </c:pt>
                <c:pt idx="60">
                  <c:v>4.800668159500187E-2</c:v>
                </c:pt>
                <c:pt idx="61">
                  <c:v>0.10039275978376359</c:v>
                </c:pt>
                <c:pt idx="62">
                  <c:v>9.9954323427821692E-2</c:v>
                </c:pt>
                <c:pt idx="63">
                  <c:v>0.13193749304585378</c:v>
                </c:pt>
                <c:pt idx="64">
                  <c:v>0.21812084422490213</c:v>
                </c:pt>
                <c:pt idx="65">
                  <c:v>6.8315648940776533E-2</c:v>
                </c:pt>
                <c:pt idx="66">
                  <c:v>0.23419196305261858</c:v>
                </c:pt>
                <c:pt idx="67">
                  <c:v>0.1876565599073754</c:v>
                </c:pt>
                <c:pt idx="68">
                  <c:v>0.21712189414609434</c:v>
                </c:pt>
                <c:pt idx="69">
                  <c:v>0.22509944313898544</c:v>
                </c:pt>
                <c:pt idx="70">
                  <c:v>0.18732288934366473</c:v>
                </c:pt>
                <c:pt idx="71">
                  <c:v>0.17090897582677109</c:v>
                </c:pt>
                <c:pt idx="72">
                  <c:v>0.13797447203170821</c:v>
                </c:pt>
                <c:pt idx="73">
                  <c:v>0.21496338490011951</c:v>
                </c:pt>
              </c:numCache>
            </c:numRef>
          </c:val>
        </c:ser>
        <c:ser>
          <c:idx val="2"/>
          <c:order val="2"/>
          <c:tx>
            <c:strRef>
              <c:f>'Sheet1 (4)'!$H$13</c:f>
              <c:strCache>
                <c:ptCount val="1"/>
                <c:pt idx="0">
                  <c:v>占比变化</c:v>
                </c:pt>
              </c:strCache>
            </c:strRef>
          </c:tx>
          <c:marker>
            <c:symbol val="none"/>
          </c:marker>
          <c:cat>
            <c:numRef>
              <c:f>'Sheet1 (4)'!$E$14:$E$87</c:f>
              <c:numCache>
                <c:formatCode>yyyy\-mm;@</c:formatCode>
                <c:ptCount val="74"/>
                <c:pt idx="0">
                  <c:v>39141</c:v>
                </c:pt>
                <c:pt idx="1">
                  <c:v>39172</c:v>
                </c:pt>
                <c:pt idx="2">
                  <c:v>39202</c:v>
                </c:pt>
                <c:pt idx="3">
                  <c:v>39233</c:v>
                </c:pt>
                <c:pt idx="4">
                  <c:v>39263</c:v>
                </c:pt>
                <c:pt idx="5">
                  <c:v>39294</c:v>
                </c:pt>
                <c:pt idx="6">
                  <c:v>39325</c:v>
                </c:pt>
                <c:pt idx="7">
                  <c:v>39355</c:v>
                </c:pt>
                <c:pt idx="8">
                  <c:v>39386</c:v>
                </c:pt>
                <c:pt idx="9">
                  <c:v>39416</c:v>
                </c:pt>
                <c:pt idx="10">
                  <c:v>39447</c:v>
                </c:pt>
                <c:pt idx="11">
                  <c:v>39507</c:v>
                </c:pt>
                <c:pt idx="12">
                  <c:v>39538</c:v>
                </c:pt>
                <c:pt idx="13">
                  <c:v>39568</c:v>
                </c:pt>
                <c:pt idx="14">
                  <c:v>39599</c:v>
                </c:pt>
                <c:pt idx="15">
                  <c:v>39629</c:v>
                </c:pt>
                <c:pt idx="16">
                  <c:v>39660</c:v>
                </c:pt>
                <c:pt idx="17">
                  <c:v>39691</c:v>
                </c:pt>
                <c:pt idx="18">
                  <c:v>39721</c:v>
                </c:pt>
                <c:pt idx="19">
                  <c:v>39752</c:v>
                </c:pt>
                <c:pt idx="20">
                  <c:v>39782</c:v>
                </c:pt>
                <c:pt idx="21">
                  <c:v>39813</c:v>
                </c:pt>
                <c:pt idx="22">
                  <c:v>39872</c:v>
                </c:pt>
                <c:pt idx="23">
                  <c:v>39903</c:v>
                </c:pt>
                <c:pt idx="24">
                  <c:v>39933</c:v>
                </c:pt>
                <c:pt idx="25">
                  <c:v>39964</c:v>
                </c:pt>
                <c:pt idx="26">
                  <c:v>39994</c:v>
                </c:pt>
                <c:pt idx="27">
                  <c:v>40025</c:v>
                </c:pt>
                <c:pt idx="28">
                  <c:v>40056</c:v>
                </c:pt>
                <c:pt idx="29">
                  <c:v>40086</c:v>
                </c:pt>
                <c:pt idx="30">
                  <c:v>40117</c:v>
                </c:pt>
                <c:pt idx="31">
                  <c:v>40147</c:v>
                </c:pt>
                <c:pt idx="32">
                  <c:v>40178</c:v>
                </c:pt>
                <c:pt idx="33">
                  <c:v>40237</c:v>
                </c:pt>
                <c:pt idx="34">
                  <c:v>40268</c:v>
                </c:pt>
                <c:pt idx="35">
                  <c:v>40298</c:v>
                </c:pt>
                <c:pt idx="36">
                  <c:v>40329</c:v>
                </c:pt>
                <c:pt idx="37">
                  <c:v>40359</c:v>
                </c:pt>
                <c:pt idx="38">
                  <c:v>40390</c:v>
                </c:pt>
                <c:pt idx="39">
                  <c:v>40421</c:v>
                </c:pt>
                <c:pt idx="40">
                  <c:v>40451</c:v>
                </c:pt>
                <c:pt idx="41">
                  <c:v>40482</c:v>
                </c:pt>
                <c:pt idx="42">
                  <c:v>40512</c:v>
                </c:pt>
                <c:pt idx="43">
                  <c:v>40543</c:v>
                </c:pt>
                <c:pt idx="44">
                  <c:v>40602</c:v>
                </c:pt>
                <c:pt idx="45">
                  <c:v>40633</c:v>
                </c:pt>
                <c:pt idx="46">
                  <c:v>40663</c:v>
                </c:pt>
                <c:pt idx="47">
                  <c:v>40694</c:v>
                </c:pt>
                <c:pt idx="48">
                  <c:v>40724</c:v>
                </c:pt>
                <c:pt idx="49">
                  <c:v>40755</c:v>
                </c:pt>
                <c:pt idx="50">
                  <c:v>40786</c:v>
                </c:pt>
                <c:pt idx="51">
                  <c:v>40816</c:v>
                </c:pt>
                <c:pt idx="52">
                  <c:v>40847</c:v>
                </c:pt>
                <c:pt idx="53">
                  <c:v>40877</c:v>
                </c:pt>
                <c:pt idx="54">
                  <c:v>40908</c:v>
                </c:pt>
                <c:pt idx="55">
                  <c:v>40968</c:v>
                </c:pt>
                <c:pt idx="56">
                  <c:v>40999</c:v>
                </c:pt>
                <c:pt idx="57">
                  <c:v>41029</c:v>
                </c:pt>
                <c:pt idx="58">
                  <c:v>41060</c:v>
                </c:pt>
                <c:pt idx="59">
                  <c:v>41090</c:v>
                </c:pt>
                <c:pt idx="60">
                  <c:v>41121</c:v>
                </c:pt>
                <c:pt idx="61">
                  <c:v>41152</c:v>
                </c:pt>
                <c:pt idx="62">
                  <c:v>41182</c:v>
                </c:pt>
                <c:pt idx="63">
                  <c:v>41213</c:v>
                </c:pt>
                <c:pt idx="64">
                  <c:v>41243</c:v>
                </c:pt>
                <c:pt idx="65">
                  <c:v>41274</c:v>
                </c:pt>
                <c:pt idx="66">
                  <c:v>41333</c:v>
                </c:pt>
                <c:pt idx="67">
                  <c:v>41364</c:v>
                </c:pt>
                <c:pt idx="68">
                  <c:v>41394</c:v>
                </c:pt>
                <c:pt idx="69">
                  <c:v>41425</c:v>
                </c:pt>
                <c:pt idx="70">
                  <c:v>41455</c:v>
                </c:pt>
                <c:pt idx="71">
                  <c:v>41486</c:v>
                </c:pt>
                <c:pt idx="72">
                  <c:v>41517</c:v>
                </c:pt>
                <c:pt idx="73">
                  <c:v>41518</c:v>
                </c:pt>
              </c:numCache>
            </c:numRef>
          </c:cat>
          <c:val>
            <c:numRef>
              <c:f>'Sheet1 (4)'!$H$14:$H$87</c:f>
              <c:numCache>
                <c:formatCode>0.00%</c:formatCode>
                <c:ptCount val="74"/>
                <c:pt idx="0">
                  <c:v>0.71538254762944797</c:v>
                </c:pt>
                <c:pt idx="1">
                  <c:v>0.67375378244943807</c:v>
                </c:pt>
                <c:pt idx="2">
                  <c:v>0.69499020821348434</c:v>
                </c:pt>
                <c:pt idx="3">
                  <c:v>0.71000384664700877</c:v>
                </c:pt>
                <c:pt idx="4">
                  <c:v>0.71556416885220175</c:v>
                </c:pt>
                <c:pt idx="5">
                  <c:v>0.72918678169869477</c:v>
                </c:pt>
                <c:pt idx="6">
                  <c:v>0.73153970766049392</c:v>
                </c:pt>
                <c:pt idx="7">
                  <c:v>0.7446104126433668</c:v>
                </c:pt>
                <c:pt idx="8">
                  <c:v>0.70465822316413118</c:v>
                </c:pt>
                <c:pt idx="9">
                  <c:v>0.7025991220124026</c:v>
                </c:pt>
                <c:pt idx="10">
                  <c:v>0.70155486037430403</c:v>
                </c:pt>
                <c:pt idx="11">
                  <c:v>0.70330536036263758</c:v>
                </c:pt>
                <c:pt idx="12">
                  <c:v>0.71175827452539953</c:v>
                </c:pt>
                <c:pt idx="13">
                  <c:v>0.71893231110306366</c:v>
                </c:pt>
                <c:pt idx="14">
                  <c:v>0.72525708943596057</c:v>
                </c:pt>
                <c:pt idx="15">
                  <c:v>0.73192180372593774</c:v>
                </c:pt>
                <c:pt idx="16">
                  <c:v>0.74002090874930682</c:v>
                </c:pt>
                <c:pt idx="17">
                  <c:v>0.74560463079684391</c:v>
                </c:pt>
                <c:pt idx="18">
                  <c:v>0.74568777829281063</c:v>
                </c:pt>
                <c:pt idx="19">
                  <c:v>0.74773675957000274</c:v>
                </c:pt>
                <c:pt idx="20">
                  <c:v>0.70406998424669553</c:v>
                </c:pt>
                <c:pt idx="21">
                  <c:v>0.6673601762330218</c:v>
                </c:pt>
                <c:pt idx="22">
                  <c:v>0.70151992160623555</c:v>
                </c:pt>
                <c:pt idx="23">
                  <c:v>0.70076224548172139</c:v>
                </c:pt>
                <c:pt idx="24">
                  <c:v>0.70231025567604155</c:v>
                </c:pt>
                <c:pt idx="25">
                  <c:v>0.71671875675130714</c:v>
                </c:pt>
                <c:pt idx="26">
                  <c:v>0.72921746657553488</c:v>
                </c:pt>
                <c:pt idx="27">
                  <c:v>0.72277672116219793</c:v>
                </c:pt>
                <c:pt idx="28">
                  <c:v>0.72222155860289916</c:v>
                </c:pt>
                <c:pt idx="29">
                  <c:v>0.71582274172178451</c:v>
                </c:pt>
                <c:pt idx="30">
                  <c:v>0.71246745907207909</c:v>
                </c:pt>
                <c:pt idx="31">
                  <c:v>0.71519409988358684</c:v>
                </c:pt>
                <c:pt idx="32">
                  <c:v>0.65274156688554474</c:v>
                </c:pt>
                <c:pt idx="33">
                  <c:v>0.71045666806631758</c:v>
                </c:pt>
                <c:pt idx="34">
                  <c:v>0.6718451609911914</c:v>
                </c:pt>
                <c:pt idx="35">
                  <c:v>0.68991191275167785</c:v>
                </c:pt>
                <c:pt idx="36">
                  <c:v>0.69973603388401562</c:v>
                </c:pt>
                <c:pt idx="37">
                  <c:v>0.69456456667655853</c:v>
                </c:pt>
                <c:pt idx="38">
                  <c:v>0.73258047672823023</c:v>
                </c:pt>
                <c:pt idx="39">
                  <c:v>0.70538585567047474</c:v>
                </c:pt>
                <c:pt idx="40">
                  <c:v>0.70514526201466265</c:v>
                </c:pt>
                <c:pt idx="41">
                  <c:v>0.6956301403822065</c:v>
                </c:pt>
                <c:pt idx="42">
                  <c:v>0.72144491671006361</c:v>
                </c:pt>
                <c:pt idx="43">
                  <c:v>0.71998374705820001</c:v>
                </c:pt>
                <c:pt idx="44">
                  <c:v>0.70904415380308405</c:v>
                </c:pt>
                <c:pt idx="45">
                  <c:v>0.70483834821224556</c:v>
                </c:pt>
                <c:pt idx="46">
                  <c:v>0.72192353909831364</c:v>
                </c:pt>
                <c:pt idx="47">
                  <c:v>0.7028072639413605</c:v>
                </c:pt>
                <c:pt idx="48">
                  <c:v>0.7121127825353174</c:v>
                </c:pt>
                <c:pt idx="49">
                  <c:v>0.73786589074766451</c:v>
                </c:pt>
                <c:pt idx="50">
                  <c:v>0.73269113258551744</c:v>
                </c:pt>
                <c:pt idx="51">
                  <c:v>0.72467256362508092</c:v>
                </c:pt>
                <c:pt idx="52">
                  <c:v>0.70978662613768384</c:v>
                </c:pt>
                <c:pt idx="53">
                  <c:v>0.72380719433259022</c:v>
                </c:pt>
                <c:pt idx="54">
                  <c:v>0.70683460381667662</c:v>
                </c:pt>
                <c:pt idx="55">
                  <c:v>0.68368963691543194</c:v>
                </c:pt>
                <c:pt idx="56">
                  <c:v>0.67864666198216095</c:v>
                </c:pt>
                <c:pt idx="57">
                  <c:v>0.68769034528475481</c:v>
                </c:pt>
                <c:pt idx="58">
                  <c:v>0.67098709048670124</c:v>
                </c:pt>
                <c:pt idx="59">
                  <c:v>0.68845853341602103</c:v>
                </c:pt>
                <c:pt idx="60">
                  <c:v>0.7052918759750666</c:v>
                </c:pt>
                <c:pt idx="61">
                  <c:v>0.68897468968830589</c:v>
                </c:pt>
                <c:pt idx="62">
                  <c:v>0.69808695262656562</c:v>
                </c:pt>
                <c:pt idx="63">
                  <c:v>0.69543872121771177</c:v>
                </c:pt>
                <c:pt idx="64">
                  <c:v>0.68625304469695259</c:v>
                </c:pt>
                <c:pt idx="65">
                  <c:v>0.67806615887396149</c:v>
                </c:pt>
                <c:pt idx="66">
                  <c:v>0.68715023089107363</c:v>
                </c:pt>
                <c:pt idx="67">
                  <c:v>0.68538195878920638</c:v>
                </c:pt>
                <c:pt idx="68">
                  <c:v>0.67928609843071475</c:v>
                </c:pt>
                <c:pt idx="69">
                  <c:v>0.68820973767314453</c:v>
                </c:pt>
                <c:pt idx="70">
                  <c:v>0.68433144612113261</c:v>
                </c:pt>
                <c:pt idx="71">
                  <c:v>0.68118975550828365</c:v>
                </c:pt>
                <c:pt idx="72">
                  <c:v>0.69330036441038989</c:v>
                </c:pt>
                <c:pt idx="73">
                  <c:v>0.69340000000000002</c:v>
                </c:pt>
              </c:numCache>
            </c:numRef>
          </c:val>
        </c:ser>
        <c:marker val="1"/>
        <c:axId val="346162688"/>
        <c:axId val="346161152"/>
      </c:lineChart>
      <c:dateAx>
        <c:axId val="346133248"/>
        <c:scaling>
          <c:orientation val="minMax"/>
        </c:scaling>
        <c:axPos val="b"/>
        <c:numFmt formatCode="yyyy\-mm;@" sourceLinked="1"/>
        <c:majorTickMark val="none"/>
        <c:tickLblPos val="nextTo"/>
        <c:txPr>
          <a:bodyPr/>
          <a:lstStyle/>
          <a:p>
            <a:pPr>
              <a:defRPr sz="900" baseline="0"/>
            </a:pPr>
            <a:endParaRPr lang="zh-CN"/>
          </a:p>
        </c:txPr>
        <c:crossAx val="346134784"/>
        <c:crosses val="autoZero"/>
        <c:auto val="1"/>
        <c:lblOffset val="100"/>
        <c:majorUnit val="1"/>
        <c:majorTimeUnit val="years"/>
      </c:dateAx>
      <c:valAx>
        <c:axId val="346134784"/>
        <c:scaling>
          <c:orientation val="minMax"/>
        </c:scaling>
        <c:axPos val="l"/>
        <c:numFmt formatCode="###,###,###,###,##0.00_ " sourceLinked="1"/>
        <c:majorTickMark val="none"/>
        <c:tickLblPos val="nextTo"/>
        <c:txPr>
          <a:bodyPr/>
          <a:lstStyle/>
          <a:p>
            <a:pPr>
              <a:defRPr sz="900" baseline="0"/>
            </a:pPr>
            <a:endParaRPr lang="zh-CN"/>
          </a:p>
        </c:txPr>
        <c:crossAx val="346133248"/>
        <c:crosses val="autoZero"/>
        <c:crossBetween val="between"/>
      </c:valAx>
      <c:valAx>
        <c:axId val="346161152"/>
        <c:scaling>
          <c:orientation val="minMax"/>
        </c:scaling>
        <c:axPos val="r"/>
        <c:numFmt formatCode="0.00%" sourceLinked="1"/>
        <c:tickLblPos val="nextTo"/>
        <c:txPr>
          <a:bodyPr/>
          <a:lstStyle/>
          <a:p>
            <a:pPr>
              <a:defRPr sz="900" baseline="0"/>
            </a:pPr>
            <a:endParaRPr lang="zh-CN"/>
          </a:p>
        </c:txPr>
        <c:crossAx val="346162688"/>
        <c:crosses val="max"/>
        <c:crossBetween val="between"/>
      </c:valAx>
      <c:dateAx>
        <c:axId val="346162688"/>
        <c:scaling>
          <c:orientation val="minMax"/>
        </c:scaling>
        <c:delete val="1"/>
        <c:axPos val="b"/>
        <c:numFmt formatCode="yyyy\-mm;@" sourceLinked="1"/>
        <c:tickLblPos val="none"/>
        <c:crossAx val="346161152"/>
        <c:crosses val="autoZero"/>
        <c:auto val="1"/>
        <c:lblOffset val="100"/>
      </c:dateAx>
    </c:plotArea>
    <c:legend>
      <c:legendPos val="b"/>
      <c:txPr>
        <a:bodyPr/>
        <a:lstStyle/>
        <a:p>
          <a:pPr>
            <a:defRPr sz="900" baseline="0"/>
          </a:pPr>
          <a:endParaRPr lang="zh-CN"/>
        </a:p>
      </c:txPr>
    </c:legend>
    <c:plotVisOnly val="1"/>
    <c:dispBlanksAs val="gap"/>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lineChart>
        <c:grouping val="standard"/>
        <c:ser>
          <c:idx val="0"/>
          <c:order val="0"/>
          <c:tx>
            <c:strRef>
              <c:f>Sheet1!$B$1</c:f>
              <c:strCache>
                <c:ptCount val="1"/>
                <c:pt idx="0">
                  <c:v>南华综合指数</c:v>
                </c:pt>
              </c:strCache>
            </c:strRef>
          </c:tx>
          <c:marker>
            <c:symbol val="none"/>
          </c:marker>
          <c:cat>
            <c:numRef>
              <c:f>Sheet1!$A$2116:$A$2274</c:f>
              <c:numCache>
                <c:formatCode>yyyy\-mm\-dd;@</c:formatCode>
                <c:ptCount val="159"/>
                <c:pt idx="0">
                  <c:v>41304</c:v>
                </c:pt>
                <c:pt idx="1">
                  <c:v>41305</c:v>
                </c:pt>
                <c:pt idx="2">
                  <c:v>41306</c:v>
                </c:pt>
                <c:pt idx="3">
                  <c:v>41309</c:v>
                </c:pt>
                <c:pt idx="4">
                  <c:v>41310</c:v>
                </c:pt>
                <c:pt idx="5">
                  <c:v>41311</c:v>
                </c:pt>
                <c:pt idx="6">
                  <c:v>41312</c:v>
                </c:pt>
                <c:pt idx="7">
                  <c:v>41313</c:v>
                </c:pt>
                <c:pt idx="8">
                  <c:v>41323</c:v>
                </c:pt>
                <c:pt idx="9">
                  <c:v>41324</c:v>
                </c:pt>
                <c:pt idx="10">
                  <c:v>41325</c:v>
                </c:pt>
                <c:pt idx="11">
                  <c:v>41326</c:v>
                </c:pt>
                <c:pt idx="12">
                  <c:v>41327</c:v>
                </c:pt>
                <c:pt idx="13">
                  <c:v>41330</c:v>
                </c:pt>
                <c:pt idx="14">
                  <c:v>41331</c:v>
                </c:pt>
                <c:pt idx="15">
                  <c:v>41332</c:v>
                </c:pt>
                <c:pt idx="16">
                  <c:v>41333</c:v>
                </c:pt>
                <c:pt idx="17">
                  <c:v>41334</c:v>
                </c:pt>
                <c:pt idx="18">
                  <c:v>41337</c:v>
                </c:pt>
                <c:pt idx="19">
                  <c:v>41338</c:v>
                </c:pt>
                <c:pt idx="20">
                  <c:v>41339</c:v>
                </c:pt>
                <c:pt idx="21">
                  <c:v>41340</c:v>
                </c:pt>
                <c:pt idx="22">
                  <c:v>41341</c:v>
                </c:pt>
                <c:pt idx="23">
                  <c:v>41344</c:v>
                </c:pt>
                <c:pt idx="24">
                  <c:v>41345</c:v>
                </c:pt>
                <c:pt idx="25">
                  <c:v>41346</c:v>
                </c:pt>
                <c:pt idx="26">
                  <c:v>41347</c:v>
                </c:pt>
                <c:pt idx="27">
                  <c:v>41348</c:v>
                </c:pt>
                <c:pt idx="28">
                  <c:v>41351</c:v>
                </c:pt>
                <c:pt idx="29">
                  <c:v>41352</c:v>
                </c:pt>
                <c:pt idx="30">
                  <c:v>41353</c:v>
                </c:pt>
                <c:pt idx="31">
                  <c:v>41354</c:v>
                </c:pt>
                <c:pt idx="32">
                  <c:v>41355</c:v>
                </c:pt>
                <c:pt idx="33">
                  <c:v>41358</c:v>
                </c:pt>
                <c:pt idx="34">
                  <c:v>41359</c:v>
                </c:pt>
                <c:pt idx="35">
                  <c:v>41360</c:v>
                </c:pt>
                <c:pt idx="36">
                  <c:v>41361</c:v>
                </c:pt>
                <c:pt idx="37">
                  <c:v>41362</c:v>
                </c:pt>
                <c:pt idx="38">
                  <c:v>41365</c:v>
                </c:pt>
                <c:pt idx="39">
                  <c:v>41366</c:v>
                </c:pt>
                <c:pt idx="40">
                  <c:v>41367</c:v>
                </c:pt>
                <c:pt idx="41">
                  <c:v>41372</c:v>
                </c:pt>
                <c:pt idx="42">
                  <c:v>41373</c:v>
                </c:pt>
                <c:pt idx="43">
                  <c:v>41374</c:v>
                </c:pt>
                <c:pt idx="44">
                  <c:v>41375</c:v>
                </c:pt>
                <c:pt idx="45">
                  <c:v>41376</c:v>
                </c:pt>
                <c:pt idx="46">
                  <c:v>41379</c:v>
                </c:pt>
                <c:pt idx="47">
                  <c:v>41380</c:v>
                </c:pt>
                <c:pt idx="48">
                  <c:v>41381</c:v>
                </c:pt>
                <c:pt idx="49">
                  <c:v>41382</c:v>
                </c:pt>
                <c:pt idx="50">
                  <c:v>41383</c:v>
                </c:pt>
                <c:pt idx="51">
                  <c:v>41386</c:v>
                </c:pt>
                <c:pt idx="52">
                  <c:v>41387</c:v>
                </c:pt>
                <c:pt idx="53">
                  <c:v>41388</c:v>
                </c:pt>
                <c:pt idx="54">
                  <c:v>41389</c:v>
                </c:pt>
                <c:pt idx="55">
                  <c:v>41390</c:v>
                </c:pt>
                <c:pt idx="56">
                  <c:v>41396</c:v>
                </c:pt>
                <c:pt idx="57">
                  <c:v>41397</c:v>
                </c:pt>
                <c:pt idx="58">
                  <c:v>41400</c:v>
                </c:pt>
                <c:pt idx="59">
                  <c:v>41401</c:v>
                </c:pt>
                <c:pt idx="60">
                  <c:v>41402</c:v>
                </c:pt>
                <c:pt idx="61">
                  <c:v>41403</c:v>
                </c:pt>
                <c:pt idx="62">
                  <c:v>41404</c:v>
                </c:pt>
                <c:pt idx="63">
                  <c:v>41407</c:v>
                </c:pt>
                <c:pt idx="64">
                  <c:v>41408</c:v>
                </c:pt>
                <c:pt idx="65">
                  <c:v>41409</c:v>
                </c:pt>
                <c:pt idx="66">
                  <c:v>41410</c:v>
                </c:pt>
                <c:pt idx="67">
                  <c:v>41411</c:v>
                </c:pt>
                <c:pt idx="68">
                  <c:v>41414</c:v>
                </c:pt>
                <c:pt idx="69">
                  <c:v>41415</c:v>
                </c:pt>
                <c:pt idx="70">
                  <c:v>41416</c:v>
                </c:pt>
                <c:pt idx="71">
                  <c:v>41417</c:v>
                </c:pt>
                <c:pt idx="72">
                  <c:v>41418</c:v>
                </c:pt>
                <c:pt idx="73">
                  <c:v>41421</c:v>
                </c:pt>
                <c:pt idx="74">
                  <c:v>41422</c:v>
                </c:pt>
                <c:pt idx="75">
                  <c:v>41423</c:v>
                </c:pt>
                <c:pt idx="76">
                  <c:v>41424</c:v>
                </c:pt>
                <c:pt idx="77">
                  <c:v>41425</c:v>
                </c:pt>
                <c:pt idx="78">
                  <c:v>41428</c:v>
                </c:pt>
                <c:pt idx="79">
                  <c:v>41429</c:v>
                </c:pt>
                <c:pt idx="80">
                  <c:v>41430</c:v>
                </c:pt>
                <c:pt idx="81">
                  <c:v>41431</c:v>
                </c:pt>
                <c:pt idx="82">
                  <c:v>41432</c:v>
                </c:pt>
                <c:pt idx="83">
                  <c:v>41438</c:v>
                </c:pt>
                <c:pt idx="84">
                  <c:v>41439</c:v>
                </c:pt>
                <c:pt idx="85">
                  <c:v>41442</c:v>
                </c:pt>
                <c:pt idx="86">
                  <c:v>41443</c:v>
                </c:pt>
                <c:pt idx="87">
                  <c:v>41444</c:v>
                </c:pt>
                <c:pt idx="88">
                  <c:v>41445</c:v>
                </c:pt>
                <c:pt idx="89">
                  <c:v>41446</c:v>
                </c:pt>
                <c:pt idx="90">
                  <c:v>41449</c:v>
                </c:pt>
                <c:pt idx="91">
                  <c:v>41450</c:v>
                </c:pt>
                <c:pt idx="92">
                  <c:v>41451</c:v>
                </c:pt>
                <c:pt idx="93">
                  <c:v>41452</c:v>
                </c:pt>
                <c:pt idx="94">
                  <c:v>41453</c:v>
                </c:pt>
                <c:pt idx="95">
                  <c:v>41456</c:v>
                </c:pt>
                <c:pt idx="96">
                  <c:v>41457</c:v>
                </c:pt>
                <c:pt idx="97">
                  <c:v>41458</c:v>
                </c:pt>
                <c:pt idx="98">
                  <c:v>41459</c:v>
                </c:pt>
                <c:pt idx="99">
                  <c:v>41460</c:v>
                </c:pt>
                <c:pt idx="100">
                  <c:v>41463</c:v>
                </c:pt>
                <c:pt idx="101">
                  <c:v>41464</c:v>
                </c:pt>
                <c:pt idx="102">
                  <c:v>41465</c:v>
                </c:pt>
                <c:pt idx="103">
                  <c:v>41466</c:v>
                </c:pt>
                <c:pt idx="104">
                  <c:v>41467</c:v>
                </c:pt>
                <c:pt idx="105">
                  <c:v>41470</c:v>
                </c:pt>
                <c:pt idx="106">
                  <c:v>41471</c:v>
                </c:pt>
                <c:pt idx="107">
                  <c:v>41472</c:v>
                </c:pt>
                <c:pt idx="108">
                  <c:v>41473</c:v>
                </c:pt>
                <c:pt idx="109">
                  <c:v>41474</c:v>
                </c:pt>
                <c:pt idx="110">
                  <c:v>41477</c:v>
                </c:pt>
                <c:pt idx="111">
                  <c:v>41478</c:v>
                </c:pt>
                <c:pt idx="112">
                  <c:v>41479</c:v>
                </c:pt>
                <c:pt idx="113">
                  <c:v>41480</c:v>
                </c:pt>
                <c:pt idx="114">
                  <c:v>41481</c:v>
                </c:pt>
                <c:pt idx="115">
                  <c:v>41484</c:v>
                </c:pt>
                <c:pt idx="116">
                  <c:v>41485</c:v>
                </c:pt>
                <c:pt idx="117">
                  <c:v>41486</c:v>
                </c:pt>
                <c:pt idx="118">
                  <c:v>41487</c:v>
                </c:pt>
                <c:pt idx="119">
                  <c:v>41488</c:v>
                </c:pt>
                <c:pt idx="120">
                  <c:v>41491</c:v>
                </c:pt>
                <c:pt idx="121">
                  <c:v>41492</c:v>
                </c:pt>
                <c:pt idx="122">
                  <c:v>41493</c:v>
                </c:pt>
                <c:pt idx="123">
                  <c:v>41494</c:v>
                </c:pt>
                <c:pt idx="124">
                  <c:v>41495</c:v>
                </c:pt>
                <c:pt idx="125">
                  <c:v>41498</c:v>
                </c:pt>
                <c:pt idx="126">
                  <c:v>41499</c:v>
                </c:pt>
                <c:pt idx="127">
                  <c:v>41500</c:v>
                </c:pt>
                <c:pt idx="128">
                  <c:v>41501</c:v>
                </c:pt>
                <c:pt idx="129">
                  <c:v>41502</c:v>
                </c:pt>
                <c:pt idx="130">
                  <c:v>41505</c:v>
                </c:pt>
                <c:pt idx="131">
                  <c:v>41506</c:v>
                </c:pt>
                <c:pt idx="132">
                  <c:v>41507</c:v>
                </c:pt>
                <c:pt idx="133">
                  <c:v>41508</c:v>
                </c:pt>
                <c:pt idx="134">
                  <c:v>41509</c:v>
                </c:pt>
                <c:pt idx="135">
                  <c:v>41512</c:v>
                </c:pt>
                <c:pt idx="136">
                  <c:v>41513</c:v>
                </c:pt>
                <c:pt idx="137">
                  <c:v>41514</c:v>
                </c:pt>
                <c:pt idx="138">
                  <c:v>41515</c:v>
                </c:pt>
                <c:pt idx="139">
                  <c:v>41516</c:v>
                </c:pt>
                <c:pt idx="140">
                  <c:v>41519</c:v>
                </c:pt>
                <c:pt idx="141">
                  <c:v>41520</c:v>
                </c:pt>
                <c:pt idx="142">
                  <c:v>41521</c:v>
                </c:pt>
                <c:pt idx="143">
                  <c:v>41522</c:v>
                </c:pt>
                <c:pt idx="144">
                  <c:v>41523</c:v>
                </c:pt>
                <c:pt idx="145">
                  <c:v>41526</c:v>
                </c:pt>
                <c:pt idx="146">
                  <c:v>41527</c:v>
                </c:pt>
                <c:pt idx="147">
                  <c:v>41528</c:v>
                </c:pt>
                <c:pt idx="148">
                  <c:v>41529</c:v>
                </c:pt>
                <c:pt idx="149">
                  <c:v>41530</c:v>
                </c:pt>
                <c:pt idx="150">
                  <c:v>41533</c:v>
                </c:pt>
                <c:pt idx="151">
                  <c:v>41534</c:v>
                </c:pt>
                <c:pt idx="152">
                  <c:v>41535</c:v>
                </c:pt>
                <c:pt idx="153">
                  <c:v>41540</c:v>
                </c:pt>
                <c:pt idx="154">
                  <c:v>41541</c:v>
                </c:pt>
                <c:pt idx="155">
                  <c:v>41542</c:v>
                </c:pt>
                <c:pt idx="156">
                  <c:v>41543</c:v>
                </c:pt>
                <c:pt idx="157">
                  <c:v>41544</c:v>
                </c:pt>
                <c:pt idx="158">
                  <c:v>41547</c:v>
                </c:pt>
              </c:numCache>
            </c:numRef>
          </c:cat>
          <c:val>
            <c:numRef>
              <c:f>Sheet1!$B$2116:$B$2274</c:f>
              <c:numCache>
                <c:formatCode>###,###,###,###,##0.00_ </c:formatCode>
                <c:ptCount val="159"/>
                <c:pt idx="0">
                  <c:v>1398.8799999999999</c:v>
                </c:pt>
                <c:pt idx="1">
                  <c:v>1406.43</c:v>
                </c:pt>
                <c:pt idx="2">
                  <c:v>1408.6899999999998</c:v>
                </c:pt>
                <c:pt idx="3">
                  <c:v>1416.6399999999999</c:v>
                </c:pt>
                <c:pt idx="4">
                  <c:v>1410.4</c:v>
                </c:pt>
                <c:pt idx="5">
                  <c:v>1407.84</c:v>
                </c:pt>
                <c:pt idx="6">
                  <c:v>1401.8799999999999</c:v>
                </c:pt>
                <c:pt idx="7">
                  <c:v>1401.05</c:v>
                </c:pt>
                <c:pt idx="8">
                  <c:v>1384.54</c:v>
                </c:pt>
                <c:pt idx="9">
                  <c:v>1386.91</c:v>
                </c:pt>
                <c:pt idx="10">
                  <c:v>1386.1699999999998</c:v>
                </c:pt>
                <c:pt idx="11">
                  <c:v>1365.92</c:v>
                </c:pt>
                <c:pt idx="12">
                  <c:v>1367.99</c:v>
                </c:pt>
                <c:pt idx="13">
                  <c:v>1357.23</c:v>
                </c:pt>
                <c:pt idx="14">
                  <c:v>1343.03</c:v>
                </c:pt>
                <c:pt idx="15">
                  <c:v>1350.95</c:v>
                </c:pt>
                <c:pt idx="16">
                  <c:v>1358.2</c:v>
                </c:pt>
                <c:pt idx="17">
                  <c:v>1345.11</c:v>
                </c:pt>
                <c:pt idx="18">
                  <c:v>1334.4</c:v>
                </c:pt>
                <c:pt idx="19">
                  <c:v>1345.58</c:v>
                </c:pt>
                <c:pt idx="20">
                  <c:v>1342.36</c:v>
                </c:pt>
                <c:pt idx="21">
                  <c:v>1335.7</c:v>
                </c:pt>
                <c:pt idx="22">
                  <c:v>1339.57</c:v>
                </c:pt>
                <c:pt idx="23">
                  <c:v>1333.72</c:v>
                </c:pt>
                <c:pt idx="24">
                  <c:v>1323.32</c:v>
                </c:pt>
                <c:pt idx="25">
                  <c:v>1321.86</c:v>
                </c:pt>
                <c:pt idx="26">
                  <c:v>1312.49</c:v>
                </c:pt>
                <c:pt idx="27">
                  <c:v>1325.05</c:v>
                </c:pt>
                <c:pt idx="28">
                  <c:v>1304.29</c:v>
                </c:pt>
                <c:pt idx="29">
                  <c:v>1308.9000000000001</c:v>
                </c:pt>
                <c:pt idx="30">
                  <c:v>1316.1</c:v>
                </c:pt>
                <c:pt idx="31">
                  <c:v>1321.37</c:v>
                </c:pt>
                <c:pt idx="32">
                  <c:v>1315.83</c:v>
                </c:pt>
                <c:pt idx="33">
                  <c:v>1318.4</c:v>
                </c:pt>
                <c:pt idx="34">
                  <c:v>1313.56</c:v>
                </c:pt>
                <c:pt idx="35">
                  <c:v>1310.24</c:v>
                </c:pt>
                <c:pt idx="36">
                  <c:v>1300</c:v>
                </c:pt>
                <c:pt idx="37">
                  <c:v>1293.57</c:v>
                </c:pt>
                <c:pt idx="38">
                  <c:v>1275.27</c:v>
                </c:pt>
                <c:pt idx="39">
                  <c:v>1285.43</c:v>
                </c:pt>
                <c:pt idx="40">
                  <c:v>1278.72</c:v>
                </c:pt>
                <c:pt idx="41">
                  <c:v>1288.5899999999999</c:v>
                </c:pt>
                <c:pt idx="42">
                  <c:v>1290.21</c:v>
                </c:pt>
                <c:pt idx="43">
                  <c:v>1294.8499999999999</c:v>
                </c:pt>
                <c:pt idx="44">
                  <c:v>1285.78</c:v>
                </c:pt>
                <c:pt idx="45">
                  <c:v>1286.28</c:v>
                </c:pt>
                <c:pt idx="46">
                  <c:v>1256.01</c:v>
                </c:pt>
                <c:pt idx="47">
                  <c:v>1246.55</c:v>
                </c:pt>
                <c:pt idx="48">
                  <c:v>1235.75</c:v>
                </c:pt>
                <c:pt idx="49">
                  <c:v>1222.2</c:v>
                </c:pt>
                <c:pt idx="50">
                  <c:v>1231.79</c:v>
                </c:pt>
                <c:pt idx="51">
                  <c:v>1211.1699999999998</c:v>
                </c:pt>
                <c:pt idx="52">
                  <c:v>1204.47</c:v>
                </c:pt>
                <c:pt idx="53">
                  <c:v>1216.78</c:v>
                </c:pt>
                <c:pt idx="54">
                  <c:v>1222.94</c:v>
                </c:pt>
                <c:pt idx="55">
                  <c:v>1226.4000000000001</c:v>
                </c:pt>
                <c:pt idx="56">
                  <c:v>1211.56</c:v>
                </c:pt>
                <c:pt idx="57">
                  <c:v>1227.6299999999999</c:v>
                </c:pt>
                <c:pt idx="58">
                  <c:v>1242.8499999999999</c:v>
                </c:pt>
                <c:pt idx="59">
                  <c:v>1236.22</c:v>
                </c:pt>
                <c:pt idx="60">
                  <c:v>1250.98</c:v>
                </c:pt>
                <c:pt idx="61">
                  <c:v>1246.22</c:v>
                </c:pt>
                <c:pt idx="62">
                  <c:v>1257.3399999999999</c:v>
                </c:pt>
                <c:pt idx="63">
                  <c:v>1252.93</c:v>
                </c:pt>
                <c:pt idx="64">
                  <c:v>1248.02</c:v>
                </c:pt>
                <c:pt idx="65">
                  <c:v>1231.29</c:v>
                </c:pt>
                <c:pt idx="66">
                  <c:v>1232.83</c:v>
                </c:pt>
                <c:pt idx="67">
                  <c:v>1246.8699999999999</c:v>
                </c:pt>
                <c:pt idx="68">
                  <c:v>1241.32</c:v>
                </c:pt>
                <c:pt idx="69">
                  <c:v>1248.8799999999999</c:v>
                </c:pt>
                <c:pt idx="70">
                  <c:v>1251.3499999999999</c:v>
                </c:pt>
                <c:pt idx="71">
                  <c:v>1231.5</c:v>
                </c:pt>
                <c:pt idx="72">
                  <c:v>1237.05</c:v>
                </c:pt>
                <c:pt idx="73">
                  <c:v>1229.47</c:v>
                </c:pt>
                <c:pt idx="74">
                  <c:v>1230.98</c:v>
                </c:pt>
                <c:pt idx="75">
                  <c:v>1223.1399999999999</c:v>
                </c:pt>
                <c:pt idx="76">
                  <c:v>1226.26</c:v>
                </c:pt>
                <c:pt idx="77">
                  <c:v>1226.5</c:v>
                </c:pt>
                <c:pt idx="78">
                  <c:v>1235.6399999999999</c:v>
                </c:pt>
                <c:pt idx="79">
                  <c:v>1235.72</c:v>
                </c:pt>
                <c:pt idx="80">
                  <c:v>1238.47</c:v>
                </c:pt>
                <c:pt idx="81">
                  <c:v>1223.96</c:v>
                </c:pt>
                <c:pt idx="82">
                  <c:v>1229.21</c:v>
                </c:pt>
                <c:pt idx="83">
                  <c:v>1214.99</c:v>
                </c:pt>
                <c:pt idx="84">
                  <c:v>1217.46</c:v>
                </c:pt>
                <c:pt idx="85">
                  <c:v>1224.3499999999999</c:v>
                </c:pt>
                <c:pt idx="86">
                  <c:v>1222.31</c:v>
                </c:pt>
                <c:pt idx="87">
                  <c:v>1224.4000000000001</c:v>
                </c:pt>
                <c:pt idx="88">
                  <c:v>1206.8599999999999</c:v>
                </c:pt>
                <c:pt idx="89">
                  <c:v>1198.6499999999999</c:v>
                </c:pt>
                <c:pt idx="90">
                  <c:v>1179.28</c:v>
                </c:pt>
                <c:pt idx="91">
                  <c:v>1189.7</c:v>
                </c:pt>
                <c:pt idx="92">
                  <c:v>1177.83</c:v>
                </c:pt>
                <c:pt idx="93">
                  <c:v>1184.53</c:v>
                </c:pt>
                <c:pt idx="94">
                  <c:v>1182.5899999999999</c:v>
                </c:pt>
                <c:pt idx="95">
                  <c:v>1192.57</c:v>
                </c:pt>
                <c:pt idx="96">
                  <c:v>1198.1099999999999</c:v>
                </c:pt>
                <c:pt idx="97">
                  <c:v>1199.1799999999998</c:v>
                </c:pt>
                <c:pt idx="98">
                  <c:v>1198.8699999999999</c:v>
                </c:pt>
                <c:pt idx="99">
                  <c:v>1192.98</c:v>
                </c:pt>
                <c:pt idx="100">
                  <c:v>1180.28</c:v>
                </c:pt>
                <c:pt idx="101">
                  <c:v>1185.51</c:v>
                </c:pt>
                <c:pt idx="102">
                  <c:v>1188.51</c:v>
                </c:pt>
                <c:pt idx="103">
                  <c:v>1208.1899999999998</c:v>
                </c:pt>
                <c:pt idx="104">
                  <c:v>1196.47</c:v>
                </c:pt>
                <c:pt idx="105">
                  <c:v>1193.8</c:v>
                </c:pt>
                <c:pt idx="106">
                  <c:v>1197.81</c:v>
                </c:pt>
                <c:pt idx="107">
                  <c:v>1203.45</c:v>
                </c:pt>
                <c:pt idx="108">
                  <c:v>1204.0999999999999</c:v>
                </c:pt>
                <c:pt idx="109">
                  <c:v>1204.71</c:v>
                </c:pt>
                <c:pt idx="110">
                  <c:v>1212.98</c:v>
                </c:pt>
                <c:pt idx="111">
                  <c:v>1213.98</c:v>
                </c:pt>
                <c:pt idx="112">
                  <c:v>1214.93</c:v>
                </c:pt>
                <c:pt idx="113">
                  <c:v>1211.03</c:v>
                </c:pt>
                <c:pt idx="114">
                  <c:v>1198.3499999999999</c:v>
                </c:pt>
                <c:pt idx="115">
                  <c:v>1185.75</c:v>
                </c:pt>
                <c:pt idx="116">
                  <c:v>1185.03</c:v>
                </c:pt>
                <c:pt idx="117">
                  <c:v>1193.3899999999999</c:v>
                </c:pt>
                <c:pt idx="118">
                  <c:v>1200.1799999999998</c:v>
                </c:pt>
                <c:pt idx="119">
                  <c:v>1200.04</c:v>
                </c:pt>
                <c:pt idx="120">
                  <c:v>1204.8499999999999</c:v>
                </c:pt>
                <c:pt idx="121">
                  <c:v>1204.5</c:v>
                </c:pt>
                <c:pt idx="122">
                  <c:v>1198.95</c:v>
                </c:pt>
                <c:pt idx="123">
                  <c:v>1215.25</c:v>
                </c:pt>
                <c:pt idx="124">
                  <c:v>1220.8</c:v>
                </c:pt>
                <c:pt idx="125">
                  <c:v>1237.75</c:v>
                </c:pt>
                <c:pt idx="126">
                  <c:v>1247.96</c:v>
                </c:pt>
                <c:pt idx="127">
                  <c:v>1240.28</c:v>
                </c:pt>
                <c:pt idx="128">
                  <c:v>1244.06</c:v>
                </c:pt>
                <c:pt idx="129">
                  <c:v>1254.02</c:v>
                </c:pt>
                <c:pt idx="130">
                  <c:v>1254.31</c:v>
                </c:pt>
                <c:pt idx="131">
                  <c:v>1244.94</c:v>
                </c:pt>
                <c:pt idx="132">
                  <c:v>1246.9100000000001</c:v>
                </c:pt>
                <c:pt idx="133">
                  <c:v>1248.6299999999999</c:v>
                </c:pt>
                <c:pt idx="134">
                  <c:v>1254.45</c:v>
                </c:pt>
                <c:pt idx="135">
                  <c:v>1275.3</c:v>
                </c:pt>
                <c:pt idx="136">
                  <c:v>1276.22</c:v>
                </c:pt>
                <c:pt idx="137">
                  <c:v>1264.21</c:v>
                </c:pt>
                <c:pt idx="138">
                  <c:v>1258.6799999999998</c:v>
                </c:pt>
                <c:pt idx="139">
                  <c:v>1251.7</c:v>
                </c:pt>
                <c:pt idx="140">
                  <c:v>1269.3</c:v>
                </c:pt>
                <c:pt idx="141">
                  <c:v>1266.48</c:v>
                </c:pt>
                <c:pt idx="142">
                  <c:v>1259.8</c:v>
                </c:pt>
                <c:pt idx="143">
                  <c:v>1257.78</c:v>
                </c:pt>
                <c:pt idx="144">
                  <c:v>1263.08</c:v>
                </c:pt>
                <c:pt idx="145">
                  <c:v>1269.43</c:v>
                </c:pt>
                <c:pt idx="146">
                  <c:v>1259.81</c:v>
                </c:pt>
                <c:pt idx="147">
                  <c:v>1261.6099999999999</c:v>
                </c:pt>
                <c:pt idx="148">
                  <c:v>1252.04</c:v>
                </c:pt>
                <c:pt idx="149">
                  <c:v>1249.1099999999999</c:v>
                </c:pt>
                <c:pt idx="150">
                  <c:v>1241.21</c:v>
                </c:pt>
                <c:pt idx="151">
                  <c:v>1244.8699999999999</c:v>
                </c:pt>
                <c:pt idx="152">
                  <c:v>1247.83</c:v>
                </c:pt>
                <c:pt idx="153">
                  <c:v>1251.3699999999999</c:v>
                </c:pt>
                <c:pt idx="154">
                  <c:v>1248.55</c:v>
                </c:pt>
                <c:pt idx="155">
                  <c:v>1249.55</c:v>
                </c:pt>
                <c:pt idx="156">
                  <c:v>1251.8</c:v>
                </c:pt>
                <c:pt idx="157">
                  <c:v>1246.3499999999999</c:v>
                </c:pt>
                <c:pt idx="158">
                  <c:v>1245.8899999999999</c:v>
                </c:pt>
              </c:numCache>
            </c:numRef>
          </c:val>
        </c:ser>
        <c:marker val="1"/>
        <c:axId val="346176896"/>
        <c:axId val="346186880"/>
      </c:lineChart>
      <c:dateAx>
        <c:axId val="346176896"/>
        <c:scaling>
          <c:orientation val="minMax"/>
        </c:scaling>
        <c:axPos val="b"/>
        <c:numFmt formatCode="yyyy\-mm\-dd;@" sourceLinked="1"/>
        <c:tickLblPos val="nextTo"/>
        <c:crossAx val="346186880"/>
        <c:crosses val="autoZero"/>
        <c:auto val="1"/>
        <c:lblOffset val="100"/>
      </c:dateAx>
      <c:valAx>
        <c:axId val="346186880"/>
        <c:scaling>
          <c:orientation val="minMax"/>
        </c:scaling>
        <c:axPos val="l"/>
        <c:majorGridlines/>
        <c:numFmt formatCode="###,###,###,###,##0.00_ " sourceLinked="1"/>
        <c:tickLblPos val="nextTo"/>
        <c:crossAx val="346176896"/>
        <c:crosses val="autoZero"/>
        <c:crossBetween val="between"/>
      </c:valAx>
    </c:plotArea>
    <c:legend>
      <c:legendPos val="b"/>
    </c:legend>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活跃合约!$H$1</c:f>
              <c:strCache>
                <c:ptCount val="1"/>
                <c:pt idx="0">
                  <c:v>商品期货9月涨跌幅</c:v>
                </c:pt>
              </c:strCache>
            </c:strRef>
          </c:tx>
          <c:cat>
            <c:strRef>
              <c:f>活跃合约!$F$2:$F$32</c:f>
              <c:strCache>
                <c:ptCount val="31"/>
                <c:pt idx="0">
                  <c:v>黄大豆1号1401</c:v>
                </c:pt>
                <c:pt idx="1">
                  <c:v>白银1312</c:v>
                </c:pt>
                <c:pt idx="2">
                  <c:v>铝1312</c:v>
                </c:pt>
                <c:pt idx="3">
                  <c:v>黄金1312</c:v>
                </c:pt>
                <c:pt idx="4">
                  <c:v>黄大豆2号1403</c:v>
                </c:pt>
                <c:pt idx="5">
                  <c:v>黄玉米1405</c:v>
                </c:pt>
                <c:pt idx="6">
                  <c:v>黄玉米1405</c:v>
                </c:pt>
                <c:pt idx="7">
                  <c:v>一号棉花401</c:v>
                </c:pt>
                <c:pt idx="8">
                  <c:v>阴极铜1312</c:v>
                </c:pt>
                <c:pt idx="9">
                  <c:v>平板玻璃401</c:v>
                </c:pt>
                <c:pt idx="10">
                  <c:v>燃料油1312</c:v>
                </c:pt>
                <c:pt idx="11">
                  <c:v>焦炭1401</c:v>
                </c:pt>
                <c:pt idx="12">
                  <c:v>焦煤1401</c:v>
                </c:pt>
                <c:pt idx="13">
                  <c:v>线型低密度聚乙烯1401</c:v>
                </c:pt>
                <c:pt idx="14">
                  <c:v>豆粕1401</c:v>
                </c:pt>
                <c:pt idx="15">
                  <c:v>甲醇401</c:v>
                </c:pt>
                <c:pt idx="16">
                  <c:v>菜籽油401</c:v>
                </c:pt>
                <c:pt idx="17">
                  <c:v>棕榈油1401</c:v>
                </c:pt>
                <c:pt idx="18">
                  <c:v>铅1310</c:v>
                </c:pt>
                <c:pt idx="19">
                  <c:v>普通小麦401</c:v>
                </c:pt>
                <c:pt idx="20">
                  <c:v>螺纹钢1401</c:v>
                </c:pt>
                <c:pt idx="21">
                  <c:v>早籼稻401</c:v>
                </c:pt>
                <c:pt idx="22">
                  <c:v>菜籽粕401</c:v>
                </c:pt>
                <c:pt idx="23">
                  <c:v>菜籽粕401</c:v>
                </c:pt>
                <c:pt idx="24">
                  <c:v>天然橡胶1401</c:v>
                </c:pt>
                <c:pt idx="25">
                  <c:v>白砂糖401</c:v>
                </c:pt>
                <c:pt idx="26">
                  <c:v>精对苯二甲酸401</c:v>
                </c:pt>
                <c:pt idx="27">
                  <c:v>聚氯乙烯1401</c:v>
                </c:pt>
                <c:pt idx="28">
                  <c:v>优质强筋小麦401</c:v>
                </c:pt>
                <c:pt idx="29">
                  <c:v>线材1401</c:v>
                </c:pt>
                <c:pt idx="30">
                  <c:v>豆油1401</c:v>
                </c:pt>
              </c:strCache>
            </c:strRef>
          </c:cat>
          <c:val>
            <c:numRef>
              <c:f>活跃合约!$H$2:$H$32</c:f>
              <c:numCache>
                <c:formatCode>0.00%</c:formatCode>
                <c:ptCount val="31"/>
                <c:pt idx="0">
                  <c:v>2.3049645390070952E-2</c:v>
                </c:pt>
                <c:pt idx="1">
                  <c:v>-7.5630252100840331E-2</c:v>
                </c:pt>
                <c:pt idx="2">
                  <c:v>4.2090494563311476E-3</c:v>
                </c:pt>
                <c:pt idx="3">
                  <c:v>-4.5511333214349484E-2</c:v>
                </c:pt>
                <c:pt idx="4">
                  <c:v>-5.5125284738041194E-2</c:v>
                </c:pt>
                <c:pt idx="5">
                  <c:v>-8.6206896551724267E-4</c:v>
                </c:pt>
                <c:pt idx="6">
                  <c:v>-8.6206896551724267E-4</c:v>
                </c:pt>
                <c:pt idx="7">
                  <c:v>3.2729103726082602E-3</c:v>
                </c:pt>
                <c:pt idx="8">
                  <c:v>1.6166281755196306E-2</c:v>
                </c:pt>
                <c:pt idx="9">
                  <c:v>-5.1711580480699196E-2</c:v>
                </c:pt>
                <c:pt idx="10">
                  <c:v>-0.19114516815666241</c:v>
                </c:pt>
                <c:pt idx="11">
                  <c:v>-2.4020227560050601E-2</c:v>
                </c:pt>
                <c:pt idx="12">
                  <c:v>2.6455026455026614E-3</c:v>
                </c:pt>
                <c:pt idx="13">
                  <c:v>1.1070110701107061E-2</c:v>
                </c:pt>
                <c:pt idx="14">
                  <c:v>4.3588301462317208E-2</c:v>
                </c:pt>
                <c:pt idx="15">
                  <c:v>1.6037063435495366E-2</c:v>
                </c:pt>
                <c:pt idx="16">
                  <c:v>-5.2053361234632514E-2</c:v>
                </c:pt>
                <c:pt idx="17">
                  <c:v>-3.0608570399711918E-2</c:v>
                </c:pt>
                <c:pt idx="18">
                  <c:v>-4.1424169804861362E-2</c:v>
                </c:pt>
                <c:pt idx="19">
                  <c:v>4.7695390781563096E-2</c:v>
                </c:pt>
                <c:pt idx="20">
                  <c:v>-4.4231281641353593E-2</c:v>
                </c:pt>
                <c:pt idx="21">
                  <c:v>-1.1665325824617944E-2</c:v>
                </c:pt>
                <c:pt idx="22">
                  <c:v>2.0550760378133991E-2</c:v>
                </c:pt>
                <c:pt idx="23">
                  <c:v>2.0550760378133991E-2</c:v>
                </c:pt>
                <c:pt idx="24">
                  <c:v>4.0000000000000114E-3</c:v>
                </c:pt>
                <c:pt idx="25">
                  <c:v>1.8614891913530825E-2</c:v>
                </c:pt>
                <c:pt idx="26">
                  <c:v>-3.1639262580966887E-2</c:v>
                </c:pt>
                <c:pt idx="27">
                  <c:v>-1.8072289156626505E-2</c:v>
                </c:pt>
                <c:pt idx="28">
                  <c:v>3.9022611232676876E-2</c:v>
                </c:pt>
                <c:pt idx="29">
                  <c:v>-5.1710629407155914E-2</c:v>
                </c:pt>
                <c:pt idx="30">
                  <c:v>-2.9559397657557211E-2</c:v>
                </c:pt>
              </c:numCache>
            </c:numRef>
          </c:val>
        </c:ser>
        <c:axId val="346239744"/>
        <c:axId val="346241280"/>
      </c:barChart>
      <c:catAx>
        <c:axId val="346239744"/>
        <c:scaling>
          <c:orientation val="minMax"/>
        </c:scaling>
        <c:axPos val="b"/>
        <c:tickLblPos val="low"/>
        <c:crossAx val="346241280"/>
        <c:crosses val="autoZero"/>
        <c:auto val="1"/>
        <c:lblAlgn val="ctr"/>
        <c:lblOffset val="100"/>
      </c:catAx>
      <c:valAx>
        <c:axId val="346241280"/>
        <c:scaling>
          <c:orientation val="minMax"/>
        </c:scaling>
        <c:axPos val="l"/>
        <c:majorGridlines/>
        <c:numFmt formatCode="0.00%" sourceLinked="1"/>
        <c:tickLblPos val="nextTo"/>
        <c:crossAx val="346239744"/>
        <c:crosses val="autoZero"/>
        <c:crossBetween val="between"/>
      </c:valAx>
    </c:plotArea>
    <c:legend>
      <c:legendPos val="b"/>
    </c:legend>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lineChart>
        <c:grouping val="standard"/>
        <c:ser>
          <c:idx val="0"/>
          <c:order val="0"/>
          <c:tx>
            <c:strRef>
              <c:f>Sheet1!$B$2</c:f>
              <c:strCache>
                <c:ptCount val="1"/>
                <c:pt idx="0">
                  <c:v>金融机构:人民币存款余额(亿元)</c:v>
                </c:pt>
              </c:strCache>
            </c:strRef>
          </c:tx>
          <c:marker>
            <c:symbol val="none"/>
          </c:marker>
          <c:cat>
            <c:numRef>
              <c:f>Sheet1!$A$5:$A$49</c:f>
              <c:numCache>
                <c:formatCode>yyyy\-mm;@</c:formatCode>
                <c:ptCount val="45"/>
                <c:pt idx="0">
                  <c:v>41547</c:v>
                </c:pt>
                <c:pt idx="1">
                  <c:v>41517</c:v>
                </c:pt>
                <c:pt idx="2">
                  <c:v>41486</c:v>
                </c:pt>
                <c:pt idx="3">
                  <c:v>41455</c:v>
                </c:pt>
                <c:pt idx="4">
                  <c:v>41425</c:v>
                </c:pt>
                <c:pt idx="5">
                  <c:v>41394</c:v>
                </c:pt>
                <c:pt idx="6">
                  <c:v>41364</c:v>
                </c:pt>
                <c:pt idx="7">
                  <c:v>41333</c:v>
                </c:pt>
                <c:pt idx="8">
                  <c:v>41305</c:v>
                </c:pt>
                <c:pt idx="9">
                  <c:v>41274</c:v>
                </c:pt>
                <c:pt idx="10">
                  <c:v>41243</c:v>
                </c:pt>
                <c:pt idx="11">
                  <c:v>41213</c:v>
                </c:pt>
                <c:pt idx="12">
                  <c:v>41182</c:v>
                </c:pt>
                <c:pt idx="13">
                  <c:v>41152</c:v>
                </c:pt>
                <c:pt idx="14">
                  <c:v>41121</c:v>
                </c:pt>
                <c:pt idx="15">
                  <c:v>41090</c:v>
                </c:pt>
                <c:pt idx="16">
                  <c:v>41060</c:v>
                </c:pt>
                <c:pt idx="17">
                  <c:v>41029</c:v>
                </c:pt>
                <c:pt idx="18">
                  <c:v>40999</c:v>
                </c:pt>
                <c:pt idx="19">
                  <c:v>40968</c:v>
                </c:pt>
                <c:pt idx="20">
                  <c:v>40939</c:v>
                </c:pt>
                <c:pt idx="21">
                  <c:v>40908</c:v>
                </c:pt>
                <c:pt idx="22">
                  <c:v>40877</c:v>
                </c:pt>
                <c:pt idx="23">
                  <c:v>40847</c:v>
                </c:pt>
                <c:pt idx="24">
                  <c:v>40816</c:v>
                </c:pt>
                <c:pt idx="25">
                  <c:v>40786</c:v>
                </c:pt>
                <c:pt idx="26">
                  <c:v>40755</c:v>
                </c:pt>
                <c:pt idx="27">
                  <c:v>40724</c:v>
                </c:pt>
                <c:pt idx="28">
                  <c:v>40694</c:v>
                </c:pt>
                <c:pt idx="29">
                  <c:v>40663</c:v>
                </c:pt>
                <c:pt idx="30">
                  <c:v>40633</c:v>
                </c:pt>
                <c:pt idx="31">
                  <c:v>40602</c:v>
                </c:pt>
                <c:pt idx="32">
                  <c:v>40574</c:v>
                </c:pt>
                <c:pt idx="33">
                  <c:v>40543</c:v>
                </c:pt>
                <c:pt idx="34">
                  <c:v>40512</c:v>
                </c:pt>
                <c:pt idx="35">
                  <c:v>40482</c:v>
                </c:pt>
                <c:pt idx="36">
                  <c:v>40451</c:v>
                </c:pt>
                <c:pt idx="37">
                  <c:v>40421</c:v>
                </c:pt>
                <c:pt idx="38">
                  <c:v>40390</c:v>
                </c:pt>
                <c:pt idx="39">
                  <c:v>40359</c:v>
                </c:pt>
                <c:pt idx="40">
                  <c:v>40329</c:v>
                </c:pt>
                <c:pt idx="41">
                  <c:v>40298</c:v>
                </c:pt>
                <c:pt idx="42">
                  <c:v>40268</c:v>
                </c:pt>
                <c:pt idx="43">
                  <c:v>40237</c:v>
                </c:pt>
                <c:pt idx="44">
                  <c:v>40209</c:v>
                </c:pt>
              </c:numCache>
            </c:numRef>
          </c:cat>
          <c:val>
            <c:numRef>
              <c:f>Sheet1!$B$5:$B$49</c:f>
              <c:numCache>
                <c:formatCode>#,##0.00_ </c:formatCode>
                <c:ptCount val="45"/>
                <c:pt idx="0">
                  <c:v>1030900</c:v>
                </c:pt>
                <c:pt idx="1">
                  <c:v>1014623.65651566</c:v>
                </c:pt>
                <c:pt idx="2">
                  <c:v>1006549.30037463</c:v>
                </c:pt>
                <c:pt idx="3">
                  <c:v>1009122.2666374923</c:v>
                </c:pt>
                <c:pt idx="4">
                  <c:v>993113.83319893002</c:v>
                </c:pt>
                <c:pt idx="5">
                  <c:v>978299.69247351692</c:v>
                </c:pt>
                <c:pt idx="6">
                  <c:v>979300.52652684692</c:v>
                </c:pt>
                <c:pt idx="7">
                  <c:v>937065.13492099498</c:v>
                </c:pt>
                <c:pt idx="8">
                  <c:v>929345.32707040105</c:v>
                </c:pt>
                <c:pt idx="9">
                  <c:v>917368.11269978306</c:v>
                </c:pt>
                <c:pt idx="10">
                  <c:v>901585.93465558405</c:v>
                </c:pt>
                <c:pt idx="11">
                  <c:v>896846.62460336497</c:v>
                </c:pt>
                <c:pt idx="12">
                  <c:v>899647.06203079305</c:v>
                </c:pt>
                <c:pt idx="13">
                  <c:v>883106.27533599199</c:v>
                </c:pt>
                <c:pt idx="14">
                  <c:v>878062.300917777</c:v>
                </c:pt>
                <c:pt idx="15">
                  <c:v>883068.72243115399</c:v>
                </c:pt>
                <c:pt idx="16">
                  <c:v>854499.66679808497</c:v>
                </c:pt>
                <c:pt idx="17">
                  <c:v>842275.27960497397</c:v>
                </c:pt>
                <c:pt idx="18">
                  <c:v>846931.69525394205</c:v>
                </c:pt>
                <c:pt idx="19">
                  <c:v>817398.07903909637</c:v>
                </c:pt>
                <c:pt idx="20">
                  <c:v>801385.32265563332</c:v>
                </c:pt>
                <c:pt idx="21">
                  <c:v>809368.33226825297</c:v>
                </c:pt>
                <c:pt idx="22">
                  <c:v>795113.97221007897</c:v>
                </c:pt>
                <c:pt idx="23">
                  <c:v>791884.97778599395</c:v>
                </c:pt>
                <c:pt idx="24">
                  <c:v>794100.43696667044</c:v>
                </c:pt>
                <c:pt idx="25">
                  <c:v>786797.55615778442</c:v>
                </c:pt>
                <c:pt idx="26">
                  <c:v>779731.72600133542</c:v>
                </c:pt>
                <c:pt idx="27">
                  <c:v>786432.5638927418</c:v>
                </c:pt>
                <c:pt idx="28">
                  <c:v>767339.00178680045</c:v>
                </c:pt>
                <c:pt idx="29">
                  <c:v>756262.39435612503</c:v>
                </c:pt>
                <c:pt idx="30">
                  <c:v>752838.39899584244</c:v>
                </c:pt>
                <c:pt idx="31">
                  <c:v>726017.63610401843</c:v>
                </c:pt>
                <c:pt idx="32">
                  <c:v>712828.05079278711</c:v>
                </c:pt>
                <c:pt idx="33">
                  <c:v>718237.92795050004</c:v>
                </c:pt>
                <c:pt idx="34">
                  <c:v>708784.30294524145</c:v>
                </c:pt>
                <c:pt idx="35">
                  <c:v>702793.70754829014</c:v>
                </c:pt>
                <c:pt idx="36">
                  <c:v>701024.47874974797</c:v>
                </c:pt>
                <c:pt idx="37">
                  <c:v>686463.53427118692</c:v>
                </c:pt>
                <c:pt idx="38">
                  <c:v>675706.87655687903</c:v>
                </c:pt>
                <c:pt idx="39">
                  <c:v>674098.02613492403</c:v>
                </c:pt>
                <c:pt idx="40">
                  <c:v>660756.77859412599</c:v>
                </c:pt>
                <c:pt idx="41">
                  <c:v>649915.56458437501</c:v>
                </c:pt>
                <c:pt idx="42">
                  <c:v>638090.42197622405</c:v>
                </c:pt>
                <c:pt idx="43">
                  <c:v>622436.84233628702</c:v>
                </c:pt>
                <c:pt idx="44">
                  <c:v>612877.26146985195</c:v>
                </c:pt>
              </c:numCache>
            </c:numRef>
          </c:val>
        </c:ser>
        <c:marker val="1"/>
        <c:axId val="346265472"/>
        <c:axId val="346267008"/>
      </c:lineChart>
      <c:dateAx>
        <c:axId val="346265472"/>
        <c:scaling>
          <c:orientation val="minMax"/>
        </c:scaling>
        <c:axPos val="b"/>
        <c:numFmt formatCode="yyyy\-mm;@" sourceLinked="1"/>
        <c:tickLblPos val="nextTo"/>
        <c:crossAx val="346267008"/>
        <c:crosses val="autoZero"/>
        <c:auto val="1"/>
        <c:lblOffset val="100"/>
        <c:majorUnit val="2"/>
        <c:majorTimeUnit val="months"/>
      </c:dateAx>
      <c:valAx>
        <c:axId val="346267008"/>
        <c:scaling>
          <c:orientation val="minMax"/>
        </c:scaling>
        <c:axPos val="l"/>
        <c:majorGridlines/>
        <c:numFmt formatCode="#,##0.00_ " sourceLinked="1"/>
        <c:tickLblPos val="nextTo"/>
        <c:crossAx val="346265472"/>
        <c:crosses val="autoZero"/>
        <c:crossBetween val="between"/>
      </c:valAx>
    </c:plotArea>
    <c:legend>
      <c:legendPos val="b"/>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strRef>
              <c:f>Sheet1!$H$1:$H$2</c:f>
              <c:strCache>
                <c:ptCount val="1"/>
                <c:pt idx="0">
                  <c:v>CPI:非食品:当月同比 月</c:v>
                </c:pt>
              </c:strCache>
            </c:strRef>
          </c:tx>
          <c:marker>
            <c:symbol val="none"/>
          </c:marker>
          <c:cat>
            <c:numRef>
              <c:f>Sheet1!$G$3:$G$155</c:f>
              <c:numCache>
                <c:formatCode>yyyy\-mm;@</c:formatCode>
                <c:ptCount val="153"/>
                <c:pt idx="0">
                  <c:v>41547</c:v>
                </c:pt>
                <c:pt idx="1">
                  <c:v>41517</c:v>
                </c:pt>
                <c:pt idx="2">
                  <c:v>41486</c:v>
                </c:pt>
                <c:pt idx="3">
                  <c:v>41455</c:v>
                </c:pt>
                <c:pt idx="4">
                  <c:v>41425</c:v>
                </c:pt>
                <c:pt idx="5">
                  <c:v>41394</c:v>
                </c:pt>
                <c:pt idx="6">
                  <c:v>41364</c:v>
                </c:pt>
                <c:pt idx="7">
                  <c:v>41333</c:v>
                </c:pt>
                <c:pt idx="8">
                  <c:v>41305</c:v>
                </c:pt>
                <c:pt idx="9">
                  <c:v>41274</c:v>
                </c:pt>
                <c:pt idx="10">
                  <c:v>41243</c:v>
                </c:pt>
                <c:pt idx="11">
                  <c:v>41213</c:v>
                </c:pt>
                <c:pt idx="12">
                  <c:v>41182</c:v>
                </c:pt>
                <c:pt idx="13">
                  <c:v>41152</c:v>
                </c:pt>
                <c:pt idx="14">
                  <c:v>41121</c:v>
                </c:pt>
                <c:pt idx="15">
                  <c:v>41090</c:v>
                </c:pt>
                <c:pt idx="16">
                  <c:v>41060</c:v>
                </c:pt>
                <c:pt idx="17">
                  <c:v>41029</c:v>
                </c:pt>
                <c:pt idx="18">
                  <c:v>40999</c:v>
                </c:pt>
                <c:pt idx="19">
                  <c:v>40968</c:v>
                </c:pt>
                <c:pt idx="20">
                  <c:v>40939</c:v>
                </c:pt>
                <c:pt idx="21">
                  <c:v>40908</c:v>
                </c:pt>
                <c:pt idx="22">
                  <c:v>40877</c:v>
                </c:pt>
                <c:pt idx="23">
                  <c:v>40847</c:v>
                </c:pt>
                <c:pt idx="24">
                  <c:v>40816</c:v>
                </c:pt>
                <c:pt idx="25">
                  <c:v>40786</c:v>
                </c:pt>
                <c:pt idx="26">
                  <c:v>40755</c:v>
                </c:pt>
                <c:pt idx="27">
                  <c:v>40724</c:v>
                </c:pt>
                <c:pt idx="28">
                  <c:v>40694</c:v>
                </c:pt>
                <c:pt idx="29">
                  <c:v>40663</c:v>
                </c:pt>
                <c:pt idx="30">
                  <c:v>40633</c:v>
                </c:pt>
                <c:pt idx="31">
                  <c:v>40602</c:v>
                </c:pt>
                <c:pt idx="32">
                  <c:v>40574</c:v>
                </c:pt>
                <c:pt idx="33">
                  <c:v>40543</c:v>
                </c:pt>
                <c:pt idx="34">
                  <c:v>40512</c:v>
                </c:pt>
                <c:pt idx="35">
                  <c:v>40482</c:v>
                </c:pt>
                <c:pt idx="36">
                  <c:v>40451</c:v>
                </c:pt>
                <c:pt idx="37">
                  <c:v>40421</c:v>
                </c:pt>
                <c:pt idx="38">
                  <c:v>40390</c:v>
                </c:pt>
                <c:pt idx="39">
                  <c:v>40359</c:v>
                </c:pt>
                <c:pt idx="40">
                  <c:v>40329</c:v>
                </c:pt>
                <c:pt idx="41">
                  <c:v>40298</c:v>
                </c:pt>
                <c:pt idx="42">
                  <c:v>40268</c:v>
                </c:pt>
                <c:pt idx="43">
                  <c:v>40237</c:v>
                </c:pt>
                <c:pt idx="44">
                  <c:v>40209</c:v>
                </c:pt>
                <c:pt idx="45">
                  <c:v>40178</c:v>
                </c:pt>
                <c:pt idx="46">
                  <c:v>40147</c:v>
                </c:pt>
                <c:pt idx="47">
                  <c:v>40117</c:v>
                </c:pt>
                <c:pt idx="48">
                  <c:v>40086</c:v>
                </c:pt>
                <c:pt idx="49">
                  <c:v>40056</c:v>
                </c:pt>
                <c:pt idx="50">
                  <c:v>40025</c:v>
                </c:pt>
                <c:pt idx="51">
                  <c:v>39994</c:v>
                </c:pt>
                <c:pt idx="52">
                  <c:v>39964</c:v>
                </c:pt>
                <c:pt idx="53">
                  <c:v>39933</c:v>
                </c:pt>
                <c:pt idx="54">
                  <c:v>39903</c:v>
                </c:pt>
                <c:pt idx="55">
                  <c:v>39872</c:v>
                </c:pt>
                <c:pt idx="56">
                  <c:v>39844</c:v>
                </c:pt>
                <c:pt idx="57">
                  <c:v>39813</c:v>
                </c:pt>
                <c:pt idx="58">
                  <c:v>39782</c:v>
                </c:pt>
                <c:pt idx="59">
                  <c:v>39752</c:v>
                </c:pt>
                <c:pt idx="60">
                  <c:v>39721</c:v>
                </c:pt>
                <c:pt idx="61">
                  <c:v>39691</c:v>
                </c:pt>
                <c:pt idx="62">
                  <c:v>39660</c:v>
                </c:pt>
                <c:pt idx="63">
                  <c:v>39629</c:v>
                </c:pt>
                <c:pt idx="64">
                  <c:v>39599</c:v>
                </c:pt>
                <c:pt idx="65">
                  <c:v>39568</c:v>
                </c:pt>
                <c:pt idx="66">
                  <c:v>39538</c:v>
                </c:pt>
                <c:pt idx="67">
                  <c:v>39507</c:v>
                </c:pt>
                <c:pt idx="68">
                  <c:v>39478</c:v>
                </c:pt>
                <c:pt idx="69">
                  <c:v>39447</c:v>
                </c:pt>
                <c:pt idx="70">
                  <c:v>39416</c:v>
                </c:pt>
                <c:pt idx="71">
                  <c:v>39386</c:v>
                </c:pt>
                <c:pt idx="72">
                  <c:v>39355</c:v>
                </c:pt>
                <c:pt idx="73">
                  <c:v>39325</c:v>
                </c:pt>
                <c:pt idx="74">
                  <c:v>39294</c:v>
                </c:pt>
                <c:pt idx="75">
                  <c:v>39263</c:v>
                </c:pt>
                <c:pt idx="76">
                  <c:v>39233</c:v>
                </c:pt>
                <c:pt idx="77">
                  <c:v>39202</c:v>
                </c:pt>
                <c:pt idx="78">
                  <c:v>39172</c:v>
                </c:pt>
                <c:pt idx="79">
                  <c:v>39141</c:v>
                </c:pt>
                <c:pt idx="80">
                  <c:v>39113</c:v>
                </c:pt>
                <c:pt idx="81">
                  <c:v>39082</c:v>
                </c:pt>
                <c:pt idx="82">
                  <c:v>39051</c:v>
                </c:pt>
                <c:pt idx="83">
                  <c:v>39021</c:v>
                </c:pt>
                <c:pt idx="84">
                  <c:v>38990</c:v>
                </c:pt>
                <c:pt idx="85">
                  <c:v>38960</c:v>
                </c:pt>
                <c:pt idx="86">
                  <c:v>38929</c:v>
                </c:pt>
                <c:pt idx="87">
                  <c:v>38898</c:v>
                </c:pt>
                <c:pt idx="88">
                  <c:v>38868</c:v>
                </c:pt>
                <c:pt idx="89">
                  <c:v>38837</c:v>
                </c:pt>
                <c:pt idx="90">
                  <c:v>38807</c:v>
                </c:pt>
                <c:pt idx="91">
                  <c:v>38776</c:v>
                </c:pt>
                <c:pt idx="92">
                  <c:v>38748</c:v>
                </c:pt>
                <c:pt idx="93">
                  <c:v>38717</c:v>
                </c:pt>
                <c:pt idx="94">
                  <c:v>38686</c:v>
                </c:pt>
                <c:pt idx="95">
                  <c:v>38656</c:v>
                </c:pt>
                <c:pt idx="96">
                  <c:v>38625</c:v>
                </c:pt>
                <c:pt idx="97">
                  <c:v>38595</c:v>
                </c:pt>
                <c:pt idx="98">
                  <c:v>38564</c:v>
                </c:pt>
                <c:pt idx="99">
                  <c:v>38533</c:v>
                </c:pt>
                <c:pt idx="100">
                  <c:v>38503</c:v>
                </c:pt>
                <c:pt idx="101">
                  <c:v>38472</c:v>
                </c:pt>
                <c:pt idx="102">
                  <c:v>38442</c:v>
                </c:pt>
                <c:pt idx="103">
                  <c:v>38411</c:v>
                </c:pt>
                <c:pt idx="104">
                  <c:v>38383</c:v>
                </c:pt>
                <c:pt idx="105">
                  <c:v>38352</c:v>
                </c:pt>
                <c:pt idx="106">
                  <c:v>38321</c:v>
                </c:pt>
                <c:pt idx="107">
                  <c:v>38291</c:v>
                </c:pt>
                <c:pt idx="108">
                  <c:v>38260</c:v>
                </c:pt>
                <c:pt idx="109">
                  <c:v>38230</c:v>
                </c:pt>
                <c:pt idx="110">
                  <c:v>38199</c:v>
                </c:pt>
                <c:pt idx="111">
                  <c:v>38168</c:v>
                </c:pt>
                <c:pt idx="112">
                  <c:v>38138</c:v>
                </c:pt>
                <c:pt idx="113">
                  <c:v>38107</c:v>
                </c:pt>
                <c:pt idx="114">
                  <c:v>38077</c:v>
                </c:pt>
                <c:pt idx="115">
                  <c:v>38046</c:v>
                </c:pt>
                <c:pt idx="116">
                  <c:v>38017</c:v>
                </c:pt>
                <c:pt idx="117">
                  <c:v>37986</c:v>
                </c:pt>
                <c:pt idx="118">
                  <c:v>37955</c:v>
                </c:pt>
                <c:pt idx="119">
                  <c:v>37925</c:v>
                </c:pt>
                <c:pt idx="120">
                  <c:v>37894</c:v>
                </c:pt>
                <c:pt idx="121">
                  <c:v>37864</c:v>
                </c:pt>
                <c:pt idx="122">
                  <c:v>37833</c:v>
                </c:pt>
                <c:pt idx="123">
                  <c:v>37802</c:v>
                </c:pt>
                <c:pt idx="124">
                  <c:v>37772</c:v>
                </c:pt>
                <c:pt idx="125">
                  <c:v>37741</c:v>
                </c:pt>
                <c:pt idx="126">
                  <c:v>37711</c:v>
                </c:pt>
                <c:pt idx="127">
                  <c:v>37680</c:v>
                </c:pt>
                <c:pt idx="128">
                  <c:v>37652</c:v>
                </c:pt>
                <c:pt idx="129">
                  <c:v>37621</c:v>
                </c:pt>
                <c:pt idx="130">
                  <c:v>37590</c:v>
                </c:pt>
                <c:pt idx="131">
                  <c:v>37560</c:v>
                </c:pt>
                <c:pt idx="132">
                  <c:v>37529</c:v>
                </c:pt>
                <c:pt idx="133">
                  <c:v>37499</c:v>
                </c:pt>
                <c:pt idx="134">
                  <c:v>37468</c:v>
                </c:pt>
                <c:pt idx="135">
                  <c:v>37437</c:v>
                </c:pt>
                <c:pt idx="136">
                  <c:v>37407</c:v>
                </c:pt>
                <c:pt idx="137">
                  <c:v>37376</c:v>
                </c:pt>
                <c:pt idx="138">
                  <c:v>37346</c:v>
                </c:pt>
                <c:pt idx="139">
                  <c:v>37315</c:v>
                </c:pt>
                <c:pt idx="140">
                  <c:v>37287</c:v>
                </c:pt>
                <c:pt idx="141">
                  <c:v>37256</c:v>
                </c:pt>
                <c:pt idx="142">
                  <c:v>37225</c:v>
                </c:pt>
                <c:pt idx="143">
                  <c:v>37195</c:v>
                </c:pt>
                <c:pt idx="144">
                  <c:v>37164</c:v>
                </c:pt>
                <c:pt idx="145">
                  <c:v>37134</c:v>
                </c:pt>
                <c:pt idx="146">
                  <c:v>37103</c:v>
                </c:pt>
                <c:pt idx="147">
                  <c:v>37072</c:v>
                </c:pt>
                <c:pt idx="148">
                  <c:v>37042</c:v>
                </c:pt>
                <c:pt idx="149">
                  <c:v>37011</c:v>
                </c:pt>
                <c:pt idx="150">
                  <c:v>36981</c:v>
                </c:pt>
                <c:pt idx="151">
                  <c:v>36950</c:v>
                </c:pt>
                <c:pt idx="152">
                  <c:v>36922</c:v>
                </c:pt>
              </c:numCache>
            </c:numRef>
          </c:cat>
          <c:val>
            <c:numRef>
              <c:f>Sheet1!$H$3:$H$155</c:f>
              <c:numCache>
                <c:formatCode>###,###,###,###,##0.00_ </c:formatCode>
                <c:ptCount val="153"/>
                <c:pt idx="0">
                  <c:v>1.6</c:v>
                </c:pt>
                <c:pt idx="1">
                  <c:v>1.5</c:v>
                </c:pt>
                <c:pt idx="2">
                  <c:v>1.6</c:v>
                </c:pt>
                <c:pt idx="3">
                  <c:v>1.6</c:v>
                </c:pt>
                <c:pt idx="4">
                  <c:v>1.6</c:v>
                </c:pt>
                <c:pt idx="5">
                  <c:v>1.6</c:v>
                </c:pt>
                <c:pt idx="6">
                  <c:v>1.8</c:v>
                </c:pt>
                <c:pt idx="7">
                  <c:v>1.9000000000000001</c:v>
                </c:pt>
                <c:pt idx="8">
                  <c:v>1.6</c:v>
                </c:pt>
                <c:pt idx="9">
                  <c:v>1.7</c:v>
                </c:pt>
                <c:pt idx="10">
                  <c:v>1.6</c:v>
                </c:pt>
                <c:pt idx="11">
                  <c:v>1.7</c:v>
                </c:pt>
                <c:pt idx="12">
                  <c:v>1.7</c:v>
                </c:pt>
                <c:pt idx="13">
                  <c:v>1.4</c:v>
                </c:pt>
                <c:pt idx="14">
                  <c:v>1.5</c:v>
                </c:pt>
                <c:pt idx="15">
                  <c:v>1.4</c:v>
                </c:pt>
                <c:pt idx="16">
                  <c:v>1.4</c:v>
                </c:pt>
                <c:pt idx="17">
                  <c:v>1.7</c:v>
                </c:pt>
                <c:pt idx="18">
                  <c:v>1.8</c:v>
                </c:pt>
                <c:pt idx="19">
                  <c:v>1.7</c:v>
                </c:pt>
                <c:pt idx="20">
                  <c:v>1.8</c:v>
                </c:pt>
                <c:pt idx="21">
                  <c:v>1.9000000000000001</c:v>
                </c:pt>
                <c:pt idx="22">
                  <c:v>2.2000000000000002</c:v>
                </c:pt>
                <c:pt idx="23">
                  <c:v>2.7</c:v>
                </c:pt>
                <c:pt idx="24">
                  <c:v>2.9</c:v>
                </c:pt>
                <c:pt idx="25">
                  <c:v>3</c:v>
                </c:pt>
                <c:pt idx="26">
                  <c:v>2.9</c:v>
                </c:pt>
                <c:pt idx="27">
                  <c:v>3</c:v>
                </c:pt>
                <c:pt idx="28">
                  <c:v>2.9</c:v>
                </c:pt>
                <c:pt idx="29">
                  <c:v>2.7</c:v>
                </c:pt>
                <c:pt idx="30">
                  <c:v>2.7</c:v>
                </c:pt>
                <c:pt idx="31">
                  <c:v>2.2999999999999998</c:v>
                </c:pt>
                <c:pt idx="32">
                  <c:v>2.6</c:v>
                </c:pt>
                <c:pt idx="33">
                  <c:v>2.1</c:v>
                </c:pt>
                <c:pt idx="34">
                  <c:v>1.9000000000000001</c:v>
                </c:pt>
                <c:pt idx="35">
                  <c:v>1.6</c:v>
                </c:pt>
                <c:pt idx="36">
                  <c:v>1.4</c:v>
                </c:pt>
                <c:pt idx="37">
                  <c:v>1.5</c:v>
                </c:pt>
                <c:pt idx="38">
                  <c:v>1.6</c:v>
                </c:pt>
                <c:pt idx="39">
                  <c:v>1.6</c:v>
                </c:pt>
                <c:pt idx="40">
                  <c:v>1.6</c:v>
                </c:pt>
                <c:pt idx="41">
                  <c:v>1.3</c:v>
                </c:pt>
                <c:pt idx="42">
                  <c:v>1</c:v>
                </c:pt>
                <c:pt idx="43">
                  <c:v>1</c:v>
                </c:pt>
                <c:pt idx="44">
                  <c:v>0.5</c:v>
                </c:pt>
                <c:pt idx="45">
                  <c:v>0.2</c:v>
                </c:pt>
                <c:pt idx="46">
                  <c:v>-0.70000000000000062</c:v>
                </c:pt>
                <c:pt idx="47">
                  <c:v>-1.6</c:v>
                </c:pt>
                <c:pt idx="48">
                  <c:v>-1.9000000000000001</c:v>
                </c:pt>
                <c:pt idx="49">
                  <c:v>-2</c:v>
                </c:pt>
                <c:pt idx="50">
                  <c:v>-2.1</c:v>
                </c:pt>
                <c:pt idx="51">
                  <c:v>-1.9000000000000001</c:v>
                </c:pt>
                <c:pt idx="52">
                  <c:v>-1.7</c:v>
                </c:pt>
                <c:pt idx="53">
                  <c:v>-1.5</c:v>
                </c:pt>
                <c:pt idx="54">
                  <c:v>-1.3</c:v>
                </c:pt>
                <c:pt idx="55">
                  <c:v>-1.2</c:v>
                </c:pt>
                <c:pt idx="56">
                  <c:v>-0.60000000000000064</c:v>
                </c:pt>
                <c:pt idx="57">
                  <c:v>-0.30000000000000032</c:v>
                </c:pt>
                <c:pt idx="58">
                  <c:v>0.60000000000000064</c:v>
                </c:pt>
                <c:pt idx="59">
                  <c:v>1.6</c:v>
                </c:pt>
                <c:pt idx="60">
                  <c:v>2</c:v>
                </c:pt>
                <c:pt idx="61">
                  <c:v>2.1</c:v>
                </c:pt>
                <c:pt idx="62">
                  <c:v>2.1</c:v>
                </c:pt>
                <c:pt idx="63">
                  <c:v>1.9000000000000001</c:v>
                </c:pt>
                <c:pt idx="64">
                  <c:v>1.7</c:v>
                </c:pt>
                <c:pt idx="65">
                  <c:v>1.8</c:v>
                </c:pt>
                <c:pt idx="66">
                  <c:v>1.8</c:v>
                </c:pt>
                <c:pt idx="67">
                  <c:v>1.6</c:v>
                </c:pt>
                <c:pt idx="68">
                  <c:v>1.5</c:v>
                </c:pt>
                <c:pt idx="69">
                  <c:v>1.4</c:v>
                </c:pt>
                <c:pt idx="70">
                  <c:v>1.4</c:v>
                </c:pt>
                <c:pt idx="71">
                  <c:v>1.1000000000000001</c:v>
                </c:pt>
                <c:pt idx="72">
                  <c:v>1.1000000000000001</c:v>
                </c:pt>
                <c:pt idx="73">
                  <c:v>0.9</c:v>
                </c:pt>
                <c:pt idx="74">
                  <c:v>0.9</c:v>
                </c:pt>
                <c:pt idx="75">
                  <c:v>1</c:v>
                </c:pt>
                <c:pt idx="76">
                  <c:v>1</c:v>
                </c:pt>
                <c:pt idx="77">
                  <c:v>1</c:v>
                </c:pt>
                <c:pt idx="78">
                  <c:v>1.1000000000000001</c:v>
                </c:pt>
                <c:pt idx="79">
                  <c:v>1</c:v>
                </c:pt>
                <c:pt idx="80">
                  <c:v>0.70000000000000062</c:v>
                </c:pt>
                <c:pt idx="81">
                  <c:v>1.1000000000000001</c:v>
                </c:pt>
                <c:pt idx="82">
                  <c:v>1</c:v>
                </c:pt>
                <c:pt idx="83">
                  <c:v>1</c:v>
                </c:pt>
                <c:pt idx="84">
                  <c:v>1.1000000000000001</c:v>
                </c:pt>
                <c:pt idx="85">
                  <c:v>1.3</c:v>
                </c:pt>
                <c:pt idx="86">
                  <c:v>1.2</c:v>
                </c:pt>
                <c:pt idx="87">
                  <c:v>1.2</c:v>
                </c:pt>
                <c:pt idx="88">
                  <c:v>1.1000000000000001</c:v>
                </c:pt>
                <c:pt idx="89">
                  <c:v>0.9</c:v>
                </c:pt>
                <c:pt idx="90">
                  <c:v>0.8</c:v>
                </c:pt>
                <c:pt idx="91">
                  <c:v>0.70000000000000062</c:v>
                </c:pt>
                <c:pt idx="92">
                  <c:v>1</c:v>
                </c:pt>
                <c:pt idx="93">
                  <c:v>1.2</c:v>
                </c:pt>
                <c:pt idx="94">
                  <c:v>1.2</c:v>
                </c:pt>
                <c:pt idx="95">
                  <c:v>1.2</c:v>
                </c:pt>
                <c:pt idx="96">
                  <c:v>1.2</c:v>
                </c:pt>
                <c:pt idx="97">
                  <c:v>1.5</c:v>
                </c:pt>
                <c:pt idx="98">
                  <c:v>1.5</c:v>
                </c:pt>
                <c:pt idx="99">
                  <c:v>1.3</c:v>
                </c:pt>
                <c:pt idx="100">
                  <c:v>1.2</c:v>
                </c:pt>
                <c:pt idx="101">
                  <c:v>1.2</c:v>
                </c:pt>
                <c:pt idx="102">
                  <c:v>1.2</c:v>
                </c:pt>
                <c:pt idx="103">
                  <c:v>1.4</c:v>
                </c:pt>
                <c:pt idx="104">
                  <c:v>0.8</c:v>
                </c:pt>
                <c:pt idx="105">
                  <c:v>1.1000000000000001</c:v>
                </c:pt>
                <c:pt idx="106">
                  <c:v>1.2</c:v>
                </c:pt>
                <c:pt idx="107">
                  <c:v>1.3</c:v>
                </c:pt>
                <c:pt idx="108">
                  <c:v>1.3</c:v>
                </c:pt>
                <c:pt idx="109">
                  <c:v>1</c:v>
                </c:pt>
                <c:pt idx="110">
                  <c:v>0.8</c:v>
                </c:pt>
                <c:pt idx="111">
                  <c:v>0.60000000000000064</c:v>
                </c:pt>
                <c:pt idx="112">
                  <c:v>0.60000000000000064</c:v>
                </c:pt>
                <c:pt idx="113">
                  <c:v>0.5</c:v>
                </c:pt>
                <c:pt idx="114">
                  <c:v>0.5</c:v>
                </c:pt>
                <c:pt idx="115">
                  <c:v>0.30000000000000032</c:v>
                </c:pt>
                <c:pt idx="116">
                  <c:v>0.70000000000000062</c:v>
                </c:pt>
                <c:pt idx="117">
                  <c:v>0.5</c:v>
                </c:pt>
                <c:pt idx="118">
                  <c:v>0.4</c:v>
                </c:pt>
                <c:pt idx="119">
                  <c:v>0.2</c:v>
                </c:pt>
                <c:pt idx="120">
                  <c:v>0.1</c:v>
                </c:pt>
                <c:pt idx="121">
                  <c:v>0.30000000000000032</c:v>
                </c:pt>
                <c:pt idx="122">
                  <c:v>0.30000000000000032</c:v>
                </c:pt>
                <c:pt idx="123">
                  <c:v>0.30000000000000032</c:v>
                </c:pt>
                <c:pt idx="124">
                  <c:v>0.1</c:v>
                </c:pt>
                <c:pt idx="125">
                  <c:v>0</c:v>
                </c:pt>
                <c:pt idx="126">
                  <c:v>-0.30000000000000032</c:v>
                </c:pt>
                <c:pt idx="127">
                  <c:v>-0.60000000000000064</c:v>
                </c:pt>
                <c:pt idx="128">
                  <c:v>-0.60000000000000064</c:v>
                </c:pt>
                <c:pt idx="129">
                  <c:v>-0.9</c:v>
                </c:pt>
                <c:pt idx="130">
                  <c:v>-1</c:v>
                </c:pt>
                <c:pt idx="131">
                  <c:v>-0.9</c:v>
                </c:pt>
                <c:pt idx="132">
                  <c:v>-0.9</c:v>
                </c:pt>
                <c:pt idx="133">
                  <c:v>-0.9</c:v>
                </c:pt>
                <c:pt idx="134">
                  <c:v>-1</c:v>
                </c:pt>
                <c:pt idx="135">
                  <c:v>-1</c:v>
                </c:pt>
                <c:pt idx="136">
                  <c:v>-0.9</c:v>
                </c:pt>
                <c:pt idx="137">
                  <c:v>-0.9</c:v>
                </c:pt>
                <c:pt idx="138">
                  <c:v>-0.8</c:v>
                </c:pt>
                <c:pt idx="139">
                  <c:v>-0.30000000000000032</c:v>
                </c:pt>
                <c:pt idx="140">
                  <c:v>-0.5</c:v>
                </c:pt>
                <c:pt idx="141">
                  <c:v>-0.1</c:v>
                </c:pt>
                <c:pt idx="142">
                  <c:v>0</c:v>
                </c:pt>
                <c:pt idx="143">
                  <c:v>-0.1</c:v>
                </c:pt>
                <c:pt idx="144">
                  <c:v>-0.30000000000000032</c:v>
                </c:pt>
                <c:pt idx="145">
                  <c:v>1.4</c:v>
                </c:pt>
                <c:pt idx="146">
                  <c:v>1.5</c:v>
                </c:pt>
                <c:pt idx="147">
                  <c:v>1.6</c:v>
                </c:pt>
                <c:pt idx="148">
                  <c:v>1.7</c:v>
                </c:pt>
                <c:pt idx="149">
                  <c:v>1.8</c:v>
                </c:pt>
                <c:pt idx="150">
                  <c:v>1.7</c:v>
                </c:pt>
                <c:pt idx="151">
                  <c:v>1.7</c:v>
                </c:pt>
                <c:pt idx="152">
                  <c:v>2</c:v>
                </c:pt>
              </c:numCache>
            </c:numRef>
          </c:val>
        </c:ser>
        <c:ser>
          <c:idx val="1"/>
          <c:order val="1"/>
          <c:tx>
            <c:strRef>
              <c:f>Sheet1!$I$1:$I$2</c:f>
              <c:strCache>
                <c:ptCount val="1"/>
                <c:pt idx="0">
                  <c:v>CPI:非食品:环比 月</c:v>
                </c:pt>
              </c:strCache>
            </c:strRef>
          </c:tx>
          <c:marker>
            <c:symbol val="none"/>
          </c:marker>
          <c:cat>
            <c:numRef>
              <c:f>Sheet1!$G$3:$G$155</c:f>
              <c:numCache>
                <c:formatCode>yyyy\-mm;@</c:formatCode>
                <c:ptCount val="153"/>
                <c:pt idx="0">
                  <c:v>41547</c:v>
                </c:pt>
                <c:pt idx="1">
                  <c:v>41517</c:v>
                </c:pt>
                <c:pt idx="2">
                  <c:v>41486</c:v>
                </c:pt>
                <c:pt idx="3">
                  <c:v>41455</c:v>
                </c:pt>
                <c:pt idx="4">
                  <c:v>41425</c:v>
                </c:pt>
                <c:pt idx="5">
                  <c:v>41394</c:v>
                </c:pt>
                <c:pt idx="6">
                  <c:v>41364</c:v>
                </c:pt>
                <c:pt idx="7">
                  <c:v>41333</c:v>
                </c:pt>
                <c:pt idx="8">
                  <c:v>41305</c:v>
                </c:pt>
                <c:pt idx="9">
                  <c:v>41274</c:v>
                </c:pt>
                <c:pt idx="10">
                  <c:v>41243</c:v>
                </c:pt>
                <c:pt idx="11">
                  <c:v>41213</c:v>
                </c:pt>
                <c:pt idx="12">
                  <c:v>41182</c:v>
                </c:pt>
                <c:pt idx="13">
                  <c:v>41152</c:v>
                </c:pt>
                <c:pt idx="14">
                  <c:v>41121</c:v>
                </c:pt>
                <c:pt idx="15">
                  <c:v>41090</c:v>
                </c:pt>
                <c:pt idx="16">
                  <c:v>41060</c:v>
                </c:pt>
                <c:pt idx="17">
                  <c:v>41029</c:v>
                </c:pt>
                <c:pt idx="18">
                  <c:v>40999</c:v>
                </c:pt>
                <c:pt idx="19">
                  <c:v>40968</c:v>
                </c:pt>
                <c:pt idx="20">
                  <c:v>40939</c:v>
                </c:pt>
                <c:pt idx="21">
                  <c:v>40908</c:v>
                </c:pt>
                <c:pt idx="22">
                  <c:v>40877</c:v>
                </c:pt>
                <c:pt idx="23">
                  <c:v>40847</c:v>
                </c:pt>
                <c:pt idx="24">
                  <c:v>40816</c:v>
                </c:pt>
                <c:pt idx="25">
                  <c:v>40786</c:v>
                </c:pt>
                <c:pt idx="26">
                  <c:v>40755</c:v>
                </c:pt>
                <c:pt idx="27">
                  <c:v>40724</c:v>
                </c:pt>
                <c:pt idx="28">
                  <c:v>40694</c:v>
                </c:pt>
                <c:pt idx="29">
                  <c:v>40663</c:v>
                </c:pt>
                <c:pt idx="30">
                  <c:v>40633</c:v>
                </c:pt>
                <c:pt idx="31">
                  <c:v>40602</c:v>
                </c:pt>
                <c:pt idx="32">
                  <c:v>40574</c:v>
                </c:pt>
                <c:pt idx="33">
                  <c:v>40543</c:v>
                </c:pt>
                <c:pt idx="34">
                  <c:v>40512</c:v>
                </c:pt>
                <c:pt idx="35">
                  <c:v>40482</c:v>
                </c:pt>
                <c:pt idx="36">
                  <c:v>40451</c:v>
                </c:pt>
                <c:pt idx="37">
                  <c:v>40421</c:v>
                </c:pt>
                <c:pt idx="38">
                  <c:v>40390</c:v>
                </c:pt>
                <c:pt idx="39">
                  <c:v>40359</c:v>
                </c:pt>
                <c:pt idx="40">
                  <c:v>40329</c:v>
                </c:pt>
                <c:pt idx="41">
                  <c:v>40298</c:v>
                </c:pt>
                <c:pt idx="42">
                  <c:v>40268</c:v>
                </c:pt>
                <c:pt idx="43">
                  <c:v>40237</c:v>
                </c:pt>
                <c:pt idx="44">
                  <c:v>40209</c:v>
                </c:pt>
                <c:pt idx="45">
                  <c:v>40178</c:v>
                </c:pt>
                <c:pt idx="46">
                  <c:v>40147</c:v>
                </c:pt>
                <c:pt idx="47">
                  <c:v>40117</c:v>
                </c:pt>
                <c:pt idx="48">
                  <c:v>40086</c:v>
                </c:pt>
                <c:pt idx="49">
                  <c:v>40056</c:v>
                </c:pt>
                <c:pt idx="50">
                  <c:v>40025</c:v>
                </c:pt>
                <c:pt idx="51">
                  <c:v>39994</c:v>
                </c:pt>
                <c:pt idx="52">
                  <c:v>39964</c:v>
                </c:pt>
                <c:pt idx="53">
                  <c:v>39933</c:v>
                </c:pt>
                <c:pt idx="54">
                  <c:v>39903</c:v>
                </c:pt>
                <c:pt idx="55">
                  <c:v>39872</c:v>
                </c:pt>
                <c:pt idx="56">
                  <c:v>39844</c:v>
                </c:pt>
                <c:pt idx="57">
                  <c:v>39813</c:v>
                </c:pt>
                <c:pt idx="58">
                  <c:v>39782</c:v>
                </c:pt>
                <c:pt idx="59">
                  <c:v>39752</c:v>
                </c:pt>
                <c:pt idx="60">
                  <c:v>39721</c:v>
                </c:pt>
                <c:pt idx="61">
                  <c:v>39691</c:v>
                </c:pt>
                <c:pt idx="62">
                  <c:v>39660</c:v>
                </c:pt>
                <c:pt idx="63">
                  <c:v>39629</c:v>
                </c:pt>
                <c:pt idx="64">
                  <c:v>39599</c:v>
                </c:pt>
                <c:pt idx="65">
                  <c:v>39568</c:v>
                </c:pt>
                <c:pt idx="66">
                  <c:v>39538</c:v>
                </c:pt>
                <c:pt idx="67">
                  <c:v>39507</c:v>
                </c:pt>
                <c:pt idx="68">
                  <c:v>39478</c:v>
                </c:pt>
                <c:pt idx="69">
                  <c:v>39447</c:v>
                </c:pt>
                <c:pt idx="70">
                  <c:v>39416</c:v>
                </c:pt>
                <c:pt idx="71">
                  <c:v>39386</c:v>
                </c:pt>
                <c:pt idx="72">
                  <c:v>39355</c:v>
                </c:pt>
                <c:pt idx="73">
                  <c:v>39325</c:v>
                </c:pt>
                <c:pt idx="74">
                  <c:v>39294</c:v>
                </c:pt>
                <c:pt idx="75">
                  <c:v>39263</c:v>
                </c:pt>
                <c:pt idx="76">
                  <c:v>39233</c:v>
                </c:pt>
                <c:pt idx="77">
                  <c:v>39202</c:v>
                </c:pt>
                <c:pt idx="78">
                  <c:v>39172</c:v>
                </c:pt>
                <c:pt idx="79">
                  <c:v>39141</c:v>
                </c:pt>
                <c:pt idx="80">
                  <c:v>39113</c:v>
                </c:pt>
                <c:pt idx="81">
                  <c:v>39082</c:v>
                </c:pt>
                <c:pt idx="82">
                  <c:v>39051</c:v>
                </c:pt>
                <c:pt idx="83">
                  <c:v>39021</c:v>
                </c:pt>
                <c:pt idx="84">
                  <c:v>38990</c:v>
                </c:pt>
                <c:pt idx="85">
                  <c:v>38960</c:v>
                </c:pt>
                <c:pt idx="86">
                  <c:v>38929</c:v>
                </c:pt>
                <c:pt idx="87">
                  <c:v>38898</c:v>
                </c:pt>
                <c:pt idx="88">
                  <c:v>38868</c:v>
                </c:pt>
                <c:pt idx="89">
                  <c:v>38837</c:v>
                </c:pt>
                <c:pt idx="90">
                  <c:v>38807</c:v>
                </c:pt>
                <c:pt idx="91">
                  <c:v>38776</c:v>
                </c:pt>
                <c:pt idx="92">
                  <c:v>38748</c:v>
                </c:pt>
                <c:pt idx="93">
                  <c:v>38717</c:v>
                </c:pt>
                <c:pt idx="94">
                  <c:v>38686</c:v>
                </c:pt>
                <c:pt idx="95">
                  <c:v>38656</c:v>
                </c:pt>
                <c:pt idx="96">
                  <c:v>38625</c:v>
                </c:pt>
                <c:pt idx="97">
                  <c:v>38595</c:v>
                </c:pt>
                <c:pt idx="98">
                  <c:v>38564</c:v>
                </c:pt>
                <c:pt idx="99">
                  <c:v>38533</c:v>
                </c:pt>
                <c:pt idx="100">
                  <c:v>38503</c:v>
                </c:pt>
                <c:pt idx="101">
                  <c:v>38472</c:v>
                </c:pt>
                <c:pt idx="102">
                  <c:v>38442</c:v>
                </c:pt>
                <c:pt idx="103">
                  <c:v>38411</c:v>
                </c:pt>
                <c:pt idx="104">
                  <c:v>38383</c:v>
                </c:pt>
                <c:pt idx="105">
                  <c:v>38352</c:v>
                </c:pt>
                <c:pt idx="106">
                  <c:v>38321</c:v>
                </c:pt>
                <c:pt idx="107">
                  <c:v>38291</c:v>
                </c:pt>
                <c:pt idx="108">
                  <c:v>38260</c:v>
                </c:pt>
                <c:pt idx="109">
                  <c:v>38230</c:v>
                </c:pt>
                <c:pt idx="110">
                  <c:v>38199</c:v>
                </c:pt>
                <c:pt idx="111">
                  <c:v>38168</c:v>
                </c:pt>
                <c:pt idx="112">
                  <c:v>38138</c:v>
                </c:pt>
                <c:pt idx="113">
                  <c:v>38107</c:v>
                </c:pt>
                <c:pt idx="114">
                  <c:v>38077</c:v>
                </c:pt>
                <c:pt idx="115">
                  <c:v>38046</c:v>
                </c:pt>
                <c:pt idx="116">
                  <c:v>38017</c:v>
                </c:pt>
                <c:pt idx="117">
                  <c:v>37986</c:v>
                </c:pt>
                <c:pt idx="118">
                  <c:v>37955</c:v>
                </c:pt>
                <c:pt idx="119">
                  <c:v>37925</c:v>
                </c:pt>
                <c:pt idx="120">
                  <c:v>37894</c:v>
                </c:pt>
                <c:pt idx="121">
                  <c:v>37864</c:v>
                </c:pt>
                <c:pt idx="122">
                  <c:v>37833</c:v>
                </c:pt>
                <c:pt idx="123">
                  <c:v>37802</c:v>
                </c:pt>
                <c:pt idx="124">
                  <c:v>37772</c:v>
                </c:pt>
                <c:pt idx="125">
                  <c:v>37741</c:v>
                </c:pt>
                <c:pt idx="126">
                  <c:v>37711</c:v>
                </c:pt>
                <c:pt idx="127">
                  <c:v>37680</c:v>
                </c:pt>
                <c:pt idx="128">
                  <c:v>37652</c:v>
                </c:pt>
                <c:pt idx="129">
                  <c:v>37621</c:v>
                </c:pt>
                <c:pt idx="130">
                  <c:v>37590</c:v>
                </c:pt>
                <c:pt idx="131">
                  <c:v>37560</c:v>
                </c:pt>
                <c:pt idx="132">
                  <c:v>37529</c:v>
                </c:pt>
                <c:pt idx="133">
                  <c:v>37499</c:v>
                </c:pt>
                <c:pt idx="134">
                  <c:v>37468</c:v>
                </c:pt>
                <c:pt idx="135">
                  <c:v>37437</c:v>
                </c:pt>
                <c:pt idx="136">
                  <c:v>37407</c:v>
                </c:pt>
                <c:pt idx="137">
                  <c:v>37376</c:v>
                </c:pt>
                <c:pt idx="138">
                  <c:v>37346</c:v>
                </c:pt>
                <c:pt idx="139">
                  <c:v>37315</c:v>
                </c:pt>
                <c:pt idx="140">
                  <c:v>37287</c:v>
                </c:pt>
                <c:pt idx="141">
                  <c:v>37256</c:v>
                </c:pt>
                <c:pt idx="142">
                  <c:v>37225</c:v>
                </c:pt>
                <c:pt idx="143">
                  <c:v>37195</c:v>
                </c:pt>
                <c:pt idx="144">
                  <c:v>37164</c:v>
                </c:pt>
                <c:pt idx="145">
                  <c:v>37134</c:v>
                </c:pt>
                <c:pt idx="146">
                  <c:v>37103</c:v>
                </c:pt>
                <c:pt idx="147">
                  <c:v>37072</c:v>
                </c:pt>
                <c:pt idx="148">
                  <c:v>37042</c:v>
                </c:pt>
                <c:pt idx="149">
                  <c:v>37011</c:v>
                </c:pt>
                <c:pt idx="150">
                  <c:v>36981</c:v>
                </c:pt>
                <c:pt idx="151">
                  <c:v>36950</c:v>
                </c:pt>
                <c:pt idx="152">
                  <c:v>36922</c:v>
                </c:pt>
              </c:numCache>
            </c:numRef>
          </c:cat>
          <c:val>
            <c:numRef>
              <c:f>Sheet1!$I$3:$I$155</c:f>
              <c:numCache>
                <c:formatCode>###,###,###,###,##0.00_ </c:formatCode>
                <c:ptCount val="153"/>
                <c:pt idx="0">
                  <c:v>0.4</c:v>
                </c:pt>
                <c:pt idx="1">
                  <c:v>0.1</c:v>
                </c:pt>
                <c:pt idx="2">
                  <c:v>0.2</c:v>
                </c:pt>
                <c:pt idx="3">
                  <c:v>0</c:v>
                </c:pt>
                <c:pt idx="4">
                  <c:v>-0.1</c:v>
                </c:pt>
                <c:pt idx="5">
                  <c:v>0.2</c:v>
                </c:pt>
                <c:pt idx="6">
                  <c:v>0.1</c:v>
                </c:pt>
                <c:pt idx="7">
                  <c:v>0.2</c:v>
                </c:pt>
                <c:pt idx="8">
                  <c:v>0.1</c:v>
                </c:pt>
                <c:pt idx="9">
                  <c:v>0</c:v>
                </c:pt>
                <c:pt idx="10">
                  <c:v>0</c:v>
                </c:pt>
                <c:pt idx="11">
                  <c:v>0.30000000000000032</c:v>
                </c:pt>
                <c:pt idx="12">
                  <c:v>0.4</c:v>
                </c:pt>
                <c:pt idx="13">
                  <c:v>0.1</c:v>
                </c:pt>
                <c:pt idx="14">
                  <c:v>0.2</c:v>
                </c:pt>
                <c:pt idx="15">
                  <c:v>0</c:v>
                </c:pt>
                <c:pt idx="16">
                  <c:v>0</c:v>
                </c:pt>
                <c:pt idx="17">
                  <c:v>0.30000000000000032</c:v>
                </c:pt>
                <c:pt idx="18">
                  <c:v>0.2</c:v>
                </c:pt>
                <c:pt idx="19">
                  <c:v>0</c:v>
                </c:pt>
                <c:pt idx="20">
                  <c:v>0.2</c:v>
                </c:pt>
                <c:pt idx="21">
                  <c:v>-0.1</c:v>
                </c:pt>
                <c:pt idx="22">
                  <c:v>0.1</c:v>
                </c:pt>
                <c:pt idx="23">
                  <c:v>0.2</c:v>
                </c:pt>
                <c:pt idx="24">
                  <c:v>0.2</c:v>
                </c:pt>
                <c:pt idx="25">
                  <c:v>0.2</c:v>
                </c:pt>
                <c:pt idx="26">
                  <c:v>0.1</c:v>
                </c:pt>
                <c:pt idx="27">
                  <c:v>0</c:v>
                </c:pt>
                <c:pt idx="28">
                  <c:v>0.2</c:v>
                </c:pt>
                <c:pt idx="29">
                  <c:v>0.4</c:v>
                </c:pt>
                <c:pt idx="30">
                  <c:v>0.2</c:v>
                </c:pt>
                <c:pt idx="31">
                  <c:v>0.1</c:v>
                </c:pt>
                <c:pt idx="32">
                  <c:v>0.30000000000000032</c:v>
                </c:pt>
                <c:pt idx="33">
                  <c:v>0.30000000000000032</c:v>
                </c:pt>
                <c:pt idx="34">
                  <c:v>0.60000000000000064</c:v>
                </c:pt>
                <c:pt idx="35">
                  <c:v>0.4</c:v>
                </c:pt>
                <c:pt idx="36">
                  <c:v>0.30000000000000032</c:v>
                </c:pt>
                <c:pt idx="37">
                  <c:v>0</c:v>
                </c:pt>
                <c:pt idx="38">
                  <c:v>0.1</c:v>
                </c:pt>
                <c:pt idx="39">
                  <c:v>-0.1</c:v>
                </c:pt>
                <c:pt idx="40">
                  <c:v>0.1</c:v>
                </c:pt>
                <c:pt idx="41">
                  <c:v>0.30000000000000032</c:v>
                </c:pt>
                <c:pt idx="42">
                  <c:v>-0.30000000000000032</c:v>
                </c:pt>
                <c:pt idx="43">
                  <c:v>0.1</c:v>
                </c:pt>
                <c:pt idx="44">
                  <c:v>0</c:v>
                </c:pt>
                <c:pt idx="45">
                  <c:v>0</c:v>
                </c:pt>
                <c:pt idx="46">
                  <c:v>0.2</c:v>
                </c:pt>
                <c:pt idx="47">
                  <c:v>0.30000000000000032</c:v>
                </c:pt>
                <c:pt idx="48">
                  <c:v>0.2</c:v>
                </c:pt>
                <c:pt idx="49">
                  <c:v>0.1</c:v>
                </c:pt>
                <c:pt idx="50">
                  <c:v>0.1</c:v>
                </c:pt>
                <c:pt idx="51">
                  <c:v>-0.1</c:v>
                </c:pt>
                <c:pt idx="52">
                  <c:v>-0.1</c:v>
                </c:pt>
                <c:pt idx="53">
                  <c:v>0.1</c:v>
                </c:pt>
                <c:pt idx="54">
                  <c:v>-0.1</c:v>
                </c:pt>
                <c:pt idx="55">
                  <c:v>-0.4</c:v>
                </c:pt>
                <c:pt idx="56">
                  <c:v>-0.30000000000000032</c:v>
                </c:pt>
                <c:pt idx="57">
                  <c:v>-0.70000000000000062</c:v>
                </c:pt>
                <c:pt idx="58">
                  <c:v>-0.70000000000000062</c:v>
                </c:pt>
                <c:pt idx="59">
                  <c:v>0</c:v>
                </c:pt>
                <c:pt idx="60">
                  <c:v>0.2</c:v>
                </c:pt>
                <c:pt idx="61">
                  <c:v>0.1</c:v>
                </c:pt>
                <c:pt idx="62">
                  <c:v>0.2</c:v>
                </c:pt>
                <c:pt idx="63">
                  <c:v>0.1</c:v>
                </c:pt>
                <c:pt idx="64">
                  <c:v>0.1</c:v>
                </c:pt>
                <c:pt idx="65">
                  <c:v>0.2</c:v>
                </c:pt>
                <c:pt idx="66">
                  <c:v>-0.1</c:v>
                </c:pt>
                <c:pt idx="67">
                  <c:v>0.30000000000000032</c:v>
                </c:pt>
                <c:pt idx="68">
                  <c:v>0.1</c:v>
                </c:pt>
                <c:pt idx="69">
                  <c:v>0.2</c:v>
                </c:pt>
                <c:pt idx="70">
                  <c:v>0.30000000000000032</c:v>
                </c:pt>
                <c:pt idx="71">
                  <c:v>0.4</c:v>
                </c:pt>
                <c:pt idx="72">
                  <c:v>0.30000000000000032</c:v>
                </c:pt>
                <c:pt idx="73">
                  <c:v>0.1</c:v>
                </c:pt>
                <c:pt idx="74">
                  <c:v>0.1</c:v>
                </c:pt>
                <c:pt idx="75">
                  <c:v>-0.1</c:v>
                </c:pt>
                <c:pt idx="76">
                  <c:v>0.1</c:v>
                </c:pt>
                <c:pt idx="77">
                  <c:v>0.2</c:v>
                </c:pt>
                <c:pt idx="78">
                  <c:v>-0.2</c:v>
                </c:pt>
                <c:pt idx="79">
                  <c:v>0.1</c:v>
                </c:pt>
                <c:pt idx="80">
                  <c:v>0</c:v>
                </c:pt>
                <c:pt idx="81">
                  <c:v>0.2</c:v>
                </c:pt>
                <c:pt idx="82">
                  <c:v>0</c:v>
                </c:pt>
                <c:pt idx="83">
                  <c:v>0.4</c:v>
                </c:pt>
                <c:pt idx="84">
                  <c:v>0</c:v>
                </c:pt>
                <c:pt idx="85">
                  <c:v>0</c:v>
                </c:pt>
                <c:pt idx="86">
                  <c:v>0.2</c:v>
                </c:pt>
                <c:pt idx="87">
                  <c:v>0</c:v>
                </c:pt>
                <c:pt idx="88">
                  <c:v>0.2</c:v>
                </c:pt>
                <c:pt idx="89">
                  <c:v>0.30000000000000032</c:v>
                </c:pt>
                <c:pt idx="90">
                  <c:v>-0.30000000000000032</c:v>
                </c:pt>
                <c:pt idx="91">
                  <c:v>-0.2</c:v>
                </c:pt>
                <c:pt idx="92">
                  <c:v>0.30000000000000032</c:v>
                </c:pt>
                <c:pt idx="93">
                  <c:v>0.1</c:v>
                </c:pt>
                <c:pt idx="94">
                  <c:v>0</c:v>
                </c:pt>
                <c:pt idx="95">
                  <c:v>0.4</c:v>
                </c:pt>
                <c:pt idx="96">
                  <c:v>0.4</c:v>
                </c:pt>
                <c:pt idx="97">
                  <c:v>0.1</c:v>
                </c:pt>
                <c:pt idx="98">
                  <c:v>0.2</c:v>
                </c:pt>
                <c:pt idx="99">
                  <c:v>-0.1</c:v>
                </c:pt>
                <c:pt idx="100">
                  <c:v>0.1</c:v>
                </c:pt>
                <c:pt idx="101">
                  <c:v>0.2</c:v>
                </c:pt>
                <c:pt idx="102">
                  <c:v>-0.4</c:v>
                </c:pt>
                <c:pt idx="103">
                  <c:v>0.2</c:v>
                </c:pt>
                <c:pt idx="104">
                  <c:v>0.1</c:v>
                </c:pt>
                <c:pt idx="105">
                  <c:v>-0.1</c:v>
                </c:pt>
                <c:pt idx="106">
                  <c:v>0.2</c:v>
                </c:pt>
                <c:pt idx="107">
                  <c:v>0.30000000000000032</c:v>
                </c:pt>
                <c:pt idx="108">
                  <c:v>0.70000000000000062</c:v>
                </c:pt>
                <c:pt idx="109">
                  <c:v>0.2</c:v>
                </c:pt>
                <c:pt idx="110">
                  <c:v>0</c:v>
                </c:pt>
                <c:pt idx="111">
                  <c:v>-0.30000000000000032</c:v>
                </c:pt>
                <c:pt idx="112">
                  <c:v>0.1</c:v>
                </c:pt>
                <c:pt idx="113">
                  <c:v>0.2</c:v>
                </c:pt>
                <c:pt idx="114">
                  <c:v>-0.1</c:v>
                </c:pt>
                <c:pt idx="115">
                  <c:v>-0.5</c:v>
                </c:pt>
                <c:pt idx="116">
                  <c:v>0.4</c:v>
                </c:pt>
                <c:pt idx="117">
                  <c:v>0.2</c:v>
                </c:pt>
                <c:pt idx="118">
                  <c:v>0.2</c:v>
                </c:pt>
                <c:pt idx="119">
                  <c:v>0.30000000000000032</c:v>
                </c:pt>
                <c:pt idx="120">
                  <c:v>0.4</c:v>
                </c:pt>
                <c:pt idx="121">
                  <c:v>0.1</c:v>
                </c:pt>
                <c:pt idx="122">
                  <c:v>-0.2</c:v>
                </c:pt>
                <c:pt idx="123">
                  <c:v>-0.1</c:v>
                </c:pt>
                <c:pt idx="124">
                  <c:v>0.1</c:v>
                </c:pt>
                <c:pt idx="125">
                  <c:v>0.2</c:v>
                </c:pt>
                <c:pt idx="126">
                  <c:v>-0.4</c:v>
                </c:pt>
                <c:pt idx="127">
                  <c:v>0</c:v>
                </c:pt>
                <c:pt idx="128">
                  <c:v>0.1</c:v>
                </c:pt>
                <c:pt idx="129">
                  <c:v>-0.1</c:v>
                </c:pt>
                <c:pt idx="130">
                  <c:v>0</c:v>
                </c:pt>
                <c:pt idx="131">
                  <c:v>0.2</c:v>
                </c:pt>
                <c:pt idx="132">
                  <c:v>0.60000000000000064</c:v>
                </c:pt>
                <c:pt idx="133">
                  <c:v>-0.2</c:v>
                </c:pt>
                <c:pt idx="134">
                  <c:v>-0.2</c:v>
                </c:pt>
                <c:pt idx="135">
                  <c:v>-0.4</c:v>
                </c:pt>
                <c:pt idx="136">
                  <c:v>-0.1</c:v>
                </c:pt>
                <c:pt idx="137">
                  <c:v>0</c:v>
                </c:pt>
                <c:pt idx="138">
                  <c:v>-0.70000000000000062</c:v>
                </c:pt>
                <c:pt idx="139">
                  <c:v>0</c:v>
                </c:pt>
                <c:pt idx="140">
                  <c:v>-0.1</c:v>
                </c:pt>
                <c:pt idx="141">
                  <c:v>0</c:v>
                </c:pt>
                <c:pt idx="142">
                  <c:v>0.1</c:v>
                </c:pt>
                <c:pt idx="143">
                  <c:v>0.2</c:v>
                </c:pt>
                <c:pt idx="144">
                  <c:v>0.5</c:v>
                </c:pt>
                <c:pt idx="145">
                  <c:v>-0.2</c:v>
                </c:pt>
                <c:pt idx="146">
                  <c:v>-0.2</c:v>
                </c:pt>
                <c:pt idx="147">
                  <c:v>-0.2</c:v>
                </c:pt>
                <c:pt idx="148">
                  <c:v>-0.2</c:v>
                </c:pt>
                <c:pt idx="149">
                  <c:v>0.1</c:v>
                </c:pt>
                <c:pt idx="150">
                  <c:v>-0.30000000000000032</c:v>
                </c:pt>
                <c:pt idx="151">
                  <c:v>-0.2</c:v>
                </c:pt>
                <c:pt idx="152">
                  <c:v>0.2</c:v>
                </c:pt>
              </c:numCache>
            </c:numRef>
          </c:val>
        </c:ser>
        <c:marker val="1"/>
        <c:axId val="326925312"/>
        <c:axId val="326927104"/>
      </c:lineChart>
      <c:dateAx>
        <c:axId val="326925312"/>
        <c:scaling>
          <c:orientation val="minMax"/>
        </c:scaling>
        <c:axPos val="b"/>
        <c:numFmt formatCode="yyyy\-mm;@" sourceLinked="1"/>
        <c:majorTickMark val="none"/>
        <c:tickLblPos val="low"/>
        <c:crossAx val="326927104"/>
        <c:crosses val="autoZero"/>
        <c:auto val="1"/>
        <c:lblOffset val="100"/>
        <c:majorUnit val="12"/>
        <c:majorTimeUnit val="months"/>
        <c:minorUnit val="1"/>
        <c:minorTimeUnit val="months"/>
      </c:dateAx>
      <c:valAx>
        <c:axId val="326927104"/>
        <c:scaling>
          <c:orientation val="minMax"/>
        </c:scaling>
        <c:axPos val="l"/>
        <c:majorGridlines/>
        <c:numFmt formatCode="###,###,###,###,##0.00_ " sourceLinked="1"/>
        <c:tickLblPos val="nextTo"/>
        <c:crossAx val="326925312"/>
        <c:crosses val="autoZero"/>
        <c:crossBetween val="between"/>
      </c:valAx>
    </c:plotArea>
    <c:legend>
      <c:legendPos val="b"/>
    </c:legend>
    <c:plotVisOnly val="1"/>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银行理财产品!$B$1</c:f>
              <c:strCache>
                <c:ptCount val="1"/>
                <c:pt idx="0">
                  <c:v>发行量</c:v>
                </c:pt>
              </c:strCache>
            </c:strRef>
          </c:tx>
          <c:cat>
            <c:numRef>
              <c:f>银行理财产品!$A$2:$A$10</c:f>
              <c:numCache>
                <c:formatCode>yyyy\-mm;@</c:formatCode>
                <c:ptCount val="9"/>
                <c:pt idx="0">
                  <c:v>41547</c:v>
                </c:pt>
                <c:pt idx="1">
                  <c:v>41517</c:v>
                </c:pt>
                <c:pt idx="2">
                  <c:v>41486</c:v>
                </c:pt>
                <c:pt idx="3">
                  <c:v>41455</c:v>
                </c:pt>
                <c:pt idx="4">
                  <c:v>41425</c:v>
                </c:pt>
                <c:pt idx="5">
                  <c:v>41394</c:v>
                </c:pt>
                <c:pt idx="6">
                  <c:v>41364</c:v>
                </c:pt>
                <c:pt idx="7">
                  <c:v>41333</c:v>
                </c:pt>
                <c:pt idx="8">
                  <c:v>41275</c:v>
                </c:pt>
              </c:numCache>
            </c:numRef>
          </c:cat>
          <c:val>
            <c:numRef>
              <c:f>银行理财产品!$B$2:$B$10</c:f>
              <c:numCache>
                <c:formatCode>General</c:formatCode>
                <c:ptCount val="9"/>
                <c:pt idx="0">
                  <c:v>3727</c:v>
                </c:pt>
                <c:pt idx="1">
                  <c:v>3377</c:v>
                </c:pt>
                <c:pt idx="2">
                  <c:v>3751</c:v>
                </c:pt>
                <c:pt idx="3">
                  <c:v>3144</c:v>
                </c:pt>
                <c:pt idx="4">
                  <c:v>3072</c:v>
                </c:pt>
                <c:pt idx="5">
                  <c:v>2751</c:v>
                </c:pt>
                <c:pt idx="6">
                  <c:v>3138</c:v>
                </c:pt>
                <c:pt idx="7">
                  <c:v>2381</c:v>
                </c:pt>
                <c:pt idx="8">
                  <c:v>3151</c:v>
                </c:pt>
              </c:numCache>
            </c:numRef>
          </c:val>
        </c:ser>
        <c:gapWidth val="75"/>
        <c:axId val="346457984"/>
        <c:axId val="346459520"/>
      </c:barChart>
      <c:lineChart>
        <c:grouping val="standard"/>
        <c:ser>
          <c:idx val="1"/>
          <c:order val="1"/>
          <c:tx>
            <c:strRef>
              <c:f>银行理财产品!$C$1</c:f>
              <c:strCache>
                <c:ptCount val="1"/>
                <c:pt idx="0">
                  <c:v>收益率</c:v>
                </c:pt>
              </c:strCache>
            </c:strRef>
          </c:tx>
          <c:cat>
            <c:numRef>
              <c:f>银行理财产品!$A$2:$A$10</c:f>
              <c:numCache>
                <c:formatCode>yyyy\-mm;@</c:formatCode>
                <c:ptCount val="9"/>
                <c:pt idx="0">
                  <c:v>41547</c:v>
                </c:pt>
                <c:pt idx="1">
                  <c:v>41517</c:v>
                </c:pt>
                <c:pt idx="2">
                  <c:v>41486</c:v>
                </c:pt>
                <c:pt idx="3">
                  <c:v>41455</c:v>
                </c:pt>
                <c:pt idx="4">
                  <c:v>41425</c:v>
                </c:pt>
                <c:pt idx="5">
                  <c:v>41394</c:v>
                </c:pt>
                <c:pt idx="6">
                  <c:v>41364</c:v>
                </c:pt>
                <c:pt idx="7">
                  <c:v>41333</c:v>
                </c:pt>
                <c:pt idx="8">
                  <c:v>41275</c:v>
                </c:pt>
              </c:numCache>
            </c:numRef>
          </c:cat>
          <c:val>
            <c:numRef>
              <c:f>银行理财产品!$C$2:$C$10</c:f>
              <c:numCache>
                <c:formatCode>0.00%</c:formatCode>
                <c:ptCount val="9"/>
                <c:pt idx="0">
                  <c:v>4.9500000000000023E-2</c:v>
                </c:pt>
                <c:pt idx="1">
                  <c:v>4.6800000000000001E-2</c:v>
                </c:pt>
                <c:pt idx="2">
                  <c:v>4.7000000000000014E-2</c:v>
                </c:pt>
                <c:pt idx="3">
                  <c:v>4.7000000000000014E-2</c:v>
                </c:pt>
                <c:pt idx="4">
                  <c:v>4.2400000000000014E-2</c:v>
                </c:pt>
                <c:pt idx="5">
                  <c:v>4.2800000000000032E-2</c:v>
                </c:pt>
                <c:pt idx="6">
                  <c:v>4.3500000000000004E-2</c:v>
                </c:pt>
                <c:pt idx="7">
                  <c:v>4.3800000000000013E-2</c:v>
                </c:pt>
                <c:pt idx="8">
                  <c:v>4.4100000000000014E-2</c:v>
                </c:pt>
              </c:numCache>
            </c:numRef>
          </c:val>
        </c:ser>
        <c:marker val="1"/>
        <c:axId val="346462848"/>
        <c:axId val="346461312"/>
      </c:lineChart>
      <c:dateAx>
        <c:axId val="346457984"/>
        <c:scaling>
          <c:orientation val="minMax"/>
        </c:scaling>
        <c:axPos val="b"/>
        <c:numFmt formatCode="yyyy\-mm;@" sourceLinked="1"/>
        <c:majorTickMark val="none"/>
        <c:tickLblPos val="nextTo"/>
        <c:txPr>
          <a:bodyPr/>
          <a:lstStyle/>
          <a:p>
            <a:pPr>
              <a:defRPr sz="950" baseline="0"/>
            </a:pPr>
            <a:endParaRPr lang="zh-CN"/>
          </a:p>
        </c:txPr>
        <c:crossAx val="346459520"/>
        <c:crosses val="autoZero"/>
        <c:auto val="1"/>
        <c:lblOffset val="100"/>
      </c:dateAx>
      <c:valAx>
        <c:axId val="346459520"/>
        <c:scaling>
          <c:orientation val="minMax"/>
        </c:scaling>
        <c:axPos val="l"/>
        <c:numFmt formatCode="General" sourceLinked="1"/>
        <c:majorTickMark val="none"/>
        <c:tickLblPos val="nextTo"/>
        <c:txPr>
          <a:bodyPr/>
          <a:lstStyle/>
          <a:p>
            <a:pPr>
              <a:defRPr baseline="0"/>
            </a:pPr>
            <a:endParaRPr lang="zh-CN"/>
          </a:p>
        </c:txPr>
        <c:crossAx val="346457984"/>
        <c:crosses val="autoZero"/>
        <c:crossBetween val="between"/>
      </c:valAx>
      <c:valAx>
        <c:axId val="346461312"/>
        <c:scaling>
          <c:orientation val="minMax"/>
          <c:max val="6.0000000000000032E-2"/>
          <c:min val="2.0000000000000011E-2"/>
        </c:scaling>
        <c:axPos val="r"/>
        <c:numFmt formatCode="0.00%" sourceLinked="1"/>
        <c:tickLblPos val="nextTo"/>
        <c:crossAx val="346462848"/>
        <c:crosses val="max"/>
        <c:crossBetween val="between"/>
      </c:valAx>
      <c:dateAx>
        <c:axId val="346462848"/>
        <c:scaling>
          <c:orientation val="minMax"/>
        </c:scaling>
        <c:delete val="1"/>
        <c:axPos val="b"/>
        <c:numFmt formatCode="yyyy\-mm;@" sourceLinked="1"/>
        <c:tickLblPos val="none"/>
        <c:crossAx val="346461312"/>
        <c:crosses val="autoZero"/>
        <c:auto val="1"/>
        <c:lblOffset val="100"/>
      </c:dateAx>
    </c:plotArea>
    <c:legend>
      <c:legendPos val="b"/>
    </c:legend>
    <c:plotVisOnly val="1"/>
    <c:dispBlanksAs val="gap"/>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stacked"/>
        <c:ser>
          <c:idx val="0"/>
          <c:order val="0"/>
          <c:tx>
            <c:strRef>
              <c:f>Sheet20!$B$1</c:f>
              <c:strCache>
                <c:ptCount val="1"/>
                <c:pt idx="0">
                  <c:v>国有商业银行</c:v>
                </c:pt>
              </c:strCache>
            </c:strRef>
          </c:tx>
          <c:cat>
            <c:numRef>
              <c:f>Sheet20!$A$2:$A$10</c:f>
              <c:numCache>
                <c:formatCode>yyyy\-mm;@</c:formatCode>
                <c:ptCount val="9"/>
                <c:pt idx="0">
                  <c:v>41547</c:v>
                </c:pt>
                <c:pt idx="1">
                  <c:v>41517</c:v>
                </c:pt>
                <c:pt idx="2">
                  <c:v>41486</c:v>
                </c:pt>
                <c:pt idx="3">
                  <c:v>41455</c:v>
                </c:pt>
                <c:pt idx="4">
                  <c:v>41425</c:v>
                </c:pt>
                <c:pt idx="5">
                  <c:v>41394</c:v>
                </c:pt>
                <c:pt idx="6">
                  <c:v>41364</c:v>
                </c:pt>
                <c:pt idx="7">
                  <c:v>41333</c:v>
                </c:pt>
                <c:pt idx="8">
                  <c:v>41275</c:v>
                </c:pt>
              </c:numCache>
            </c:numRef>
          </c:cat>
          <c:val>
            <c:numRef>
              <c:f>Sheet20!$B$2:$B$10</c:f>
              <c:numCache>
                <c:formatCode>General</c:formatCode>
                <c:ptCount val="9"/>
                <c:pt idx="0">
                  <c:v>1239</c:v>
                </c:pt>
                <c:pt idx="1">
                  <c:v>1259</c:v>
                </c:pt>
                <c:pt idx="2">
                  <c:v>1375</c:v>
                </c:pt>
                <c:pt idx="3">
                  <c:v>1203</c:v>
                </c:pt>
                <c:pt idx="4">
                  <c:v>1034</c:v>
                </c:pt>
                <c:pt idx="5">
                  <c:v>834</c:v>
                </c:pt>
                <c:pt idx="6">
                  <c:v>1146</c:v>
                </c:pt>
                <c:pt idx="7">
                  <c:v>889</c:v>
                </c:pt>
                <c:pt idx="8">
                  <c:v>1181</c:v>
                </c:pt>
              </c:numCache>
            </c:numRef>
          </c:val>
        </c:ser>
        <c:ser>
          <c:idx val="1"/>
          <c:order val="1"/>
          <c:tx>
            <c:strRef>
              <c:f>Sheet20!$C$1</c:f>
              <c:strCache>
                <c:ptCount val="1"/>
                <c:pt idx="0">
                  <c:v>股份制商业银行</c:v>
                </c:pt>
              </c:strCache>
            </c:strRef>
          </c:tx>
          <c:cat>
            <c:numRef>
              <c:f>Sheet20!$A$2:$A$10</c:f>
              <c:numCache>
                <c:formatCode>yyyy\-mm;@</c:formatCode>
                <c:ptCount val="9"/>
                <c:pt idx="0">
                  <c:v>41547</c:v>
                </c:pt>
                <c:pt idx="1">
                  <c:v>41517</c:v>
                </c:pt>
                <c:pt idx="2">
                  <c:v>41486</c:v>
                </c:pt>
                <c:pt idx="3">
                  <c:v>41455</c:v>
                </c:pt>
                <c:pt idx="4">
                  <c:v>41425</c:v>
                </c:pt>
                <c:pt idx="5">
                  <c:v>41394</c:v>
                </c:pt>
                <c:pt idx="6">
                  <c:v>41364</c:v>
                </c:pt>
                <c:pt idx="7">
                  <c:v>41333</c:v>
                </c:pt>
                <c:pt idx="8">
                  <c:v>41275</c:v>
                </c:pt>
              </c:numCache>
            </c:numRef>
          </c:cat>
          <c:val>
            <c:numRef>
              <c:f>Sheet20!$C$2:$C$10</c:f>
              <c:numCache>
                <c:formatCode>General</c:formatCode>
                <c:ptCount val="9"/>
                <c:pt idx="0">
                  <c:v>955</c:v>
                </c:pt>
                <c:pt idx="1">
                  <c:v>903</c:v>
                </c:pt>
                <c:pt idx="2">
                  <c:v>1077</c:v>
                </c:pt>
                <c:pt idx="3">
                  <c:v>902</c:v>
                </c:pt>
                <c:pt idx="4">
                  <c:v>950</c:v>
                </c:pt>
                <c:pt idx="5">
                  <c:v>920</c:v>
                </c:pt>
                <c:pt idx="6">
                  <c:v>978</c:v>
                </c:pt>
                <c:pt idx="7">
                  <c:v>674</c:v>
                </c:pt>
                <c:pt idx="8">
                  <c:v>869</c:v>
                </c:pt>
              </c:numCache>
            </c:numRef>
          </c:val>
        </c:ser>
        <c:ser>
          <c:idx val="2"/>
          <c:order val="2"/>
          <c:tx>
            <c:strRef>
              <c:f>Sheet20!$D$1</c:f>
              <c:strCache>
                <c:ptCount val="1"/>
                <c:pt idx="0">
                  <c:v>城市商业银行</c:v>
                </c:pt>
              </c:strCache>
            </c:strRef>
          </c:tx>
          <c:cat>
            <c:numRef>
              <c:f>Sheet20!$A$2:$A$10</c:f>
              <c:numCache>
                <c:formatCode>yyyy\-mm;@</c:formatCode>
                <c:ptCount val="9"/>
                <c:pt idx="0">
                  <c:v>41547</c:v>
                </c:pt>
                <c:pt idx="1">
                  <c:v>41517</c:v>
                </c:pt>
                <c:pt idx="2">
                  <c:v>41486</c:v>
                </c:pt>
                <c:pt idx="3">
                  <c:v>41455</c:v>
                </c:pt>
                <c:pt idx="4">
                  <c:v>41425</c:v>
                </c:pt>
                <c:pt idx="5">
                  <c:v>41394</c:v>
                </c:pt>
                <c:pt idx="6">
                  <c:v>41364</c:v>
                </c:pt>
                <c:pt idx="7">
                  <c:v>41333</c:v>
                </c:pt>
                <c:pt idx="8">
                  <c:v>41275</c:v>
                </c:pt>
              </c:numCache>
            </c:numRef>
          </c:cat>
          <c:val>
            <c:numRef>
              <c:f>Sheet20!$D$2:$D$10</c:f>
              <c:numCache>
                <c:formatCode>General</c:formatCode>
                <c:ptCount val="9"/>
                <c:pt idx="0">
                  <c:v>1037</c:v>
                </c:pt>
                <c:pt idx="1">
                  <c:v>931</c:v>
                </c:pt>
                <c:pt idx="2">
                  <c:v>999</c:v>
                </c:pt>
                <c:pt idx="3">
                  <c:v>797</c:v>
                </c:pt>
                <c:pt idx="4">
                  <c:v>828</c:v>
                </c:pt>
                <c:pt idx="5">
                  <c:v>790</c:v>
                </c:pt>
                <c:pt idx="6">
                  <c:v>817</c:v>
                </c:pt>
                <c:pt idx="7">
                  <c:v>666</c:v>
                </c:pt>
                <c:pt idx="8">
                  <c:v>830</c:v>
                </c:pt>
              </c:numCache>
            </c:numRef>
          </c:val>
        </c:ser>
        <c:ser>
          <c:idx val="3"/>
          <c:order val="3"/>
          <c:tx>
            <c:strRef>
              <c:f>Sheet20!$E$1</c:f>
              <c:strCache>
                <c:ptCount val="1"/>
                <c:pt idx="0">
                  <c:v>农村商业银行</c:v>
                </c:pt>
              </c:strCache>
            </c:strRef>
          </c:tx>
          <c:cat>
            <c:numRef>
              <c:f>Sheet20!$A$2:$A$10</c:f>
              <c:numCache>
                <c:formatCode>yyyy\-mm;@</c:formatCode>
                <c:ptCount val="9"/>
                <c:pt idx="0">
                  <c:v>41547</c:v>
                </c:pt>
                <c:pt idx="1">
                  <c:v>41517</c:v>
                </c:pt>
                <c:pt idx="2">
                  <c:v>41486</c:v>
                </c:pt>
                <c:pt idx="3">
                  <c:v>41455</c:v>
                </c:pt>
                <c:pt idx="4">
                  <c:v>41425</c:v>
                </c:pt>
                <c:pt idx="5">
                  <c:v>41394</c:v>
                </c:pt>
                <c:pt idx="6">
                  <c:v>41364</c:v>
                </c:pt>
                <c:pt idx="7">
                  <c:v>41333</c:v>
                </c:pt>
                <c:pt idx="8">
                  <c:v>41275</c:v>
                </c:pt>
              </c:numCache>
            </c:numRef>
          </c:cat>
          <c:val>
            <c:numRef>
              <c:f>Sheet20!$E$2:$E$10</c:f>
              <c:numCache>
                <c:formatCode>General</c:formatCode>
                <c:ptCount val="9"/>
                <c:pt idx="0">
                  <c:v>257</c:v>
                </c:pt>
                <c:pt idx="1">
                  <c:v>251</c:v>
                </c:pt>
                <c:pt idx="2">
                  <c:v>253</c:v>
                </c:pt>
                <c:pt idx="3">
                  <c:v>220</c:v>
                </c:pt>
                <c:pt idx="4">
                  <c:v>230</c:v>
                </c:pt>
                <c:pt idx="5">
                  <c:v>181</c:v>
                </c:pt>
                <c:pt idx="6">
                  <c:v>162</c:v>
                </c:pt>
                <c:pt idx="7">
                  <c:v>128</c:v>
                </c:pt>
                <c:pt idx="8">
                  <c:v>155</c:v>
                </c:pt>
              </c:numCache>
            </c:numRef>
          </c:val>
        </c:ser>
        <c:ser>
          <c:idx val="4"/>
          <c:order val="4"/>
          <c:tx>
            <c:strRef>
              <c:f>Sheet20!$F$1</c:f>
              <c:strCache>
                <c:ptCount val="1"/>
                <c:pt idx="0">
                  <c:v>其他银行</c:v>
                </c:pt>
              </c:strCache>
            </c:strRef>
          </c:tx>
          <c:cat>
            <c:numRef>
              <c:f>Sheet20!$A$2:$A$10</c:f>
              <c:numCache>
                <c:formatCode>yyyy\-mm;@</c:formatCode>
                <c:ptCount val="9"/>
                <c:pt idx="0">
                  <c:v>41547</c:v>
                </c:pt>
                <c:pt idx="1">
                  <c:v>41517</c:v>
                </c:pt>
                <c:pt idx="2">
                  <c:v>41486</c:v>
                </c:pt>
                <c:pt idx="3">
                  <c:v>41455</c:v>
                </c:pt>
                <c:pt idx="4">
                  <c:v>41425</c:v>
                </c:pt>
                <c:pt idx="5">
                  <c:v>41394</c:v>
                </c:pt>
                <c:pt idx="6">
                  <c:v>41364</c:v>
                </c:pt>
                <c:pt idx="7">
                  <c:v>41333</c:v>
                </c:pt>
                <c:pt idx="8">
                  <c:v>41275</c:v>
                </c:pt>
              </c:numCache>
            </c:numRef>
          </c:cat>
          <c:val>
            <c:numRef>
              <c:f>Sheet20!$F$2:$F$10</c:f>
              <c:numCache>
                <c:formatCode>General</c:formatCode>
                <c:ptCount val="9"/>
                <c:pt idx="0">
                  <c:v>24</c:v>
                </c:pt>
                <c:pt idx="1">
                  <c:v>33</c:v>
                </c:pt>
                <c:pt idx="2">
                  <c:v>47</c:v>
                </c:pt>
                <c:pt idx="3">
                  <c:v>21</c:v>
                </c:pt>
                <c:pt idx="4">
                  <c:v>30</c:v>
                </c:pt>
                <c:pt idx="5">
                  <c:v>26</c:v>
                </c:pt>
                <c:pt idx="6">
                  <c:v>36</c:v>
                </c:pt>
                <c:pt idx="7">
                  <c:v>24</c:v>
                </c:pt>
                <c:pt idx="8">
                  <c:v>16</c:v>
                </c:pt>
              </c:numCache>
            </c:numRef>
          </c:val>
        </c:ser>
        <c:gapWidth val="75"/>
        <c:overlap val="100"/>
        <c:axId val="346779648"/>
        <c:axId val="346781184"/>
      </c:barChart>
      <c:dateAx>
        <c:axId val="346779648"/>
        <c:scaling>
          <c:orientation val="minMax"/>
        </c:scaling>
        <c:axPos val="b"/>
        <c:numFmt formatCode="yyyy\-mm;@" sourceLinked="1"/>
        <c:majorTickMark val="none"/>
        <c:tickLblPos val="nextTo"/>
        <c:crossAx val="346781184"/>
        <c:crosses val="autoZero"/>
        <c:auto val="1"/>
        <c:lblOffset val="100"/>
      </c:dateAx>
      <c:valAx>
        <c:axId val="346781184"/>
        <c:scaling>
          <c:orientation val="minMax"/>
        </c:scaling>
        <c:axPos val="l"/>
        <c:majorGridlines/>
        <c:numFmt formatCode="General" sourceLinked="1"/>
        <c:majorTickMark val="none"/>
        <c:tickLblPos val="nextTo"/>
        <c:spPr>
          <a:ln w="9525">
            <a:noFill/>
          </a:ln>
        </c:spPr>
        <c:crossAx val="346779648"/>
        <c:crosses val="autoZero"/>
        <c:crossBetween val="between"/>
      </c:valAx>
    </c:plotArea>
    <c:legend>
      <c:legendPos val="b"/>
      <c:layout>
        <c:manualLayout>
          <c:xMode val="edge"/>
          <c:yMode val="edge"/>
          <c:x val="7.3382616817574325E-2"/>
          <c:y val="0.85044065144031256"/>
          <c:w val="0.90542629046369205"/>
          <c:h val="9.5675123942841153E-2"/>
        </c:manualLayout>
      </c:layout>
    </c:legend>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lineChart>
        <c:grouping val="standard"/>
        <c:ser>
          <c:idx val="0"/>
          <c:order val="0"/>
          <c:tx>
            <c:strRef>
              <c:f>Sheet20!$H$1</c:f>
              <c:strCache>
                <c:ptCount val="1"/>
                <c:pt idx="0">
                  <c:v>国有商业银行</c:v>
                </c:pt>
              </c:strCache>
            </c:strRef>
          </c:tx>
          <c:cat>
            <c:numRef>
              <c:f>Sheet20!$G$2:$G$10</c:f>
              <c:numCache>
                <c:formatCode>yyyy\-mm;@</c:formatCode>
                <c:ptCount val="9"/>
                <c:pt idx="0">
                  <c:v>41547</c:v>
                </c:pt>
                <c:pt idx="1">
                  <c:v>41517</c:v>
                </c:pt>
                <c:pt idx="2">
                  <c:v>41486</c:v>
                </c:pt>
                <c:pt idx="3">
                  <c:v>41455</c:v>
                </c:pt>
                <c:pt idx="4">
                  <c:v>41425</c:v>
                </c:pt>
                <c:pt idx="5">
                  <c:v>41394</c:v>
                </c:pt>
                <c:pt idx="6">
                  <c:v>41364</c:v>
                </c:pt>
                <c:pt idx="7">
                  <c:v>41333</c:v>
                </c:pt>
                <c:pt idx="8">
                  <c:v>41275</c:v>
                </c:pt>
              </c:numCache>
            </c:numRef>
          </c:cat>
          <c:val>
            <c:numRef>
              <c:f>Sheet20!$H$2:$H$10</c:f>
              <c:numCache>
                <c:formatCode>0.00%</c:formatCode>
                <c:ptCount val="9"/>
                <c:pt idx="0">
                  <c:v>4.8899999999999999E-2</c:v>
                </c:pt>
                <c:pt idx="1">
                  <c:v>4.5800000000000014E-2</c:v>
                </c:pt>
                <c:pt idx="2">
                  <c:v>4.5500000000000013E-2</c:v>
                </c:pt>
                <c:pt idx="3">
                  <c:v>4.65E-2</c:v>
                </c:pt>
                <c:pt idx="4">
                  <c:v>3.9900000000000005E-2</c:v>
                </c:pt>
                <c:pt idx="5">
                  <c:v>3.9900000000000005E-2</c:v>
                </c:pt>
                <c:pt idx="6">
                  <c:v>4.1000000000000002E-2</c:v>
                </c:pt>
                <c:pt idx="7">
                  <c:v>4.0900000000000013E-2</c:v>
                </c:pt>
                <c:pt idx="8">
                  <c:v>4.2000000000000023E-2</c:v>
                </c:pt>
              </c:numCache>
            </c:numRef>
          </c:val>
        </c:ser>
        <c:ser>
          <c:idx val="1"/>
          <c:order val="1"/>
          <c:tx>
            <c:strRef>
              <c:f>Sheet20!$I$1</c:f>
              <c:strCache>
                <c:ptCount val="1"/>
                <c:pt idx="0">
                  <c:v>股份制商业银行</c:v>
                </c:pt>
              </c:strCache>
            </c:strRef>
          </c:tx>
          <c:cat>
            <c:numRef>
              <c:f>Sheet20!$G$2:$G$10</c:f>
              <c:numCache>
                <c:formatCode>yyyy\-mm;@</c:formatCode>
                <c:ptCount val="9"/>
                <c:pt idx="0">
                  <c:v>41547</c:v>
                </c:pt>
                <c:pt idx="1">
                  <c:v>41517</c:v>
                </c:pt>
                <c:pt idx="2">
                  <c:v>41486</c:v>
                </c:pt>
                <c:pt idx="3">
                  <c:v>41455</c:v>
                </c:pt>
                <c:pt idx="4">
                  <c:v>41425</c:v>
                </c:pt>
                <c:pt idx="5">
                  <c:v>41394</c:v>
                </c:pt>
                <c:pt idx="6">
                  <c:v>41364</c:v>
                </c:pt>
                <c:pt idx="7">
                  <c:v>41333</c:v>
                </c:pt>
                <c:pt idx="8">
                  <c:v>41275</c:v>
                </c:pt>
              </c:numCache>
            </c:numRef>
          </c:cat>
          <c:val>
            <c:numRef>
              <c:f>Sheet20!$I$2:$I$10</c:f>
              <c:numCache>
                <c:formatCode>0.00%</c:formatCode>
                <c:ptCount val="9"/>
                <c:pt idx="0">
                  <c:v>4.9800000000000122E-2</c:v>
                </c:pt>
                <c:pt idx="1">
                  <c:v>4.6599999999999996E-2</c:v>
                </c:pt>
                <c:pt idx="2">
                  <c:v>4.7300000000000113E-2</c:v>
                </c:pt>
                <c:pt idx="3">
                  <c:v>4.7699999999999999E-2</c:v>
                </c:pt>
                <c:pt idx="4">
                  <c:v>4.3099999999999999E-2</c:v>
                </c:pt>
                <c:pt idx="5">
                  <c:v>4.3299999999999998E-2</c:v>
                </c:pt>
                <c:pt idx="6">
                  <c:v>4.4400000000000113E-2</c:v>
                </c:pt>
                <c:pt idx="7">
                  <c:v>4.4800000000000034E-2</c:v>
                </c:pt>
                <c:pt idx="8">
                  <c:v>4.4500000000000033E-2</c:v>
                </c:pt>
              </c:numCache>
            </c:numRef>
          </c:val>
        </c:ser>
        <c:ser>
          <c:idx val="2"/>
          <c:order val="2"/>
          <c:tx>
            <c:strRef>
              <c:f>Sheet20!$J$1</c:f>
              <c:strCache>
                <c:ptCount val="1"/>
                <c:pt idx="0">
                  <c:v>城市商业银行</c:v>
                </c:pt>
              </c:strCache>
            </c:strRef>
          </c:tx>
          <c:cat>
            <c:numRef>
              <c:f>Sheet20!$G$2:$G$10</c:f>
              <c:numCache>
                <c:formatCode>yyyy\-mm;@</c:formatCode>
                <c:ptCount val="9"/>
                <c:pt idx="0">
                  <c:v>41547</c:v>
                </c:pt>
                <c:pt idx="1">
                  <c:v>41517</c:v>
                </c:pt>
                <c:pt idx="2">
                  <c:v>41486</c:v>
                </c:pt>
                <c:pt idx="3">
                  <c:v>41455</c:v>
                </c:pt>
                <c:pt idx="4">
                  <c:v>41425</c:v>
                </c:pt>
                <c:pt idx="5">
                  <c:v>41394</c:v>
                </c:pt>
                <c:pt idx="6">
                  <c:v>41364</c:v>
                </c:pt>
                <c:pt idx="7">
                  <c:v>41333</c:v>
                </c:pt>
                <c:pt idx="8">
                  <c:v>41275</c:v>
                </c:pt>
              </c:numCache>
            </c:numRef>
          </c:cat>
          <c:val>
            <c:numRef>
              <c:f>Sheet20!$J$2:$J$10</c:f>
              <c:numCache>
                <c:formatCode>0.00%</c:formatCode>
                <c:ptCount val="9"/>
                <c:pt idx="0">
                  <c:v>5.0299999999999997E-2</c:v>
                </c:pt>
                <c:pt idx="1">
                  <c:v>4.8400000000000012E-2</c:v>
                </c:pt>
                <c:pt idx="2">
                  <c:v>4.7400000000000032E-2</c:v>
                </c:pt>
                <c:pt idx="3">
                  <c:v>4.7400000000000032E-2</c:v>
                </c:pt>
                <c:pt idx="4">
                  <c:v>4.4800000000000034E-2</c:v>
                </c:pt>
                <c:pt idx="5">
                  <c:v>4.5100000000000001E-2</c:v>
                </c:pt>
                <c:pt idx="6">
                  <c:v>4.5900000000000003E-2</c:v>
                </c:pt>
                <c:pt idx="7">
                  <c:v>4.6300000000000001E-2</c:v>
                </c:pt>
                <c:pt idx="8">
                  <c:v>4.6599999999999996E-2</c:v>
                </c:pt>
              </c:numCache>
            </c:numRef>
          </c:val>
        </c:ser>
        <c:ser>
          <c:idx val="3"/>
          <c:order val="3"/>
          <c:tx>
            <c:strRef>
              <c:f>Sheet20!$K$1</c:f>
              <c:strCache>
                <c:ptCount val="1"/>
                <c:pt idx="0">
                  <c:v>农村商业银行</c:v>
                </c:pt>
              </c:strCache>
            </c:strRef>
          </c:tx>
          <c:cat>
            <c:numRef>
              <c:f>Sheet20!$G$2:$G$10</c:f>
              <c:numCache>
                <c:formatCode>yyyy\-mm;@</c:formatCode>
                <c:ptCount val="9"/>
                <c:pt idx="0">
                  <c:v>41547</c:v>
                </c:pt>
                <c:pt idx="1">
                  <c:v>41517</c:v>
                </c:pt>
                <c:pt idx="2">
                  <c:v>41486</c:v>
                </c:pt>
                <c:pt idx="3">
                  <c:v>41455</c:v>
                </c:pt>
                <c:pt idx="4">
                  <c:v>41425</c:v>
                </c:pt>
                <c:pt idx="5">
                  <c:v>41394</c:v>
                </c:pt>
                <c:pt idx="6">
                  <c:v>41364</c:v>
                </c:pt>
                <c:pt idx="7">
                  <c:v>41333</c:v>
                </c:pt>
                <c:pt idx="8">
                  <c:v>41275</c:v>
                </c:pt>
              </c:numCache>
            </c:numRef>
          </c:cat>
          <c:val>
            <c:numRef>
              <c:f>Sheet20!$K$2:$K$10</c:f>
              <c:numCache>
                <c:formatCode>0.00%</c:formatCode>
                <c:ptCount val="9"/>
                <c:pt idx="0">
                  <c:v>4.82E-2</c:v>
                </c:pt>
                <c:pt idx="1">
                  <c:v>4.6199999999999998E-2</c:v>
                </c:pt>
                <c:pt idx="2">
                  <c:v>4.6100000000000002E-2</c:v>
                </c:pt>
                <c:pt idx="3">
                  <c:v>4.5200000000000004E-2</c:v>
                </c:pt>
                <c:pt idx="4">
                  <c:v>4.1800000000000004E-2</c:v>
                </c:pt>
                <c:pt idx="5">
                  <c:v>4.3500000000000004E-2</c:v>
                </c:pt>
                <c:pt idx="6">
                  <c:v>4.3500000000000004E-2</c:v>
                </c:pt>
                <c:pt idx="7">
                  <c:v>4.4700000000000205E-2</c:v>
                </c:pt>
                <c:pt idx="8">
                  <c:v>4.4400000000000113E-2</c:v>
                </c:pt>
              </c:numCache>
            </c:numRef>
          </c:val>
        </c:ser>
        <c:marker val="1"/>
        <c:axId val="346831872"/>
        <c:axId val="346866432"/>
      </c:lineChart>
      <c:dateAx>
        <c:axId val="346831872"/>
        <c:scaling>
          <c:orientation val="minMax"/>
        </c:scaling>
        <c:axPos val="b"/>
        <c:numFmt formatCode="yyyy\-mm;@" sourceLinked="1"/>
        <c:majorTickMark val="none"/>
        <c:tickLblPos val="nextTo"/>
        <c:crossAx val="346866432"/>
        <c:crosses val="autoZero"/>
        <c:auto val="1"/>
        <c:lblOffset val="100"/>
      </c:dateAx>
      <c:valAx>
        <c:axId val="346866432"/>
        <c:scaling>
          <c:orientation val="minMax"/>
          <c:max val="5.1000000000000004E-2"/>
          <c:min val="3.9000000000000014E-2"/>
        </c:scaling>
        <c:axPos val="l"/>
        <c:majorGridlines/>
        <c:numFmt formatCode="0.00%" sourceLinked="1"/>
        <c:majorTickMark val="none"/>
        <c:tickLblPos val="nextTo"/>
        <c:spPr>
          <a:ln w="9525">
            <a:noFill/>
          </a:ln>
        </c:spPr>
        <c:crossAx val="346831872"/>
        <c:crosses val="autoZero"/>
        <c:crossBetween val="between"/>
        <c:majorUnit val="2.0000000000000052E-3"/>
      </c:valAx>
    </c:plotArea>
    <c:legend>
      <c:legendPos val="b"/>
    </c:legend>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stacked"/>
        <c:ser>
          <c:idx val="0"/>
          <c:order val="0"/>
          <c:tx>
            <c:strRef>
              <c:f>Sheet21!$B$1</c:f>
              <c:strCache>
                <c:ptCount val="1"/>
                <c:pt idx="0">
                  <c:v>（空白）</c:v>
                </c:pt>
              </c:strCache>
            </c:strRef>
          </c:tx>
          <c:cat>
            <c:numRef>
              <c:f>Sheet21!$A$2:$A$10</c:f>
              <c:numCache>
                <c:formatCode>yyyy\-mm;@</c:formatCode>
                <c:ptCount val="9"/>
                <c:pt idx="0">
                  <c:v>41547</c:v>
                </c:pt>
                <c:pt idx="1">
                  <c:v>41517</c:v>
                </c:pt>
                <c:pt idx="2">
                  <c:v>41486</c:v>
                </c:pt>
                <c:pt idx="3">
                  <c:v>41455</c:v>
                </c:pt>
                <c:pt idx="4">
                  <c:v>41425</c:v>
                </c:pt>
                <c:pt idx="5">
                  <c:v>41394</c:v>
                </c:pt>
                <c:pt idx="6">
                  <c:v>41364</c:v>
                </c:pt>
                <c:pt idx="7">
                  <c:v>41333</c:v>
                </c:pt>
                <c:pt idx="8">
                  <c:v>41275</c:v>
                </c:pt>
              </c:numCache>
            </c:numRef>
          </c:cat>
          <c:val>
            <c:numRef>
              <c:f>Sheet21!$B$2:$B$10</c:f>
              <c:numCache>
                <c:formatCode>General</c:formatCode>
                <c:ptCount val="9"/>
                <c:pt idx="0">
                  <c:v>239</c:v>
                </c:pt>
                <c:pt idx="1">
                  <c:v>26</c:v>
                </c:pt>
                <c:pt idx="2">
                  <c:v>53</c:v>
                </c:pt>
                <c:pt idx="3">
                  <c:v>0</c:v>
                </c:pt>
                <c:pt idx="4">
                  <c:v>30</c:v>
                </c:pt>
                <c:pt idx="5">
                  <c:v>21</c:v>
                </c:pt>
                <c:pt idx="6">
                  <c:v>27</c:v>
                </c:pt>
                <c:pt idx="7">
                  <c:v>0</c:v>
                </c:pt>
                <c:pt idx="8">
                  <c:v>100</c:v>
                </c:pt>
              </c:numCache>
            </c:numRef>
          </c:val>
        </c:ser>
        <c:ser>
          <c:idx val="1"/>
          <c:order val="1"/>
          <c:tx>
            <c:strRef>
              <c:f>Sheet21!$C$1</c:f>
              <c:strCache>
                <c:ptCount val="1"/>
                <c:pt idx="0">
                  <c:v>一年以上</c:v>
                </c:pt>
              </c:strCache>
            </c:strRef>
          </c:tx>
          <c:cat>
            <c:numRef>
              <c:f>Sheet21!$A$2:$A$10</c:f>
              <c:numCache>
                <c:formatCode>yyyy\-mm;@</c:formatCode>
                <c:ptCount val="9"/>
                <c:pt idx="0">
                  <c:v>41547</c:v>
                </c:pt>
                <c:pt idx="1">
                  <c:v>41517</c:v>
                </c:pt>
                <c:pt idx="2">
                  <c:v>41486</c:v>
                </c:pt>
                <c:pt idx="3">
                  <c:v>41455</c:v>
                </c:pt>
                <c:pt idx="4">
                  <c:v>41425</c:v>
                </c:pt>
                <c:pt idx="5">
                  <c:v>41394</c:v>
                </c:pt>
                <c:pt idx="6">
                  <c:v>41364</c:v>
                </c:pt>
                <c:pt idx="7">
                  <c:v>41333</c:v>
                </c:pt>
                <c:pt idx="8">
                  <c:v>41275</c:v>
                </c:pt>
              </c:numCache>
            </c:numRef>
          </c:cat>
          <c:val>
            <c:numRef>
              <c:f>Sheet21!$C$2:$C$10</c:f>
              <c:numCache>
                <c:formatCode>General</c:formatCode>
                <c:ptCount val="9"/>
                <c:pt idx="0">
                  <c:v>44</c:v>
                </c:pt>
                <c:pt idx="1">
                  <c:v>29</c:v>
                </c:pt>
                <c:pt idx="2">
                  <c:v>27</c:v>
                </c:pt>
                <c:pt idx="3">
                  <c:v>40</c:v>
                </c:pt>
                <c:pt idx="4">
                  <c:v>31</c:v>
                </c:pt>
                <c:pt idx="5">
                  <c:v>26</c:v>
                </c:pt>
                <c:pt idx="6">
                  <c:v>40</c:v>
                </c:pt>
                <c:pt idx="7">
                  <c:v>40</c:v>
                </c:pt>
                <c:pt idx="8">
                  <c:v>43</c:v>
                </c:pt>
              </c:numCache>
            </c:numRef>
          </c:val>
        </c:ser>
        <c:ser>
          <c:idx val="2"/>
          <c:order val="2"/>
          <c:tx>
            <c:strRef>
              <c:f>Sheet21!$D$1</c:f>
              <c:strCache>
                <c:ptCount val="1"/>
                <c:pt idx="0">
                  <c:v>6-12个月</c:v>
                </c:pt>
              </c:strCache>
            </c:strRef>
          </c:tx>
          <c:cat>
            <c:numRef>
              <c:f>Sheet21!$A$2:$A$10</c:f>
              <c:numCache>
                <c:formatCode>yyyy\-mm;@</c:formatCode>
                <c:ptCount val="9"/>
                <c:pt idx="0">
                  <c:v>41547</c:v>
                </c:pt>
                <c:pt idx="1">
                  <c:v>41517</c:v>
                </c:pt>
                <c:pt idx="2">
                  <c:v>41486</c:v>
                </c:pt>
                <c:pt idx="3">
                  <c:v>41455</c:v>
                </c:pt>
                <c:pt idx="4">
                  <c:v>41425</c:v>
                </c:pt>
                <c:pt idx="5">
                  <c:v>41394</c:v>
                </c:pt>
                <c:pt idx="6">
                  <c:v>41364</c:v>
                </c:pt>
                <c:pt idx="7">
                  <c:v>41333</c:v>
                </c:pt>
                <c:pt idx="8">
                  <c:v>41275</c:v>
                </c:pt>
              </c:numCache>
            </c:numRef>
          </c:cat>
          <c:val>
            <c:numRef>
              <c:f>Sheet21!$D$2:$D$10</c:f>
              <c:numCache>
                <c:formatCode>General</c:formatCode>
                <c:ptCount val="9"/>
                <c:pt idx="0">
                  <c:v>395</c:v>
                </c:pt>
                <c:pt idx="1">
                  <c:v>401</c:v>
                </c:pt>
                <c:pt idx="2">
                  <c:v>404</c:v>
                </c:pt>
                <c:pt idx="3">
                  <c:v>312</c:v>
                </c:pt>
                <c:pt idx="4">
                  <c:v>309</c:v>
                </c:pt>
                <c:pt idx="5">
                  <c:v>311</c:v>
                </c:pt>
                <c:pt idx="6">
                  <c:v>374</c:v>
                </c:pt>
                <c:pt idx="7">
                  <c:v>285</c:v>
                </c:pt>
                <c:pt idx="8">
                  <c:v>298</c:v>
                </c:pt>
              </c:numCache>
            </c:numRef>
          </c:val>
        </c:ser>
        <c:ser>
          <c:idx val="3"/>
          <c:order val="3"/>
          <c:tx>
            <c:strRef>
              <c:f>Sheet21!$E$1</c:f>
              <c:strCache>
                <c:ptCount val="1"/>
                <c:pt idx="0">
                  <c:v>3-6个月</c:v>
                </c:pt>
              </c:strCache>
            </c:strRef>
          </c:tx>
          <c:cat>
            <c:numRef>
              <c:f>Sheet21!$A$2:$A$10</c:f>
              <c:numCache>
                <c:formatCode>yyyy\-mm;@</c:formatCode>
                <c:ptCount val="9"/>
                <c:pt idx="0">
                  <c:v>41547</c:v>
                </c:pt>
                <c:pt idx="1">
                  <c:v>41517</c:v>
                </c:pt>
                <c:pt idx="2">
                  <c:v>41486</c:v>
                </c:pt>
                <c:pt idx="3">
                  <c:v>41455</c:v>
                </c:pt>
                <c:pt idx="4">
                  <c:v>41425</c:v>
                </c:pt>
                <c:pt idx="5">
                  <c:v>41394</c:v>
                </c:pt>
                <c:pt idx="6">
                  <c:v>41364</c:v>
                </c:pt>
                <c:pt idx="7">
                  <c:v>41333</c:v>
                </c:pt>
                <c:pt idx="8">
                  <c:v>41275</c:v>
                </c:pt>
              </c:numCache>
            </c:numRef>
          </c:cat>
          <c:val>
            <c:numRef>
              <c:f>Sheet21!$E$2:$E$10</c:f>
              <c:numCache>
                <c:formatCode>General</c:formatCode>
                <c:ptCount val="9"/>
                <c:pt idx="0">
                  <c:v>924</c:v>
                </c:pt>
                <c:pt idx="1">
                  <c:v>765</c:v>
                </c:pt>
                <c:pt idx="2">
                  <c:v>855</c:v>
                </c:pt>
                <c:pt idx="3">
                  <c:v>694</c:v>
                </c:pt>
                <c:pt idx="4">
                  <c:v>657</c:v>
                </c:pt>
                <c:pt idx="5">
                  <c:v>550</c:v>
                </c:pt>
                <c:pt idx="6">
                  <c:v>777</c:v>
                </c:pt>
                <c:pt idx="7">
                  <c:v>570</c:v>
                </c:pt>
                <c:pt idx="8">
                  <c:v>742</c:v>
                </c:pt>
              </c:numCache>
            </c:numRef>
          </c:val>
        </c:ser>
        <c:ser>
          <c:idx val="4"/>
          <c:order val="4"/>
          <c:tx>
            <c:strRef>
              <c:f>Sheet21!$F$1</c:f>
              <c:strCache>
                <c:ptCount val="1"/>
                <c:pt idx="0">
                  <c:v>1-3个月</c:v>
                </c:pt>
              </c:strCache>
            </c:strRef>
          </c:tx>
          <c:cat>
            <c:numRef>
              <c:f>Sheet21!$A$2:$A$10</c:f>
              <c:numCache>
                <c:formatCode>yyyy\-mm;@</c:formatCode>
                <c:ptCount val="9"/>
                <c:pt idx="0">
                  <c:v>41547</c:v>
                </c:pt>
                <c:pt idx="1">
                  <c:v>41517</c:v>
                </c:pt>
                <c:pt idx="2">
                  <c:v>41486</c:v>
                </c:pt>
                <c:pt idx="3">
                  <c:v>41455</c:v>
                </c:pt>
                <c:pt idx="4">
                  <c:v>41425</c:v>
                </c:pt>
                <c:pt idx="5">
                  <c:v>41394</c:v>
                </c:pt>
                <c:pt idx="6">
                  <c:v>41364</c:v>
                </c:pt>
                <c:pt idx="7">
                  <c:v>41333</c:v>
                </c:pt>
                <c:pt idx="8">
                  <c:v>41275</c:v>
                </c:pt>
              </c:numCache>
            </c:numRef>
          </c:cat>
          <c:val>
            <c:numRef>
              <c:f>Sheet21!$F$2:$F$10</c:f>
              <c:numCache>
                <c:formatCode>General</c:formatCode>
                <c:ptCount val="9"/>
                <c:pt idx="0">
                  <c:v>1965</c:v>
                </c:pt>
                <c:pt idx="1">
                  <c:v>1965</c:v>
                </c:pt>
                <c:pt idx="2">
                  <c:v>2221</c:v>
                </c:pt>
                <c:pt idx="3">
                  <c:v>1862</c:v>
                </c:pt>
                <c:pt idx="4">
                  <c:v>1885</c:v>
                </c:pt>
                <c:pt idx="5">
                  <c:v>1705</c:v>
                </c:pt>
                <c:pt idx="6">
                  <c:v>1841</c:v>
                </c:pt>
                <c:pt idx="7">
                  <c:v>1406</c:v>
                </c:pt>
                <c:pt idx="8">
                  <c:v>1881</c:v>
                </c:pt>
              </c:numCache>
            </c:numRef>
          </c:val>
        </c:ser>
        <c:ser>
          <c:idx val="5"/>
          <c:order val="5"/>
          <c:tx>
            <c:strRef>
              <c:f>Sheet21!$G$1</c:f>
              <c:strCache>
                <c:ptCount val="1"/>
                <c:pt idx="0">
                  <c:v>1个月以下</c:v>
                </c:pt>
              </c:strCache>
            </c:strRef>
          </c:tx>
          <c:cat>
            <c:numRef>
              <c:f>Sheet21!$A$2:$A$10</c:f>
              <c:numCache>
                <c:formatCode>yyyy\-mm;@</c:formatCode>
                <c:ptCount val="9"/>
                <c:pt idx="0">
                  <c:v>41547</c:v>
                </c:pt>
                <c:pt idx="1">
                  <c:v>41517</c:v>
                </c:pt>
                <c:pt idx="2">
                  <c:v>41486</c:v>
                </c:pt>
                <c:pt idx="3">
                  <c:v>41455</c:v>
                </c:pt>
                <c:pt idx="4">
                  <c:v>41425</c:v>
                </c:pt>
                <c:pt idx="5">
                  <c:v>41394</c:v>
                </c:pt>
                <c:pt idx="6">
                  <c:v>41364</c:v>
                </c:pt>
                <c:pt idx="7">
                  <c:v>41333</c:v>
                </c:pt>
                <c:pt idx="8">
                  <c:v>41275</c:v>
                </c:pt>
              </c:numCache>
            </c:numRef>
          </c:cat>
          <c:val>
            <c:numRef>
              <c:f>Sheet21!$G$2:$G$10</c:f>
              <c:numCache>
                <c:formatCode>General</c:formatCode>
                <c:ptCount val="9"/>
                <c:pt idx="0">
                  <c:v>160</c:v>
                </c:pt>
                <c:pt idx="1">
                  <c:v>191</c:v>
                </c:pt>
                <c:pt idx="2">
                  <c:v>191</c:v>
                </c:pt>
                <c:pt idx="3">
                  <c:v>236</c:v>
                </c:pt>
                <c:pt idx="4">
                  <c:v>160</c:v>
                </c:pt>
                <c:pt idx="5">
                  <c:v>138</c:v>
                </c:pt>
                <c:pt idx="6">
                  <c:v>79</c:v>
                </c:pt>
                <c:pt idx="7">
                  <c:v>80</c:v>
                </c:pt>
                <c:pt idx="8">
                  <c:v>87</c:v>
                </c:pt>
              </c:numCache>
            </c:numRef>
          </c:val>
        </c:ser>
        <c:gapWidth val="75"/>
        <c:overlap val="100"/>
        <c:axId val="346914816"/>
        <c:axId val="346916352"/>
      </c:barChart>
      <c:dateAx>
        <c:axId val="346914816"/>
        <c:scaling>
          <c:orientation val="minMax"/>
        </c:scaling>
        <c:axPos val="b"/>
        <c:numFmt formatCode="yyyy\-mm;@" sourceLinked="1"/>
        <c:majorTickMark val="none"/>
        <c:tickLblPos val="nextTo"/>
        <c:crossAx val="346916352"/>
        <c:crosses val="autoZero"/>
        <c:auto val="1"/>
        <c:lblOffset val="100"/>
      </c:dateAx>
      <c:valAx>
        <c:axId val="346916352"/>
        <c:scaling>
          <c:orientation val="minMax"/>
        </c:scaling>
        <c:axPos val="l"/>
        <c:majorGridlines/>
        <c:numFmt formatCode="General" sourceLinked="1"/>
        <c:majorTickMark val="none"/>
        <c:tickLblPos val="nextTo"/>
        <c:spPr>
          <a:ln w="9525">
            <a:noFill/>
          </a:ln>
        </c:spPr>
        <c:crossAx val="346914816"/>
        <c:crosses val="autoZero"/>
        <c:crossBetween val="between"/>
      </c:valAx>
    </c:plotArea>
    <c:legend>
      <c:legendPos val="b"/>
    </c:legend>
    <c:plotVisOnly val="1"/>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lineChart>
        <c:grouping val="standard"/>
        <c:ser>
          <c:idx val="0"/>
          <c:order val="0"/>
          <c:tx>
            <c:strRef>
              <c:f>Sheet21!$K$1</c:f>
              <c:strCache>
                <c:ptCount val="1"/>
                <c:pt idx="0">
                  <c:v>一年以上</c:v>
                </c:pt>
              </c:strCache>
            </c:strRef>
          </c:tx>
          <c:cat>
            <c:numRef>
              <c:f>Sheet21!$J$2:$J$10</c:f>
              <c:numCache>
                <c:formatCode>yyyy\-mm;@</c:formatCode>
                <c:ptCount val="9"/>
                <c:pt idx="0">
                  <c:v>41547</c:v>
                </c:pt>
                <c:pt idx="1">
                  <c:v>41517</c:v>
                </c:pt>
                <c:pt idx="2">
                  <c:v>41486</c:v>
                </c:pt>
                <c:pt idx="3">
                  <c:v>41455</c:v>
                </c:pt>
                <c:pt idx="4">
                  <c:v>41425</c:v>
                </c:pt>
                <c:pt idx="5">
                  <c:v>41394</c:v>
                </c:pt>
                <c:pt idx="6">
                  <c:v>41364</c:v>
                </c:pt>
                <c:pt idx="7">
                  <c:v>41333</c:v>
                </c:pt>
                <c:pt idx="8">
                  <c:v>41275</c:v>
                </c:pt>
              </c:numCache>
            </c:numRef>
          </c:cat>
          <c:val>
            <c:numRef>
              <c:f>Sheet21!$K$2:$K$10</c:f>
              <c:numCache>
                <c:formatCode>0.00%</c:formatCode>
                <c:ptCount val="9"/>
                <c:pt idx="0">
                  <c:v>5.5700000000000034E-2</c:v>
                </c:pt>
                <c:pt idx="1">
                  <c:v>5.3600000000000002E-2</c:v>
                </c:pt>
                <c:pt idx="2">
                  <c:v>4.8300000000000003E-2</c:v>
                </c:pt>
                <c:pt idx="3">
                  <c:v>5.3199999999999997E-2</c:v>
                </c:pt>
                <c:pt idx="4">
                  <c:v>5.1399999999999994E-2</c:v>
                </c:pt>
                <c:pt idx="5">
                  <c:v>5.3300000000000014E-2</c:v>
                </c:pt>
                <c:pt idx="6">
                  <c:v>5.3000000000000012E-2</c:v>
                </c:pt>
                <c:pt idx="7">
                  <c:v>5.16E-2</c:v>
                </c:pt>
                <c:pt idx="8">
                  <c:v>5.4200000000000012E-2</c:v>
                </c:pt>
              </c:numCache>
            </c:numRef>
          </c:val>
        </c:ser>
        <c:ser>
          <c:idx val="1"/>
          <c:order val="1"/>
          <c:tx>
            <c:strRef>
              <c:f>Sheet21!$L$1</c:f>
              <c:strCache>
                <c:ptCount val="1"/>
                <c:pt idx="0">
                  <c:v>6-12个月</c:v>
                </c:pt>
              </c:strCache>
            </c:strRef>
          </c:tx>
          <c:cat>
            <c:numRef>
              <c:f>Sheet21!$J$2:$J$10</c:f>
              <c:numCache>
                <c:formatCode>yyyy\-mm;@</c:formatCode>
                <c:ptCount val="9"/>
                <c:pt idx="0">
                  <c:v>41547</c:v>
                </c:pt>
                <c:pt idx="1">
                  <c:v>41517</c:v>
                </c:pt>
                <c:pt idx="2">
                  <c:v>41486</c:v>
                </c:pt>
                <c:pt idx="3">
                  <c:v>41455</c:v>
                </c:pt>
                <c:pt idx="4">
                  <c:v>41425</c:v>
                </c:pt>
                <c:pt idx="5">
                  <c:v>41394</c:v>
                </c:pt>
                <c:pt idx="6">
                  <c:v>41364</c:v>
                </c:pt>
                <c:pt idx="7">
                  <c:v>41333</c:v>
                </c:pt>
                <c:pt idx="8">
                  <c:v>41275</c:v>
                </c:pt>
              </c:numCache>
            </c:numRef>
          </c:cat>
          <c:val>
            <c:numRef>
              <c:f>Sheet21!$L$2:$L$10</c:f>
              <c:numCache>
                <c:formatCode>0.00%</c:formatCode>
                <c:ptCount val="9"/>
                <c:pt idx="0">
                  <c:v>5.2200000000000003E-2</c:v>
                </c:pt>
                <c:pt idx="1">
                  <c:v>5.0200000000000002E-2</c:v>
                </c:pt>
                <c:pt idx="2">
                  <c:v>4.9500000000000023E-2</c:v>
                </c:pt>
                <c:pt idx="3">
                  <c:v>4.8599999999999997E-2</c:v>
                </c:pt>
                <c:pt idx="4">
                  <c:v>4.6400000000000004E-2</c:v>
                </c:pt>
                <c:pt idx="5">
                  <c:v>4.7000000000000014E-2</c:v>
                </c:pt>
                <c:pt idx="6">
                  <c:v>4.7300000000000113E-2</c:v>
                </c:pt>
                <c:pt idx="7">
                  <c:v>4.7100000000000003E-2</c:v>
                </c:pt>
                <c:pt idx="8">
                  <c:v>4.7300000000000113E-2</c:v>
                </c:pt>
              </c:numCache>
            </c:numRef>
          </c:val>
        </c:ser>
        <c:ser>
          <c:idx val="2"/>
          <c:order val="2"/>
          <c:tx>
            <c:strRef>
              <c:f>Sheet21!$M$1</c:f>
              <c:strCache>
                <c:ptCount val="1"/>
                <c:pt idx="0">
                  <c:v>3-6个月</c:v>
                </c:pt>
              </c:strCache>
            </c:strRef>
          </c:tx>
          <c:cat>
            <c:numRef>
              <c:f>Sheet21!$J$2:$J$10</c:f>
              <c:numCache>
                <c:formatCode>yyyy\-mm;@</c:formatCode>
                <c:ptCount val="9"/>
                <c:pt idx="0">
                  <c:v>41547</c:v>
                </c:pt>
                <c:pt idx="1">
                  <c:v>41517</c:v>
                </c:pt>
                <c:pt idx="2">
                  <c:v>41486</c:v>
                </c:pt>
                <c:pt idx="3">
                  <c:v>41455</c:v>
                </c:pt>
                <c:pt idx="4">
                  <c:v>41425</c:v>
                </c:pt>
                <c:pt idx="5">
                  <c:v>41394</c:v>
                </c:pt>
                <c:pt idx="6">
                  <c:v>41364</c:v>
                </c:pt>
                <c:pt idx="7">
                  <c:v>41333</c:v>
                </c:pt>
                <c:pt idx="8">
                  <c:v>41275</c:v>
                </c:pt>
              </c:numCache>
            </c:numRef>
          </c:cat>
          <c:val>
            <c:numRef>
              <c:f>Sheet21!$M$2:$M$10</c:f>
              <c:numCache>
                <c:formatCode>0.00%</c:formatCode>
                <c:ptCount val="9"/>
                <c:pt idx="0">
                  <c:v>5.11E-2</c:v>
                </c:pt>
                <c:pt idx="1">
                  <c:v>4.8599999999999997E-2</c:v>
                </c:pt>
                <c:pt idx="2">
                  <c:v>4.8300000000000003E-2</c:v>
                </c:pt>
                <c:pt idx="3">
                  <c:v>4.7200000000000013E-2</c:v>
                </c:pt>
                <c:pt idx="4">
                  <c:v>4.4600000000000022E-2</c:v>
                </c:pt>
                <c:pt idx="5">
                  <c:v>4.4700000000000205E-2</c:v>
                </c:pt>
                <c:pt idx="6">
                  <c:v>4.4600000000000022E-2</c:v>
                </c:pt>
                <c:pt idx="7">
                  <c:v>4.5300000000000014E-2</c:v>
                </c:pt>
                <c:pt idx="8">
                  <c:v>4.5800000000000014E-2</c:v>
                </c:pt>
              </c:numCache>
            </c:numRef>
          </c:val>
        </c:ser>
        <c:ser>
          <c:idx val="3"/>
          <c:order val="3"/>
          <c:tx>
            <c:strRef>
              <c:f>Sheet21!$N$1</c:f>
              <c:strCache>
                <c:ptCount val="1"/>
                <c:pt idx="0">
                  <c:v>1-3个月</c:v>
                </c:pt>
              </c:strCache>
            </c:strRef>
          </c:tx>
          <c:cat>
            <c:numRef>
              <c:f>Sheet21!$J$2:$J$10</c:f>
              <c:numCache>
                <c:formatCode>yyyy\-mm;@</c:formatCode>
                <c:ptCount val="9"/>
                <c:pt idx="0">
                  <c:v>41547</c:v>
                </c:pt>
                <c:pt idx="1">
                  <c:v>41517</c:v>
                </c:pt>
                <c:pt idx="2">
                  <c:v>41486</c:v>
                </c:pt>
                <c:pt idx="3">
                  <c:v>41455</c:v>
                </c:pt>
                <c:pt idx="4">
                  <c:v>41425</c:v>
                </c:pt>
                <c:pt idx="5">
                  <c:v>41394</c:v>
                </c:pt>
                <c:pt idx="6">
                  <c:v>41364</c:v>
                </c:pt>
                <c:pt idx="7">
                  <c:v>41333</c:v>
                </c:pt>
                <c:pt idx="8">
                  <c:v>41275</c:v>
                </c:pt>
              </c:numCache>
            </c:numRef>
          </c:cat>
          <c:val>
            <c:numRef>
              <c:f>Sheet21!$N$2:$N$10</c:f>
              <c:numCache>
                <c:formatCode>0.00%</c:formatCode>
                <c:ptCount val="9"/>
                <c:pt idx="0">
                  <c:v>4.8700000000000014E-2</c:v>
                </c:pt>
                <c:pt idx="1">
                  <c:v>4.5800000000000014E-2</c:v>
                </c:pt>
                <c:pt idx="2">
                  <c:v>4.65E-2</c:v>
                </c:pt>
                <c:pt idx="3">
                  <c:v>4.7100000000000003E-2</c:v>
                </c:pt>
                <c:pt idx="4">
                  <c:v>4.1300000000000003E-2</c:v>
                </c:pt>
                <c:pt idx="5">
                  <c:v>4.1399999999999999E-2</c:v>
                </c:pt>
                <c:pt idx="6">
                  <c:v>4.3400000000000001E-2</c:v>
                </c:pt>
                <c:pt idx="7">
                  <c:v>4.2400000000000014E-2</c:v>
                </c:pt>
                <c:pt idx="8">
                  <c:v>4.3000000000000003E-2</c:v>
                </c:pt>
              </c:numCache>
            </c:numRef>
          </c:val>
        </c:ser>
        <c:ser>
          <c:idx val="4"/>
          <c:order val="4"/>
          <c:tx>
            <c:strRef>
              <c:f>Sheet21!$O$1</c:f>
              <c:strCache>
                <c:ptCount val="1"/>
                <c:pt idx="0">
                  <c:v>1个月以下</c:v>
                </c:pt>
              </c:strCache>
            </c:strRef>
          </c:tx>
          <c:cat>
            <c:numRef>
              <c:f>Sheet21!$J$2:$J$10</c:f>
              <c:numCache>
                <c:formatCode>yyyy\-mm;@</c:formatCode>
                <c:ptCount val="9"/>
                <c:pt idx="0">
                  <c:v>41547</c:v>
                </c:pt>
                <c:pt idx="1">
                  <c:v>41517</c:v>
                </c:pt>
                <c:pt idx="2">
                  <c:v>41486</c:v>
                </c:pt>
                <c:pt idx="3">
                  <c:v>41455</c:v>
                </c:pt>
                <c:pt idx="4">
                  <c:v>41425</c:v>
                </c:pt>
                <c:pt idx="5">
                  <c:v>41394</c:v>
                </c:pt>
                <c:pt idx="6">
                  <c:v>41364</c:v>
                </c:pt>
                <c:pt idx="7">
                  <c:v>41333</c:v>
                </c:pt>
                <c:pt idx="8">
                  <c:v>41275</c:v>
                </c:pt>
              </c:numCache>
            </c:numRef>
          </c:cat>
          <c:val>
            <c:numRef>
              <c:f>Sheet21!$O$2:$O$10</c:f>
              <c:numCache>
                <c:formatCode>0.00%</c:formatCode>
                <c:ptCount val="9"/>
                <c:pt idx="0">
                  <c:v>4.1000000000000002E-2</c:v>
                </c:pt>
                <c:pt idx="1">
                  <c:v>3.960000000000001E-2</c:v>
                </c:pt>
                <c:pt idx="2">
                  <c:v>3.9300000000000002E-2</c:v>
                </c:pt>
                <c:pt idx="3">
                  <c:v>4.3099999999999999E-2</c:v>
                </c:pt>
                <c:pt idx="4">
                  <c:v>3.5600000000000041E-2</c:v>
                </c:pt>
                <c:pt idx="5">
                  <c:v>3.5699999999999996E-2</c:v>
                </c:pt>
                <c:pt idx="6">
                  <c:v>3.7100000000000001E-2</c:v>
                </c:pt>
                <c:pt idx="7">
                  <c:v>3.9100000000000003E-2</c:v>
                </c:pt>
                <c:pt idx="8">
                  <c:v>3.6400000000000016E-2</c:v>
                </c:pt>
              </c:numCache>
            </c:numRef>
          </c:val>
        </c:ser>
        <c:marker val="1"/>
        <c:axId val="347041792"/>
        <c:axId val="347043328"/>
      </c:lineChart>
      <c:dateAx>
        <c:axId val="347041792"/>
        <c:scaling>
          <c:orientation val="minMax"/>
        </c:scaling>
        <c:axPos val="b"/>
        <c:numFmt formatCode="yyyy\-mm;@" sourceLinked="1"/>
        <c:majorTickMark val="none"/>
        <c:tickLblPos val="nextTo"/>
        <c:crossAx val="347043328"/>
        <c:crosses val="autoZero"/>
        <c:auto val="1"/>
        <c:lblOffset val="100"/>
      </c:dateAx>
      <c:valAx>
        <c:axId val="347043328"/>
        <c:scaling>
          <c:orientation val="minMax"/>
          <c:max val="6.0000000000000032E-2"/>
          <c:min val="3.0000000000000002E-2"/>
        </c:scaling>
        <c:axPos val="l"/>
        <c:majorGridlines/>
        <c:numFmt formatCode="0.00%" sourceLinked="1"/>
        <c:majorTickMark val="none"/>
        <c:tickLblPos val="nextTo"/>
        <c:spPr>
          <a:ln w="9525">
            <a:noFill/>
          </a:ln>
        </c:spPr>
        <c:crossAx val="347041792"/>
        <c:crosses val="autoZero"/>
        <c:crossBetween val="between"/>
      </c:valAx>
    </c:plotArea>
    <c:legend>
      <c:legendPos val="b"/>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strRef>
              <c:f>Sheet2!$B$1:$B$2</c:f>
              <c:strCache>
                <c:ptCount val="1"/>
                <c:pt idx="0">
                  <c:v>PPI:全部工业品:当月同比 月</c:v>
                </c:pt>
              </c:strCache>
            </c:strRef>
          </c:tx>
          <c:marker>
            <c:symbol val="none"/>
          </c:marker>
          <c:cat>
            <c:numRef>
              <c:f>Sheet2!$A$3:$A$143</c:f>
              <c:numCache>
                <c:formatCode>yyyy\-mm;@</c:formatCode>
                <c:ptCount val="141"/>
                <c:pt idx="0">
                  <c:v>41547</c:v>
                </c:pt>
                <c:pt idx="1">
                  <c:v>41517</c:v>
                </c:pt>
                <c:pt idx="2">
                  <c:v>41486</c:v>
                </c:pt>
                <c:pt idx="3">
                  <c:v>41455</c:v>
                </c:pt>
                <c:pt idx="4">
                  <c:v>41425</c:v>
                </c:pt>
                <c:pt idx="5">
                  <c:v>41394</c:v>
                </c:pt>
                <c:pt idx="6">
                  <c:v>41364</c:v>
                </c:pt>
                <c:pt idx="7">
                  <c:v>41333</c:v>
                </c:pt>
                <c:pt idx="8">
                  <c:v>41305</c:v>
                </c:pt>
                <c:pt idx="9">
                  <c:v>41274</c:v>
                </c:pt>
                <c:pt idx="10">
                  <c:v>41243</c:v>
                </c:pt>
                <c:pt idx="11">
                  <c:v>41213</c:v>
                </c:pt>
                <c:pt idx="12">
                  <c:v>41182</c:v>
                </c:pt>
                <c:pt idx="13">
                  <c:v>41152</c:v>
                </c:pt>
                <c:pt idx="14">
                  <c:v>41121</c:v>
                </c:pt>
                <c:pt idx="15">
                  <c:v>41090</c:v>
                </c:pt>
                <c:pt idx="16">
                  <c:v>41060</c:v>
                </c:pt>
                <c:pt idx="17">
                  <c:v>41029</c:v>
                </c:pt>
                <c:pt idx="18">
                  <c:v>40999</c:v>
                </c:pt>
                <c:pt idx="19">
                  <c:v>40968</c:v>
                </c:pt>
                <c:pt idx="20">
                  <c:v>40939</c:v>
                </c:pt>
                <c:pt idx="21">
                  <c:v>40908</c:v>
                </c:pt>
                <c:pt idx="22">
                  <c:v>40877</c:v>
                </c:pt>
                <c:pt idx="23">
                  <c:v>40847</c:v>
                </c:pt>
                <c:pt idx="24">
                  <c:v>40816</c:v>
                </c:pt>
                <c:pt idx="25">
                  <c:v>40786</c:v>
                </c:pt>
                <c:pt idx="26">
                  <c:v>40755</c:v>
                </c:pt>
                <c:pt idx="27">
                  <c:v>40724</c:v>
                </c:pt>
                <c:pt idx="28">
                  <c:v>40694</c:v>
                </c:pt>
                <c:pt idx="29">
                  <c:v>40663</c:v>
                </c:pt>
                <c:pt idx="30">
                  <c:v>40633</c:v>
                </c:pt>
                <c:pt idx="31">
                  <c:v>40602</c:v>
                </c:pt>
                <c:pt idx="32">
                  <c:v>40574</c:v>
                </c:pt>
                <c:pt idx="33">
                  <c:v>40543</c:v>
                </c:pt>
                <c:pt idx="34">
                  <c:v>40512</c:v>
                </c:pt>
                <c:pt idx="35">
                  <c:v>40482</c:v>
                </c:pt>
                <c:pt idx="36">
                  <c:v>40451</c:v>
                </c:pt>
                <c:pt idx="37">
                  <c:v>40421</c:v>
                </c:pt>
                <c:pt idx="38">
                  <c:v>40390</c:v>
                </c:pt>
                <c:pt idx="39">
                  <c:v>40359</c:v>
                </c:pt>
                <c:pt idx="40">
                  <c:v>40329</c:v>
                </c:pt>
                <c:pt idx="41">
                  <c:v>40298</c:v>
                </c:pt>
                <c:pt idx="42">
                  <c:v>40268</c:v>
                </c:pt>
                <c:pt idx="43">
                  <c:v>40237</c:v>
                </c:pt>
                <c:pt idx="44">
                  <c:v>40209</c:v>
                </c:pt>
                <c:pt idx="45">
                  <c:v>40178</c:v>
                </c:pt>
                <c:pt idx="46">
                  <c:v>40147</c:v>
                </c:pt>
                <c:pt idx="47">
                  <c:v>40117</c:v>
                </c:pt>
                <c:pt idx="48">
                  <c:v>40086</c:v>
                </c:pt>
                <c:pt idx="49">
                  <c:v>40056</c:v>
                </c:pt>
                <c:pt idx="50">
                  <c:v>40025</c:v>
                </c:pt>
                <c:pt idx="51">
                  <c:v>39994</c:v>
                </c:pt>
                <c:pt idx="52">
                  <c:v>39964</c:v>
                </c:pt>
                <c:pt idx="53">
                  <c:v>39933</c:v>
                </c:pt>
                <c:pt idx="54">
                  <c:v>39903</c:v>
                </c:pt>
                <c:pt idx="55">
                  <c:v>39872</c:v>
                </c:pt>
                <c:pt idx="56">
                  <c:v>39844</c:v>
                </c:pt>
                <c:pt idx="57">
                  <c:v>39813</c:v>
                </c:pt>
                <c:pt idx="58">
                  <c:v>39782</c:v>
                </c:pt>
                <c:pt idx="59">
                  <c:v>39752</c:v>
                </c:pt>
                <c:pt idx="60">
                  <c:v>39721</c:v>
                </c:pt>
                <c:pt idx="61">
                  <c:v>39691</c:v>
                </c:pt>
                <c:pt idx="62">
                  <c:v>39660</c:v>
                </c:pt>
                <c:pt idx="63">
                  <c:v>39629</c:v>
                </c:pt>
                <c:pt idx="64">
                  <c:v>39599</c:v>
                </c:pt>
                <c:pt idx="65">
                  <c:v>39568</c:v>
                </c:pt>
                <c:pt idx="66">
                  <c:v>39538</c:v>
                </c:pt>
                <c:pt idx="67">
                  <c:v>39507</c:v>
                </c:pt>
                <c:pt idx="68">
                  <c:v>39478</c:v>
                </c:pt>
                <c:pt idx="69">
                  <c:v>39447</c:v>
                </c:pt>
                <c:pt idx="70">
                  <c:v>39416</c:v>
                </c:pt>
                <c:pt idx="71">
                  <c:v>39386</c:v>
                </c:pt>
                <c:pt idx="72">
                  <c:v>39355</c:v>
                </c:pt>
                <c:pt idx="73">
                  <c:v>39325</c:v>
                </c:pt>
                <c:pt idx="74">
                  <c:v>39294</c:v>
                </c:pt>
                <c:pt idx="75">
                  <c:v>39263</c:v>
                </c:pt>
                <c:pt idx="76">
                  <c:v>39233</c:v>
                </c:pt>
                <c:pt idx="77">
                  <c:v>39202</c:v>
                </c:pt>
                <c:pt idx="78">
                  <c:v>39172</c:v>
                </c:pt>
                <c:pt idx="79">
                  <c:v>39141</c:v>
                </c:pt>
                <c:pt idx="80">
                  <c:v>39113</c:v>
                </c:pt>
                <c:pt idx="81">
                  <c:v>39082</c:v>
                </c:pt>
                <c:pt idx="82">
                  <c:v>39051</c:v>
                </c:pt>
                <c:pt idx="83">
                  <c:v>39021</c:v>
                </c:pt>
                <c:pt idx="84">
                  <c:v>38990</c:v>
                </c:pt>
                <c:pt idx="85">
                  <c:v>38960</c:v>
                </c:pt>
                <c:pt idx="86">
                  <c:v>38929</c:v>
                </c:pt>
                <c:pt idx="87">
                  <c:v>38898</c:v>
                </c:pt>
                <c:pt idx="88">
                  <c:v>38868</c:v>
                </c:pt>
                <c:pt idx="89">
                  <c:v>38837</c:v>
                </c:pt>
                <c:pt idx="90">
                  <c:v>38807</c:v>
                </c:pt>
                <c:pt idx="91">
                  <c:v>38776</c:v>
                </c:pt>
                <c:pt idx="92">
                  <c:v>38748</c:v>
                </c:pt>
                <c:pt idx="93">
                  <c:v>38717</c:v>
                </c:pt>
                <c:pt idx="94">
                  <c:v>38686</c:v>
                </c:pt>
                <c:pt idx="95">
                  <c:v>38656</c:v>
                </c:pt>
                <c:pt idx="96">
                  <c:v>38625</c:v>
                </c:pt>
                <c:pt idx="97">
                  <c:v>38595</c:v>
                </c:pt>
                <c:pt idx="98">
                  <c:v>38564</c:v>
                </c:pt>
                <c:pt idx="99">
                  <c:v>38533</c:v>
                </c:pt>
                <c:pt idx="100">
                  <c:v>38503</c:v>
                </c:pt>
                <c:pt idx="101">
                  <c:v>38472</c:v>
                </c:pt>
                <c:pt idx="102">
                  <c:v>38442</c:v>
                </c:pt>
                <c:pt idx="103">
                  <c:v>38411</c:v>
                </c:pt>
                <c:pt idx="104">
                  <c:v>38383</c:v>
                </c:pt>
                <c:pt idx="105">
                  <c:v>38352</c:v>
                </c:pt>
                <c:pt idx="106">
                  <c:v>38321</c:v>
                </c:pt>
                <c:pt idx="107">
                  <c:v>38291</c:v>
                </c:pt>
                <c:pt idx="108">
                  <c:v>38260</c:v>
                </c:pt>
                <c:pt idx="109">
                  <c:v>38230</c:v>
                </c:pt>
                <c:pt idx="110">
                  <c:v>38199</c:v>
                </c:pt>
                <c:pt idx="111">
                  <c:v>38168</c:v>
                </c:pt>
                <c:pt idx="112">
                  <c:v>38138</c:v>
                </c:pt>
                <c:pt idx="113">
                  <c:v>38107</c:v>
                </c:pt>
                <c:pt idx="114">
                  <c:v>38077</c:v>
                </c:pt>
                <c:pt idx="115">
                  <c:v>38046</c:v>
                </c:pt>
                <c:pt idx="116">
                  <c:v>38017</c:v>
                </c:pt>
                <c:pt idx="117">
                  <c:v>37986</c:v>
                </c:pt>
                <c:pt idx="118">
                  <c:v>37955</c:v>
                </c:pt>
                <c:pt idx="119">
                  <c:v>37925</c:v>
                </c:pt>
                <c:pt idx="120">
                  <c:v>37894</c:v>
                </c:pt>
                <c:pt idx="121">
                  <c:v>37864</c:v>
                </c:pt>
                <c:pt idx="122">
                  <c:v>37833</c:v>
                </c:pt>
                <c:pt idx="123">
                  <c:v>37802</c:v>
                </c:pt>
                <c:pt idx="124">
                  <c:v>37772</c:v>
                </c:pt>
                <c:pt idx="125">
                  <c:v>37741</c:v>
                </c:pt>
                <c:pt idx="126">
                  <c:v>37711</c:v>
                </c:pt>
                <c:pt idx="127">
                  <c:v>37680</c:v>
                </c:pt>
                <c:pt idx="128">
                  <c:v>37652</c:v>
                </c:pt>
                <c:pt idx="129">
                  <c:v>37621</c:v>
                </c:pt>
                <c:pt idx="130">
                  <c:v>37590</c:v>
                </c:pt>
                <c:pt idx="131">
                  <c:v>37560</c:v>
                </c:pt>
                <c:pt idx="132">
                  <c:v>37529</c:v>
                </c:pt>
                <c:pt idx="133">
                  <c:v>37499</c:v>
                </c:pt>
                <c:pt idx="134">
                  <c:v>37468</c:v>
                </c:pt>
                <c:pt idx="135">
                  <c:v>37437</c:v>
                </c:pt>
                <c:pt idx="136">
                  <c:v>37407</c:v>
                </c:pt>
                <c:pt idx="137">
                  <c:v>37376</c:v>
                </c:pt>
                <c:pt idx="138">
                  <c:v>37346</c:v>
                </c:pt>
                <c:pt idx="139">
                  <c:v>37315</c:v>
                </c:pt>
                <c:pt idx="140">
                  <c:v>37287</c:v>
                </c:pt>
              </c:numCache>
            </c:numRef>
          </c:cat>
          <c:val>
            <c:numRef>
              <c:f>Sheet2!$B$3:$B$143</c:f>
              <c:numCache>
                <c:formatCode>###,###,###,###,##0.00_ </c:formatCode>
                <c:ptCount val="141"/>
                <c:pt idx="0">
                  <c:v>-1.34</c:v>
                </c:pt>
                <c:pt idx="1">
                  <c:v>-1.62</c:v>
                </c:pt>
                <c:pt idx="2">
                  <c:v>-2.27</c:v>
                </c:pt>
                <c:pt idx="3">
                  <c:v>-2.7</c:v>
                </c:pt>
                <c:pt idx="4">
                  <c:v>-2.8699999999999997</c:v>
                </c:pt>
                <c:pt idx="5">
                  <c:v>-2.62</c:v>
                </c:pt>
                <c:pt idx="6">
                  <c:v>-1.9200000000000021</c:v>
                </c:pt>
                <c:pt idx="7">
                  <c:v>-1.6300000000000001</c:v>
                </c:pt>
                <c:pt idx="8">
                  <c:v>-1.6400000000000001</c:v>
                </c:pt>
                <c:pt idx="9">
                  <c:v>-1.9400000000000046</c:v>
                </c:pt>
                <c:pt idx="10">
                  <c:v>-2.2000000000000002</c:v>
                </c:pt>
                <c:pt idx="11">
                  <c:v>-2.7600000000000002</c:v>
                </c:pt>
                <c:pt idx="12">
                  <c:v>-3.55</c:v>
                </c:pt>
                <c:pt idx="13">
                  <c:v>-3.48</c:v>
                </c:pt>
                <c:pt idx="14">
                  <c:v>-2.8699999999999997</c:v>
                </c:pt>
                <c:pt idx="15">
                  <c:v>-2.08</c:v>
                </c:pt>
                <c:pt idx="16">
                  <c:v>-1.4</c:v>
                </c:pt>
                <c:pt idx="17">
                  <c:v>-0.70000000000000062</c:v>
                </c:pt>
                <c:pt idx="18">
                  <c:v>-0.32000000000000134</c:v>
                </c:pt>
                <c:pt idx="19">
                  <c:v>3.0000000000000002E-2</c:v>
                </c:pt>
                <c:pt idx="20">
                  <c:v>0.73000000000000065</c:v>
                </c:pt>
                <c:pt idx="21">
                  <c:v>1.6900000000000046</c:v>
                </c:pt>
                <c:pt idx="22">
                  <c:v>2.72</c:v>
                </c:pt>
                <c:pt idx="23">
                  <c:v>5</c:v>
                </c:pt>
                <c:pt idx="24">
                  <c:v>6.52</c:v>
                </c:pt>
                <c:pt idx="25">
                  <c:v>7.25</c:v>
                </c:pt>
                <c:pt idx="26">
                  <c:v>7.54</c:v>
                </c:pt>
                <c:pt idx="27">
                  <c:v>7.1199999999999966</c:v>
                </c:pt>
                <c:pt idx="28">
                  <c:v>6.79</c:v>
                </c:pt>
                <c:pt idx="29">
                  <c:v>6.8199999999999985</c:v>
                </c:pt>
                <c:pt idx="30">
                  <c:v>7.31</c:v>
                </c:pt>
                <c:pt idx="31">
                  <c:v>7.23</c:v>
                </c:pt>
                <c:pt idx="32">
                  <c:v>6.6</c:v>
                </c:pt>
                <c:pt idx="33">
                  <c:v>5.9300000000000024</c:v>
                </c:pt>
                <c:pt idx="34">
                  <c:v>6.06</c:v>
                </c:pt>
                <c:pt idx="35">
                  <c:v>5.04</c:v>
                </c:pt>
                <c:pt idx="36">
                  <c:v>4.33</c:v>
                </c:pt>
                <c:pt idx="37">
                  <c:v>4.3199999999999985</c:v>
                </c:pt>
                <c:pt idx="38">
                  <c:v>4.84</c:v>
                </c:pt>
                <c:pt idx="39">
                  <c:v>6.41</c:v>
                </c:pt>
                <c:pt idx="40">
                  <c:v>7.13</c:v>
                </c:pt>
                <c:pt idx="41">
                  <c:v>6.81</c:v>
                </c:pt>
                <c:pt idx="42">
                  <c:v>5.91</c:v>
                </c:pt>
                <c:pt idx="43">
                  <c:v>5.39</c:v>
                </c:pt>
                <c:pt idx="44">
                  <c:v>4.3199999999999985</c:v>
                </c:pt>
                <c:pt idx="45">
                  <c:v>1.7</c:v>
                </c:pt>
                <c:pt idx="46">
                  <c:v>-2.08</c:v>
                </c:pt>
                <c:pt idx="47">
                  <c:v>-5.85</c:v>
                </c:pt>
                <c:pt idx="48">
                  <c:v>-6.99</c:v>
                </c:pt>
                <c:pt idx="49">
                  <c:v>-7.8599999999999985</c:v>
                </c:pt>
                <c:pt idx="50">
                  <c:v>-8.2000000000000011</c:v>
                </c:pt>
                <c:pt idx="51">
                  <c:v>-7.8</c:v>
                </c:pt>
                <c:pt idx="52">
                  <c:v>-7.2</c:v>
                </c:pt>
                <c:pt idx="53">
                  <c:v>-6.6</c:v>
                </c:pt>
                <c:pt idx="54">
                  <c:v>-6</c:v>
                </c:pt>
                <c:pt idx="55">
                  <c:v>-4.4700000000000024</c:v>
                </c:pt>
                <c:pt idx="56">
                  <c:v>-3.3499999999999988</c:v>
                </c:pt>
                <c:pt idx="57">
                  <c:v>-1.1399999999999948</c:v>
                </c:pt>
                <c:pt idx="58">
                  <c:v>1.9900000000000051</c:v>
                </c:pt>
                <c:pt idx="59">
                  <c:v>6.59</c:v>
                </c:pt>
                <c:pt idx="60">
                  <c:v>9.129999999999999</c:v>
                </c:pt>
                <c:pt idx="61">
                  <c:v>10.06</c:v>
                </c:pt>
                <c:pt idx="62">
                  <c:v>10.030000000000001</c:v>
                </c:pt>
                <c:pt idx="63">
                  <c:v>8.84</c:v>
                </c:pt>
                <c:pt idx="64">
                  <c:v>8.2200000000000006</c:v>
                </c:pt>
                <c:pt idx="65">
                  <c:v>8.120000000000001</c:v>
                </c:pt>
                <c:pt idx="66">
                  <c:v>7.95</c:v>
                </c:pt>
                <c:pt idx="67">
                  <c:v>6.6199999999999966</c:v>
                </c:pt>
                <c:pt idx="68">
                  <c:v>6.1</c:v>
                </c:pt>
                <c:pt idx="69">
                  <c:v>5.4300000000000024</c:v>
                </c:pt>
                <c:pt idx="70">
                  <c:v>4.55</c:v>
                </c:pt>
                <c:pt idx="71">
                  <c:v>3.2</c:v>
                </c:pt>
                <c:pt idx="72">
                  <c:v>2.7</c:v>
                </c:pt>
                <c:pt idx="73">
                  <c:v>2.6</c:v>
                </c:pt>
                <c:pt idx="74">
                  <c:v>2.4</c:v>
                </c:pt>
                <c:pt idx="75">
                  <c:v>2.4899999999999998</c:v>
                </c:pt>
                <c:pt idx="76">
                  <c:v>2.8</c:v>
                </c:pt>
                <c:pt idx="77">
                  <c:v>2.9</c:v>
                </c:pt>
                <c:pt idx="78">
                  <c:v>2.7</c:v>
                </c:pt>
                <c:pt idx="79">
                  <c:v>2.6</c:v>
                </c:pt>
                <c:pt idx="80">
                  <c:v>3.3</c:v>
                </c:pt>
                <c:pt idx="81">
                  <c:v>3.1</c:v>
                </c:pt>
                <c:pt idx="82">
                  <c:v>2.7800000000000002</c:v>
                </c:pt>
                <c:pt idx="83">
                  <c:v>2.9</c:v>
                </c:pt>
                <c:pt idx="84">
                  <c:v>3.5</c:v>
                </c:pt>
                <c:pt idx="85">
                  <c:v>3.4</c:v>
                </c:pt>
                <c:pt idx="86">
                  <c:v>3.58</c:v>
                </c:pt>
                <c:pt idx="87">
                  <c:v>3.52</c:v>
                </c:pt>
                <c:pt idx="88">
                  <c:v>2.4299999999999997</c:v>
                </c:pt>
                <c:pt idx="89">
                  <c:v>1.87</c:v>
                </c:pt>
                <c:pt idx="90">
                  <c:v>2.4899999999999998</c:v>
                </c:pt>
                <c:pt idx="91">
                  <c:v>3.01</c:v>
                </c:pt>
                <c:pt idx="92">
                  <c:v>3.05</c:v>
                </c:pt>
                <c:pt idx="93">
                  <c:v>3.2</c:v>
                </c:pt>
                <c:pt idx="94">
                  <c:v>3.2</c:v>
                </c:pt>
                <c:pt idx="95">
                  <c:v>4</c:v>
                </c:pt>
                <c:pt idx="96">
                  <c:v>4.5</c:v>
                </c:pt>
                <c:pt idx="97">
                  <c:v>5.3</c:v>
                </c:pt>
                <c:pt idx="98">
                  <c:v>5.2</c:v>
                </c:pt>
                <c:pt idx="99">
                  <c:v>5.2</c:v>
                </c:pt>
                <c:pt idx="100">
                  <c:v>5.9</c:v>
                </c:pt>
                <c:pt idx="101">
                  <c:v>5.78</c:v>
                </c:pt>
                <c:pt idx="102">
                  <c:v>5.6</c:v>
                </c:pt>
                <c:pt idx="103">
                  <c:v>5.38</c:v>
                </c:pt>
                <c:pt idx="104">
                  <c:v>5.8</c:v>
                </c:pt>
                <c:pt idx="105">
                  <c:v>7.1</c:v>
                </c:pt>
                <c:pt idx="106">
                  <c:v>8.1</c:v>
                </c:pt>
                <c:pt idx="107">
                  <c:v>8.4</c:v>
                </c:pt>
                <c:pt idx="108">
                  <c:v>7.9</c:v>
                </c:pt>
                <c:pt idx="109">
                  <c:v>6.8</c:v>
                </c:pt>
                <c:pt idx="110">
                  <c:v>6.4</c:v>
                </c:pt>
                <c:pt idx="111">
                  <c:v>6.4</c:v>
                </c:pt>
                <c:pt idx="112">
                  <c:v>5.7</c:v>
                </c:pt>
                <c:pt idx="113">
                  <c:v>5</c:v>
                </c:pt>
                <c:pt idx="114">
                  <c:v>4</c:v>
                </c:pt>
                <c:pt idx="115">
                  <c:v>3.5</c:v>
                </c:pt>
                <c:pt idx="116">
                  <c:v>3.5</c:v>
                </c:pt>
                <c:pt idx="117">
                  <c:v>3</c:v>
                </c:pt>
                <c:pt idx="118">
                  <c:v>1.9000000000000001</c:v>
                </c:pt>
                <c:pt idx="119">
                  <c:v>1.2</c:v>
                </c:pt>
                <c:pt idx="120">
                  <c:v>1.4</c:v>
                </c:pt>
                <c:pt idx="121">
                  <c:v>1.4</c:v>
                </c:pt>
                <c:pt idx="122">
                  <c:v>1.4</c:v>
                </c:pt>
                <c:pt idx="123">
                  <c:v>1.3</c:v>
                </c:pt>
                <c:pt idx="124">
                  <c:v>2</c:v>
                </c:pt>
                <c:pt idx="125">
                  <c:v>3.6</c:v>
                </c:pt>
                <c:pt idx="126">
                  <c:v>4.5999999999999996</c:v>
                </c:pt>
                <c:pt idx="127">
                  <c:v>4</c:v>
                </c:pt>
                <c:pt idx="128">
                  <c:v>2.4</c:v>
                </c:pt>
                <c:pt idx="129">
                  <c:v>0.4</c:v>
                </c:pt>
                <c:pt idx="130">
                  <c:v>-0.4</c:v>
                </c:pt>
                <c:pt idx="131">
                  <c:v>-1</c:v>
                </c:pt>
                <c:pt idx="132">
                  <c:v>-1.4</c:v>
                </c:pt>
                <c:pt idx="133">
                  <c:v>-1.7</c:v>
                </c:pt>
                <c:pt idx="134">
                  <c:v>-2.2999999999999998</c:v>
                </c:pt>
                <c:pt idx="135">
                  <c:v>-2.5</c:v>
                </c:pt>
                <c:pt idx="136">
                  <c:v>-2.63</c:v>
                </c:pt>
                <c:pt idx="137">
                  <c:v>-3.06</c:v>
                </c:pt>
                <c:pt idx="138">
                  <c:v>-4</c:v>
                </c:pt>
                <c:pt idx="139">
                  <c:v>-4.2</c:v>
                </c:pt>
                <c:pt idx="140">
                  <c:v>-4.2</c:v>
                </c:pt>
              </c:numCache>
            </c:numRef>
          </c:val>
        </c:ser>
        <c:ser>
          <c:idx val="1"/>
          <c:order val="1"/>
          <c:tx>
            <c:strRef>
              <c:f>Sheet2!$C$1:$C$2</c:f>
              <c:strCache>
                <c:ptCount val="1"/>
                <c:pt idx="0">
                  <c:v>PPI:全部工业品:环比 月</c:v>
                </c:pt>
              </c:strCache>
            </c:strRef>
          </c:tx>
          <c:marker>
            <c:symbol val="none"/>
          </c:marker>
          <c:cat>
            <c:numRef>
              <c:f>Sheet2!$A$3:$A$143</c:f>
              <c:numCache>
                <c:formatCode>yyyy\-mm;@</c:formatCode>
                <c:ptCount val="141"/>
                <c:pt idx="0">
                  <c:v>41547</c:v>
                </c:pt>
                <c:pt idx="1">
                  <c:v>41517</c:v>
                </c:pt>
                <c:pt idx="2">
                  <c:v>41486</c:v>
                </c:pt>
                <c:pt idx="3">
                  <c:v>41455</c:v>
                </c:pt>
                <c:pt idx="4">
                  <c:v>41425</c:v>
                </c:pt>
                <c:pt idx="5">
                  <c:v>41394</c:v>
                </c:pt>
                <c:pt idx="6">
                  <c:v>41364</c:v>
                </c:pt>
                <c:pt idx="7">
                  <c:v>41333</c:v>
                </c:pt>
                <c:pt idx="8">
                  <c:v>41305</c:v>
                </c:pt>
                <c:pt idx="9">
                  <c:v>41274</c:v>
                </c:pt>
                <c:pt idx="10">
                  <c:v>41243</c:v>
                </c:pt>
                <c:pt idx="11">
                  <c:v>41213</c:v>
                </c:pt>
                <c:pt idx="12">
                  <c:v>41182</c:v>
                </c:pt>
                <c:pt idx="13">
                  <c:v>41152</c:v>
                </c:pt>
                <c:pt idx="14">
                  <c:v>41121</c:v>
                </c:pt>
                <c:pt idx="15">
                  <c:v>41090</c:v>
                </c:pt>
                <c:pt idx="16">
                  <c:v>41060</c:v>
                </c:pt>
                <c:pt idx="17">
                  <c:v>41029</c:v>
                </c:pt>
                <c:pt idx="18">
                  <c:v>40999</c:v>
                </c:pt>
                <c:pt idx="19">
                  <c:v>40968</c:v>
                </c:pt>
                <c:pt idx="20">
                  <c:v>40939</c:v>
                </c:pt>
                <c:pt idx="21">
                  <c:v>40908</c:v>
                </c:pt>
                <c:pt idx="22">
                  <c:v>40877</c:v>
                </c:pt>
                <c:pt idx="23">
                  <c:v>40847</c:v>
                </c:pt>
                <c:pt idx="24">
                  <c:v>40816</c:v>
                </c:pt>
                <c:pt idx="25">
                  <c:v>40786</c:v>
                </c:pt>
                <c:pt idx="26">
                  <c:v>40755</c:v>
                </c:pt>
                <c:pt idx="27">
                  <c:v>40724</c:v>
                </c:pt>
                <c:pt idx="28">
                  <c:v>40694</c:v>
                </c:pt>
                <c:pt idx="29">
                  <c:v>40663</c:v>
                </c:pt>
                <c:pt idx="30">
                  <c:v>40633</c:v>
                </c:pt>
                <c:pt idx="31">
                  <c:v>40602</c:v>
                </c:pt>
                <c:pt idx="32">
                  <c:v>40574</c:v>
                </c:pt>
                <c:pt idx="33">
                  <c:v>40543</c:v>
                </c:pt>
                <c:pt idx="34">
                  <c:v>40512</c:v>
                </c:pt>
                <c:pt idx="35">
                  <c:v>40482</c:v>
                </c:pt>
                <c:pt idx="36">
                  <c:v>40451</c:v>
                </c:pt>
                <c:pt idx="37">
                  <c:v>40421</c:v>
                </c:pt>
                <c:pt idx="38">
                  <c:v>40390</c:v>
                </c:pt>
                <c:pt idx="39">
                  <c:v>40359</c:v>
                </c:pt>
                <c:pt idx="40">
                  <c:v>40329</c:v>
                </c:pt>
                <c:pt idx="41">
                  <c:v>40298</c:v>
                </c:pt>
                <c:pt idx="42">
                  <c:v>40268</c:v>
                </c:pt>
                <c:pt idx="43">
                  <c:v>40237</c:v>
                </c:pt>
                <c:pt idx="44">
                  <c:v>40209</c:v>
                </c:pt>
                <c:pt idx="45">
                  <c:v>40178</c:v>
                </c:pt>
                <c:pt idx="46">
                  <c:v>40147</c:v>
                </c:pt>
                <c:pt idx="47">
                  <c:v>40117</c:v>
                </c:pt>
                <c:pt idx="48">
                  <c:v>40086</c:v>
                </c:pt>
                <c:pt idx="49">
                  <c:v>40056</c:v>
                </c:pt>
                <c:pt idx="50">
                  <c:v>40025</c:v>
                </c:pt>
                <c:pt idx="51">
                  <c:v>39994</c:v>
                </c:pt>
                <c:pt idx="52">
                  <c:v>39964</c:v>
                </c:pt>
                <c:pt idx="53">
                  <c:v>39933</c:v>
                </c:pt>
                <c:pt idx="54">
                  <c:v>39903</c:v>
                </c:pt>
                <c:pt idx="55">
                  <c:v>39872</c:v>
                </c:pt>
                <c:pt idx="56">
                  <c:v>39844</c:v>
                </c:pt>
                <c:pt idx="57">
                  <c:v>39813</c:v>
                </c:pt>
                <c:pt idx="58">
                  <c:v>39782</c:v>
                </c:pt>
                <c:pt idx="59">
                  <c:v>39752</c:v>
                </c:pt>
                <c:pt idx="60">
                  <c:v>39721</c:v>
                </c:pt>
                <c:pt idx="61">
                  <c:v>39691</c:v>
                </c:pt>
                <c:pt idx="62">
                  <c:v>39660</c:v>
                </c:pt>
                <c:pt idx="63">
                  <c:v>39629</c:v>
                </c:pt>
                <c:pt idx="64">
                  <c:v>39599</c:v>
                </c:pt>
                <c:pt idx="65">
                  <c:v>39568</c:v>
                </c:pt>
                <c:pt idx="66">
                  <c:v>39538</c:v>
                </c:pt>
                <c:pt idx="67">
                  <c:v>39507</c:v>
                </c:pt>
                <c:pt idx="68">
                  <c:v>39478</c:v>
                </c:pt>
                <c:pt idx="69">
                  <c:v>39447</c:v>
                </c:pt>
                <c:pt idx="70">
                  <c:v>39416</c:v>
                </c:pt>
                <c:pt idx="71">
                  <c:v>39386</c:v>
                </c:pt>
                <c:pt idx="72">
                  <c:v>39355</c:v>
                </c:pt>
                <c:pt idx="73">
                  <c:v>39325</c:v>
                </c:pt>
                <c:pt idx="74">
                  <c:v>39294</c:v>
                </c:pt>
                <c:pt idx="75">
                  <c:v>39263</c:v>
                </c:pt>
                <c:pt idx="76">
                  <c:v>39233</c:v>
                </c:pt>
                <c:pt idx="77">
                  <c:v>39202</c:v>
                </c:pt>
                <c:pt idx="78">
                  <c:v>39172</c:v>
                </c:pt>
                <c:pt idx="79">
                  <c:v>39141</c:v>
                </c:pt>
                <c:pt idx="80">
                  <c:v>39113</c:v>
                </c:pt>
                <c:pt idx="81">
                  <c:v>39082</c:v>
                </c:pt>
                <c:pt idx="82">
                  <c:v>39051</c:v>
                </c:pt>
                <c:pt idx="83">
                  <c:v>39021</c:v>
                </c:pt>
                <c:pt idx="84">
                  <c:v>38990</c:v>
                </c:pt>
                <c:pt idx="85">
                  <c:v>38960</c:v>
                </c:pt>
                <c:pt idx="86">
                  <c:v>38929</c:v>
                </c:pt>
                <c:pt idx="87">
                  <c:v>38898</c:v>
                </c:pt>
                <c:pt idx="88">
                  <c:v>38868</c:v>
                </c:pt>
                <c:pt idx="89">
                  <c:v>38837</c:v>
                </c:pt>
                <c:pt idx="90">
                  <c:v>38807</c:v>
                </c:pt>
                <c:pt idx="91">
                  <c:v>38776</c:v>
                </c:pt>
                <c:pt idx="92">
                  <c:v>38748</c:v>
                </c:pt>
                <c:pt idx="93">
                  <c:v>38717</c:v>
                </c:pt>
                <c:pt idx="94">
                  <c:v>38686</c:v>
                </c:pt>
                <c:pt idx="95">
                  <c:v>38656</c:v>
                </c:pt>
                <c:pt idx="96">
                  <c:v>38625</c:v>
                </c:pt>
                <c:pt idx="97">
                  <c:v>38595</c:v>
                </c:pt>
                <c:pt idx="98">
                  <c:v>38564</c:v>
                </c:pt>
                <c:pt idx="99">
                  <c:v>38533</c:v>
                </c:pt>
                <c:pt idx="100">
                  <c:v>38503</c:v>
                </c:pt>
                <c:pt idx="101">
                  <c:v>38472</c:v>
                </c:pt>
                <c:pt idx="102">
                  <c:v>38442</c:v>
                </c:pt>
                <c:pt idx="103">
                  <c:v>38411</c:v>
                </c:pt>
                <c:pt idx="104">
                  <c:v>38383</c:v>
                </c:pt>
                <c:pt idx="105">
                  <c:v>38352</c:v>
                </c:pt>
                <c:pt idx="106">
                  <c:v>38321</c:v>
                </c:pt>
                <c:pt idx="107">
                  <c:v>38291</c:v>
                </c:pt>
                <c:pt idx="108">
                  <c:v>38260</c:v>
                </c:pt>
                <c:pt idx="109">
                  <c:v>38230</c:v>
                </c:pt>
                <c:pt idx="110">
                  <c:v>38199</c:v>
                </c:pt>
                <c:pt idx="111">
                  <c:v>38168</c:v>
                </c:pt>
                <c:pt idx="112">
                  <c:v>38138</c:v>
                </c:pt>
                <c:pt idx="113">
                  <c:v>38107</c:v>
                </c:pt>
                <c:pt idx="114">
                  <c:v>38077</c:v>
                </c:pt>
                <c:pt idx="115">
                  <c:v>38046</c:v>
                </c:pt>
                <c:pt idx="116">
                  <c:v>38017</c:v>
                </c:pt>
                <c:pt idx="117">
                  <c:v>37986</c:v>
                </c:pt>
                <c:pt idx="118">
                  <c:v>37955</c:v>
                </c:pt>
                <c:pt idx="119">
                  <c:v>37925</c:v>
                </c:pt>
                <c:pt idx="120">
                  <c:v>37894</c:v>
                </c:pt>
                <c:pt idx="121">
                  <c:v>37864</c:v>
                </c:pt>
                <c:pt idx="122">
                  <c:v>37833</c:v>
                </c:pt>
                <c:pt idx="123">
                  <c:v>37802</c:v>
                </c:pt>
                <c:pt idx="124">
                  <c:v>37772</c:v>
                </c:pt>
                <c:pt idx="125">
                  <c:v>37741</c:v>
                </c:pt>
                <c:pt idx="126">
                  <c:v>37711</c:v>
                </c:pt>
                <c:pt idx="127">
                  <c:v>37680</c:v>
                </c:pt>
                <c:pt idx="128">
                  <c:v>37652</c:v>
                </c:pt>
                <c:pt idx="129">
                  <c:v>37621</c:v>
                </c:pt>
                <c:pt idx="130">
                  <c:v>37590</c:v>
                </c:pt>
                <c:pt idx="131">
                  <c:v>37560</c:v>
                </c:pt>
                <c:pt idx="132">
                  <c:v>37529</c:v>
                </c:pt>
                <c:pt idx="133">
                  <c:v>37499</c:v>
                </c:pt>
                <c:pt idx="134">
                  <c:v>37468</c:v>
                </c:pt>
                <c:pt idx="135">
                  <c:v>37437</c:v>
                </c:pt>
                <c:pt idx="136">
                  <c:v>37407</c:v>
                </c:pt>
                <c:pt idx="137">
                  <c:v>37376</c:v>
                </c:pt>
                <c:pt idx="138">
                  <c:v>37346</c:v>
                </c:pt>
                <c:pt idx="139">
                  <c:v>37315</c:v>
                </c:pt>
                <c:pt idx="140">
                  <c:v>37287</c:v>
                </c:pt>
              </c:numCache>
            </c:numRef>
          </c:cat>
          <c:val>
            <c:numRef>
              <c:f>Sheet2!$C$3:$C$143</c:f>
              <c:numCache>
                <c:formatCode>###,###,###,###,##0.00_ </c:formatCode>
                <c:ptCount val="141"/>
                <c:pt idx="0">
                  <c:v>0.2</c:v>
                </c:pt>
                <c:pt idx="1">
                  <c:v>0.14000000000000001</c:v>
                </c:pt>
                <c:pt idx="2">
                  <c:v>-0.33000000000000151</c:v>
                </c:pt>
                <c:pt idx="3">
                  <c:v>-0.55000000000000004</c:v>
                </c:pt>
                <c:pt idx="4">
                  <c:v>-0.62000000000000233</c:v>
                </c:pt>
                <c:pt idx="5">
                  <c:v>-0.55000000000000004</c:v>
                </c:pt>
                <c:pt idx="6">
                  <c:v>-3.0000000000000002E-2</c:v>
                </c:pt>
                <c:pt idx="7">
                  <c:v>0.15000000000000024</c:v>
                </c:pt>
                <c:pt idx="8">
                  <c:v>0.24000000000000021</c:v>
                </c:pt>
                <c:pt idx="9">
                  <c:v>-6.0000000000000032E-2</c:v>
                </c:pt>
                <c:pt idx="10">
                  <c:v>-0.12000000000000002</c:v>
                </c:pt>
                <c:pt idx="11">
                  <c:v>0.16</c:v>
                </c:pt>
                <c:pt idx="12">
                  <c:v>-6.0000000000000032E-2</c:v>
                </c:pt>
                <c:pt idx="13">
                  <c:v>-0.52</c:v>
                </c:pt>
                <c:pt idx="14">
                  <c:v>-0.77000000000000268</c:v>
                </c:pt>
                <c:pt idx="15">
                  <c:v>-0.73000000000000065</c:v>
                </c:pt>
                <c:pt idx="16">
                  <c:v>-0.37000000000000038</c:v>
                </c:pt>
                <c:pt idx="17">
                  <c:v>0.16</c:v>
                </c:pt>
                <c:pt idx="18">
                  <c:v>0.27</c:v>
                </c:pt>
                <c:pt idx="19">
                  <c:v>0.14000000000000001</c:v>
                </c:pt>
                <c:pt idx="20">
                  <c:v>-7.0000000000000021E-2</c:v>
                </c:pt>
                <c:pt idx="21">
                  <c:v>-0.32000000000000134</c:v>
                </c:pt>
                <c:pt idx="22">
                  <c:v>-0.68</c:v>
                </c:pt>
                <c:pt idx="23">
                  <c:v>-0.66000000000000303</c:v>
                </c:pt>
                <c:pt idx="24">
                  <c:v>2.0000000000000011E-2</c:v>
                </c:pt>
                <c:pt idx="25">
                  <c:v>0.11</c:v>
                </c:pt>
                <c:pt idx="26">
                  <c:v>3.0000000000000002E-2</c:v>
                </c:pt>
                <c:pt idx="27">
                  <c:v>-3.0000000000000002E-2</c:v>
                </c:pt>
                <c:pt idx="28">
                  <c:v>0.34</c:v>
                </c:pt>
                <c:pt idx="29">
                  <c:v>0.55000000000000004</c:v>
                </c:pt>
                <c:pt idx="30">
                  <c:v>0.62000000000000233</c:v>
                </c:pt>
                <c:pt idx="31">
                  <c:v>0.85000000000000064</c:v>
                </c:pt>
                <c:pt idx="32">
                  <c:v>0.87000000000000233</c:v>
                </c:pt>
                <c:pt idx="33">
                  <c:v>0.70000000000000062</c:v>
                </c:pt>
                <c:pt idx="34">
                  <c:v>1.4</c:v>
                </c:pt>
                <c:pt idx="35">
                  <c:v>0.70000000000000062</c:v>
                </c:pt>
                <c:pt idx="36">
                  <c:v>0.60000000000000064</c:v>
                </c:pt>
                <c:pt idx="37">
                  <c:v>0.4</c:v>
                </c:pt>
                <c:pt idx="38">
                  <c:v>-0.4</c:v>
                </c:pt>
                <c:pt idx="39">
                  <c:v>-0.30000000000000032</c:v>
                </c:pt>
                <c:pt idx="40">
                  <c:v>0.60000000000000064</c:v>
                </c:pt>
                <c:pt idx="41">
                  <c:v>1</c:v>
                </c:pt>
                <c:pt idx="42">
                  <c:v>0.5</c:v>
                </c:pt>
                <c:pt idx="43">
                  <c:v>0.4</c:v>
                </c:pt>
                <c:pt idx="44">
                  <c:v>0.5</c:v>
                </c:pt>
                <c:pt idx="45">
                  <c:v>1</c:v>
                </c:pt>
                <c:pt idx="46">
                  <c:v>0.60000000000000064</c:v>
                </c:pt>
                <c:pt idx="47">
                  <c:v>0.1</c:v>
                </c:pt>
                <c:pt idx="48">
                  <c:v>0.60000000000000064</c:v>
                </c:pt>
                <c:pt idx="49">
                  <c:v>0.8</c:v>
                </c:pt>
                <c:pt idx="50">
                  <c:v>1</c:v>
                </c:pt>
                <c:pt idx="51">
                  <c:v>0.30000000000000032</c:v>
                </c:pt>
                <c:pt idx="52">
                  <c:v>0.1</c:v>
                </c:pt>
                <c:pt idx="53">
                  <c:v>0.2</c:v>
                </c:pt>
                <c:pt idx="54">
                  <c:v>-0.30000000000000032</c:v>
                </c:pt>
                <c:pt idx="55">
                  <c:v>-0.70000000000000062</c:v>
                </c:pt>
                <c:pt idx="56">
                  <c:v>-1.4</c:v>
                </c:pt>
                <c:pt idx="57">
                  <c:v>-2.2999999999999998</c:v>
                </c:pt>
                <c:pt idx="58">
                  <c:v>-3.4</c:v>
                </c:pt>
                <c:pt idx="59">
                  <c:v>-1.6</c:v>
                </c:pt>
                <c:pt idx="60">
                  <c:v>-0.8</c:v>
                </c:pt>
                <c:pt idx="61">
                  <c:v>0.70000000000000062</c:v>
                </c:pt>
                <c:pt idx="62">
                  <c:v>1.3</c:v>
                </c:pt>
                <c:pt idx="63">
                  <c:v>1</c:v>
                </c:pt>
                <c:pt idx="64">
                  <c:v>0.8</c:v>
                </c:pt>
                <c:pt idx="65">
                  <c:v>0.8</c:v>
                </c:pt>
                <c:pt idx="66">
                  <c:v>1.3</c:v>
                </c:pt>
                <c:pt idx="67">
                  <c:v>0.5</c:v>
                </c:pt>
                <c:pt idx="68">
                  <c:v>0.8</c:v>
                </c:pt>
                <c:pt idx="69">
                  <c:v>0.8</c:v>
                </c:pt>
                <c:pt idx="70">
                  <c:v>1</c:v>
                </c:pt>
                <c:pt idx="71">
                  <c:v>0.70000000000000062</c:v>
                </c:pt>
                <c:pt idx="72">
                  <c:v>0</c:v>
                </c:pt>
                <c:pt idx="73">
                  <c:v>0.70000000000000062</c:v>
                </c:pt>
                <c:pt idx="74">
                  <c:v>0.2</c:v>
                </c:pt>
                <c:pt idx="75">
                  <c:v>0.30000000000000032</c:v>
                </c:pt>
                <c:pt idx="76">
                  <c:v>0.70000000000000062</c:v>
                </c:pt>
                <c:pt idx="77">
                  <c:v>0.70000000000000062</c:v>
                </c:pt>
                <c:pt idx="78">
                  <c:v>0.1</c:v>
                </c:pt>
                <c:pt idx="79">
                  <c:v>0</c:v>
                </c:pt>
                <c:pt idx="80">
                  <c:v>0.2</c:v>
                </c:pt>
                <c:pt idx="81">
                  <c:v>0</c:v>
                </c:pt>
                <c:pt idx="82">
                  <c:v>-0.30000000000000032</c:v>
                </c:pt>
                <c:pt idx="83">
                  <c:v>0.2</c:v>
                </c:pt>
                <c:pt idx="84">
                  <c:v>-0.1</c:v>
                </c:pt>
                <c:pt idx="85">
                  <c:v>0.5</c:v>
                </c:pt>
                <c:pt idx="86">
                  <c:v>0.30000000000000032</c:v>
                </c:pt>
                <c:pt idx="87">
                  <c:v>0.60000000000000064</c:v>
                </c:pt>
                <c:pt idx="88">
                  <c:v>0.8</c:v>
                </c:pt>
                <c:pt idx="89">
                  <c:v>0.5</c:v>
                </c:pt>
                <c:pt idx="90">
                  <c:v>0</c:v>
                </c:pt>
                <c:pt idx="91">
                  <c:v>0.70000000000000062</c:v>
                </c:pt>
                <c:pt idx="92">
                  <c:v>0</c:v>
                </c:pt>
                <c:pt idx="93">
                  <c:v>-0.4</c:v>
                </c:pt>
                <c:pt idx="94">
                  <c:v>-0.2</c:v>
                </c:pt>
                <c:pt idx="95">
                  <c:v>0.30000000000000032</c:v>
                </c:pt>
                <c:pt idx="96">
                  <c:v>0.30000000000000032</c:v>
                </c:pt>
                <c:pt idx="97">
                  <c:v>0.70000000000000062</c:v>
                </c:pt>
                <c:pt idx="98">
                  <c:v>0.2</c:v>
                </c:pt>
                <c:pt idx="99">
                  <c:v>-0.4</c:v>
                </c:pt>
                <c:pt idx="100">
                  <c:v>0.2</c:v>
                </c:pt>
                <c:pt idx="101">
                  <c:v>1.1000000000000001</c:v>
                </c:pt>
                <c:pt idx="102">
                  <c:v>0.5</c:v>
                </c:pt>
                <c:pt idx="103">
                  <c:v>0.70000000000000062</c:v>
                </c:pt>
                <c:pt idx="104">
                  <c:v>0.1</c:v>
                </c:pt>
                <c:pt idx="105">
                  <c:v>-0.4</c:v>
                </c:pt>
                <c:pt idx="106">
                  <c:v>0.5</c:v>
                </c:pt>
                <c:pt idx="107">
                  <c:v>0.8</c:v>
                </c:pt>
                <c:pt idx="108">
                  <c:v>1.1000000000000001</c:v>
                </c:pt>
                <c:pt idx="109">
                  <c:v>0.60000000000000064</c:v>
                </c:pt>
                <c:pt idx="110">
                  <c:v>0.4</c:v>
                </c:pt>
                <c:pt idx="111">
                  <c:v>0.4</c:v>
                </c:pt>
                <c:pt idx="112">
                  <c:v>0.2</c:v>
                </c:pt>
                <c:pt idx="113">
                  <c:v>0.60000000000000064</c:v>
                </c:pt>
                <c:pt idx="114">
                  <c:v>0.30000000000000032</c:v>
                </c:pt>
                <c:pt idx="115">
                  <c:v>1.3</c:v>
                </c:pt>
                <c:pt idx="116">
                  <c:v>1.3</c:v>
                </c:pt>
                <c:pt idx="117">
                  <c:v>0.60000000000000064</c:v>
                </c:pt>
                <c:pt idx="118">
                  <c:v>0.8</c:v>
                </c:pt>
                <c:pt idx="119">
                  <c:v>0.30000000000000032</c:v>
                </c:pt>
                <c:pt idx="120">
                  <c:v>0.1</c:v>
                </c:pt>
                <c:pt idx="121">
                  <c:v>0.2</c:v>
                </c:pt>
                <c:pt idx="122">
                  <c:v>0.2</c:v>
                </c:pt>
                <c:pt idx="123">
                  <c:v>-0.30000000000000032</c:v>
                </c:pt>
                <c:pt idx="124">
                  <c:v>-0.5</c:v>
                </c:pt>
                <c:pt idx="125">
                  <c:v>-0.4</c:v>
                </c:pt>
                <c:pt idx="126">
                  <c:v>-0.1</c:v>
                </c:pt>
                <c:pt idx="127">
                  <c:v>1.1000000000000001</c:v>
                </c:pt>
                <c:pt idx="128">
                  <c:v>0.9</c:v>
                </c:pt>
                <c:pt idx="129">
                  <c:v>-0.5</c:v>
                </c:pt>
                <c:pt idx="130">
                  <c:v>0.1</c:v>
                </c:pt>
                <c:pt idx="131">
                  <c:v>0.5</c:v>
                </c:pt>
                <c:pt idx="132">
                  <c:v>0.1</c:v>
                </c:pt>
                <c:pt idx="133">
                  <c:v>0.2</c:v>
                </c:pt>
                <c:pt idx="134">
                  <c:v>0.1</c:v>
                </c:pt>
                <c:pt idx="135">
                  <c:v>0.4</c:v>
                </c:pt>
                <c:pt idx="136">
                  <c:v>1.4</c:v>
                </c:pt>
                <c:pt idx="137">
                  <c:v>0.5</c:v>
                </c:pt>
                <c:pt idx="138">
                  <c:v>-0.70000000000000062</c:v>
                </c:pt>
                <c:pt idx="139">
                  <c:v>-0.4</c:v>
                </c:pt>
                <c:pt idx="140">
                  <c:v>-1.1000000000000001</c:v>
                </c:pt>
              </c:numCache>
            </c:numRef>
          </c:val>
        </c:ser>
        <c:marker val="1"/>
        <c:axId val="326939392"/>
        <c:axId val="326940928"/>
      </c:lineChart>
      <c:dateAx>
        <c:axId val="326939392"/>
        <c:scaling>
          <c:orientation val="minMax"/>
        </c:scaling>
        <c:axPos val="b"/>
        <c:numFmt formatCode="yyyy\-mm;@" sourceLinked="1"/>
        <c:tickLblPos val="low"/>
        <c:crossAx val="326940928"/>
        <c:crosses val="autoZero"/>
        <c:auto val="1"/>
        <c:lblOffset val="100"/>
      </c:dateAx>
      <c:valAx>
        <c:axId val="326940928"/>
        <c:scaling>
          <c:orientation val="minMax"/>
        </c:scaling>
        <c:axPos val="l"/>
        <c:majorGridlines/>
        <c:numFmt formatCode="###,###,###,###,##0.00_ " sourceLinked="1"/>
        <c:tickLblPos val="nextTo"/>
        <c:crossAx val="326939392"/>
        <c:crosses val="autoZero"/>
        <c:crossBetween val="between"/>
      </c:valAx>
    </c:plotArea>
    <c:legend>
      <c:legendPos val="b"/>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strRef>
              <c:f>Sheet1!$B$1:$B$2</c:f>
              <c:strCache>
                <c:ptCount val="1"/>
                <c:pt idx="0">
                  <c:v>产量:粗钢:当月同比 月</c:v>
                </c:pt>
              </c:strCache>
            </c:strRef>
          </c:tx>
          <c:marker>
            <c:symbol val="none"/>
          </c:marker>
          <c:cat>
            <c:numRef>
              <c:f>Sheet1!$A$3:$A$23</c:f>
              <c:numCache>
                <c:formatCode>yyyy\-mm;@</c:formatCode>
                <c:ptCount val="21"/>
                <c:pt idx="0">
                  <c:v>41547</c:v>
                </c:pt>
                <c:pt idx="1">
                  <c:v>41517</c:v>
                </c:pt>
                <c:pt idx="2">
                  <c:v>41486</c:v>
                </c:pt>
                <c:pt idx="3">
                  <c:v>41455</c:v>
                </c:pt>
                <c:pt idx="4">
                  <c:v>41425</c:v>
                </c:pt>
                <c:pt idx="5">
                  <c:v>41394</c:v>
                </c:pt>
                <c:pt idx="6">
                  <c:v>41364</c:v>
                </c:pt>
                <c:pt idx="7">
                  <c:v>41333</c:v>
                </c:pt>
                <c:pt idx="8">
                  <c:v>41305</c:v>
                </c:pt>
                <c:pt idx="9">
                  <c:v>41274</c:v>
                </c:pt>
                <c:pt idx="10">
                  <c:v>41243</c:v>
                </c:pt>
                <c:pt idx="11">
                  <c:v>41213</c:v>
                </c:pt>
                <c:pt idx="12">
                  <c:v>41182</c:v>
                </c:pt>
                <c:pt idx="13">
                  <c:v>41152</c:v>
                </c:pt>
                <c:pt idx="14">
                  <c:v>41121</c:v>
                </c:pt>
                <c:pt idx="15">
                  <c:v>41090</c:v>
                </c:pt>
                <c:pt idx="16">
                  <c:v>41060</c:v>
                </c:pt>
                <c:pt idx="17">
                  <c:v>41029</c:v>
                </c:pt>
                <c:pt idx="18">
                  <c:v>40999</c:v>
                </c:pt>
                <c:pt idx="19">
                  <c:v>40968</c:v>
                </c:pt>
                <c:pt idx="20">
                  <c:v>40939</c:v>
                </c:pt>
              </c:numCache>
            </c:numRef>
          </c:cat>
          <c:val>
            <c:numRef>
              <c:f>Sheet1!$B$3:$B$23</c:f>
              <c:numCache>
                <c:formatCode>###,###,###,###,##0.00_ </c:formatCode>
                <c:ptCount val="21"/>
                <c:pt idx="0">
                  <c:v>11</c:v>
                </c:pt>
                <c:pt idx="1">
                  <c:v>12.8332</c:v>
                </c:pt>
                <c:pt idx="2">
                  <c:v>6.1480999999999995</c:v>
                </c:pt>
                <c:pt idx="3">
                  <c:v>4.5834999999999999</c:v>
                </c:pt>
                <c:pt idx="4">
                  <c:v>7.2731000000000003</c:v>
                </c:pt>
                <c:pt idx="5">
                  <c:v>6.8</c:v>
                </c:pt>
                <c:pt idx="6">
                  <c:v>6.6</c:v>
                </c:pt>
                <c:pt idx="7">
                  <c:v>9.8000000000000007</c:v>
                </c:pt>
                <c:pt idx="8">
                  <c:v>11.4</c:v>
                </c:pt>
                <c:pt idx="9">
                  <c:v>7.7</c:v>
                </c:pt>
                <c:pt idx="10">
                  <c:v>13.7</c:v>
                </c:pt>
                <c:pt idx="11">
                  <c:v>6</c:v>
                </c:pt>
                <c:pt idx="12">
                  <c:v>0.60000000000000064</c:v>
                </c:pt>
                <c:pt idx="13">
                  <c:v>-1.7</c:v>
                </c:pt>
                <c:pt idx="14">
                  <c:v>4.2</c:v>
                </c:pt>
                <c:pt idx="15">
                  <c:v>0.60000000000000064</c:v>
                </c:pt>
                <c:pt idx="16">
                  <c:v>2.5</c:v>
                </c:pt>
                <c:pt idx="17">
                  <c:v>2.6</c:v>
                </c:pt>
                <c:pt idx="18">
                  <c:v>3.9</c:v>
                </c:pt>
                <c:pt idx="19">
                  <c:v>3.3047999999999997</c:v>
                </c:pt>
                <c:pt idx="20">
                  <c:v>1.2186999999999948</c:v>
                </c:pt>
              </c:numCache>
            </c:numRef>
          </c:val>
        </c:ser>
        <c:ser>
          <c:idx val="1"/>
          <c:order val="1"/>
          <c:tx>
            <c:strRef>
              <c:f>Sheet1!$C$1:$C$2</c:f>
              <c:strCache>
                <c:ptCount val="1"/>
                <c:pt idx="0">
                  <c:v>产量:发电量:当月同比 月</c:v>
                </c:pt>
              </c:strCache>
            </c:strRef>
          </c:tx>
          <c:marker>
            <c:symbol val="none"/>
          </c:marker>
          <c:cat>
            <c:numRef>
              <c:f>Sheet1!$A$3:$A$23</c:f>
              <c:numCache>
                <c:formatCode>yyyy\-mm;@</c:formatCode>
                <c:ptCount val="21"/>
                <c:pt idx="0">
                  <c:v>41547</c:v>
                </c:pt>
                <c:pt idx="1">
                  <c:v>41517</c:v>
                </c:pt>
                <c:pt idx="2">
                  <c:v>41486</c:v>
                </c:pt>
                <c:pt idx="3">
                  <c:v>41455</c:v>
                </c:pt>
                <c:pt idx="4">
                  <c:v>41425</c:v>
                </c:pt>
                <c:pt idx="5">
                  <c:v>41394</c:v>
                </c:pt>
                <c:pt idx="6">
                  <c:v>41364</c:v>
                </c:pt>
                <c:pt idx="7">
                  <c:v>41333</c:v>
                </c:pt>
                <c:pt idx="8">
                  <c:v>41305</c:v>
                </c:pt>
                <c:pt idx="9">
                  <c:v>41274</c:v>
                </c:pt>
                <c:pt idx="10">
                  <c:v>41243</c:v>
                </c:pt>
                <c:pt idx="11">
                  <c:v>41213</c:v>
                </c:pt>
                <c:pt idx="12">
                  <c:v>41182</c:v>
                </c:pt>
                <c:pt idx="13">
                  <c:v>41152</c:v>
                </c:pt>
                <c:pt idx="14">
                  <c:v>41121</c:v>
                </c:pt>
                <c:pt idx="15">
                  <c:v>41090</c:v>
                </c:pt>
                <c:pt idx="16">
                  <c:v>41060</c:v>
                </c:pt>
                <c:pt idx="17">
                  <c:v>41029</c:v>
                </c:pt>
                <c:pt idx="18">
                  <c:v>40999</c:v>
                </c:pt>
                <c:pt idx="19">
                  <c:v>40968</c:v>
                </c:pt>
                <c:pt idx="20">
                  <c:v>40939</c:v>
                </c:pt>
              </c:numCache>
            </c:numRef>
          </c:cat>
          <c:val>
            <c:numRef>
              <c:f>Sheet1!$C$3:$C$23</c:f>
              <c:numCache>
                <c:formatCode>###,###,###,###,##0.00_ </c:formatCode>
                <c:ptCount val="21"/>
                <c:pt idx="0">
                  <c:v>8.2000000000000011</c:v>
                </c:pt>
                <c:pt idx="1">
                  <c:v>13.4</c:v>
                </c:pt>
                <c:pt idx="2">
                  <c:v>8.09</c:v>
                </c:pt>
                <c:pt idx="3">
                  <c:v>6.01</c:v>
                </c:pt>
                <c:pt idx="4">
                  <c:v>4.0999999999999996</c:v>
                </c:pt>
                <c:pt idx="5">
                  <c:v>6.2</c:v>
                </c:pt>
                <c:pt idx="6">
                  <c:v>2.1</c:v>
                </c:pt>
                <c:pt idx="7">
                  <c:v>-13.7</c:v>
                </c:pt>
                <c:pt idx="8">
                  <c:v>21.2941</c:v>
                </c:pt>
                <c:pt idx="9">
                  <c:v>7.6</c:v>
                </c:pt>
                <c:pt idx="10">
                  <c:v>7.9</c:v>
                </c:pt>
                <c:pt idx="11">
                  <c:v>6.4</c:v>
                </c:pt>
                <c:pt idx="12">
                  <c:v>1.5</c:v>
                </c:pt>
                <c:pt idx="13">
                  <c:v>2.7</c:v>
                </c:pt>
                <c:pt idx="14">
                  <c:v>2.1</c:v>
                </c:pt>
                <c:pt idx="15">
                  <c:v>0</c:v>
                </c:pt>
                <c:pt idx="16">
                  <c:v>2.7</c:v>
                </c:pt>
                <c:pt idx="17">
                  <c:v>0.70000000000000062</c:v>
                </c:pt>
                <c:pt idx="18">
                  <c:v>7.2</c:v>
                </c:pt>
                <c:pt idx="19">
                  <c:v>20.619599999999988</c:v>
                </c:pt>
                <c:pt idx="20">
                  <c:v>-4.3171999999999855</c:v>
                </c:pt>
              </c:numCache>
            </c:numRef>
          </c:val>
        </c:ser>
        <c:ser>
          <c:idx val="2"/>
          <c:order val="2"/>
          <c:tx>
            <c:strRef>
              <c:f>Sheet1!$D$1:$D$2</c:f>
              <c:strCache>
                <c:ptCount val="1"/>
                <c:pt idx="0">
                  <c:v>工业增加值:当月同比 月</c:v>
                </c:pt>
              </c:strCache>
            </c:strRef>
          </c:tx>
          <c:marker>
            <c:symbol val="none"/>
          </c:marker>
          <c:cat>
            <c:numRef>
              <c:f>Sheet1!$A$3:$A$23</c:f>
              <c:numCache>
                <c:formatCode>yyyy\-mm;@</c:formatCode>
                <c:ptCount val="21"/>
                <c:pt idx="0">
                  <c:v>41547</c:v>
                </c:pt>
                <c:pt idx="1">
                  <c:v>41517</c:v>
                </c:pt>
                <c:pt idx="2">
                  <c:v>41486</c:v>
                </c:pt>
                <c:pt idx="3">
                  <c:v>41455</c:v>
                </c:pt>
                <c:pt idx="4">
                  <c:v>41425</c:v>
                </c:pt>
                <c:pt idx="5">
                  <c:v>41394</c:v>
                </c:pt>
                <c:pt idx="6">
                  <c:v>41364</c:v>
                </c:pt>
                <c:pt idx="7">
                  <c:v>41333</c:v>
                </c:pt>
                <c:pt idx="8">
                  <c:v>41305</c:v>
                </c:pt>
                <c:pt idx="9">
                  <c:v>41274</c:v>
                </c:pt>
                <c:pt idx="10">
                  <c:v>41243</c:v>
                </c:pt>
                <c:pt idx="11">
                  <c:v>41213</c:v>
                </c:pt>
                <c:pt idx="12">
                  <c:v>41182</c:v>
                </c:pt>
                <c:pt idx="13">
                  <c:v>41152</c:v>
                </c:pt>
                <c:pt idx="14">
                  <c:v>41121</c:v>
                </c:pt>
                <c:pt idx="15">
                  <c:v>41090</c:v>
                </c:pt>
                <c:pt idx="16">
                  <c:v>41060</c:v>
                </c:pt>
                <c:pt idx="17">
                  <c:v>41029</c:v>
                </c:pt>
                <c:pt idx="18">
                  <c:v>40999</c:v>
                </c:pt>
                <c:pt idx="19">
                  <c:v>40968</c:v>
                </c:pt>
                <c:pt idx="20">
                  <c:v>40939</c:v>
                </c:pt>
              </c:numCache>
            </c:numRef>
          </c:cat>
          <c:val>
            <c:numRef>
              <c:f>Sheet1!$D$3:$D$23</c:f>
              <c:numCache>
                <c:formatCode>###,###,###,###,##0.00_ </c:formatCode>
                <c:ptCount val="21"/>
                <c:pt idx="0">
                  <c:v>10.200000000000001</c:v>
                </c:pt>
                <c:pt idx="1">
                  <c:v>10.4</c:v>
                </c:pt>
                <c:pt idx="2">
                  <c:v>9.7000000000000011</c:v>
                </c:pt>
                <c:pt idx="3">
                  <c:v>8.9</c:v>
                </c:pt>
                <c:pt idx="4">
                  <c:v>9.2000000000000011</c:v>
                </c:pt>
                <c:pt idx="5">
                  <c:v>9.3000000000000007</c:v>
                </c:pt>
                <c:pt idx="6">
                  <c:v>8.9</c:v>
                </c:pt>
                <c:pt idx="7">
                  <c:v>8.9</c:v>
                </c:pt>
                <c:pt idx="8">
                  <c:v>9.9</c:v>
                </c:pt>
                <c:pt idx="9">
                  <c:v>10.3</c:v>
                </c:pt>
                <c:pt idx="10">
                  <c:v>10.1</c:v>
                </c:pt>
                <c:pt idx="11">
                  <c:v>9.6</c:v>
                </c:pt>
                <c:pt idx="12">
                  <c:v>9.2000000000000011</c:v>
                </c:pt>
                <c:pt idx="13">
                  <c:v>8.9</c:v>
                </c:pt>
                <c:pt idx="14">
                  <c:v>9.2000000000000011</c:v>
                </c:pt>
                <c:pt idx="15">
                  <c:v>9.5</c:v>
                </c:pt>
                <c:pt idx="16">
                  <c:v>9.6</c:v>
                </c:pt>
                <c:pt idx="17">
                  <c:v>9.3000000000000007</c:v>
                </c:pt>
                <c:pt idx="18">
                  <c:v>11.9</c:v>
                </c:pt>
                <c:pt idx="19">
                  <c:v>11.4</c:v>
                </c:pt>
                <c:pt idx="20">
                  <c:v>12</c:v>
                </c:pt>
              </c:numCache>
            </c:numRef>
          </c:val>
        </c:ser>
        <c:marker val="1"/>
        <c:axId val="326960640"/>
        <c:axId val="326962176"/>
      </c:lineChart>
      <c:dateAx>
        <c:axId val="326960640"/>
        <c:scaling>
          <c:orientation val="minMax"/>
        </c:scaling>
        <c:axPos val="b"/>
        <c:numFmt formatCode="yyyy\-mm;@" sourceLinked="1"/>
        <c:tickLblPos val="nextTo"/>
        <c:crossAx val="326962176"/>
        <c:crosses val="autoZero"/>
        <c:auto val="1"/>
        <c:lblOffset val="100"/>
      </c:dateAx>
      <c:valAx>
        <c:axId val="326962176"/>
        <c:scaling>
          <c:orientation val="minMax"/>
        </c:scaling>
        <c:axPos val="l"/>
        <c:majorGridlines/>
        <c:numFmt formatCode="###,###,###,###,##0.00_ " sourceLinked="1"/>
        <c:tickLblPos val="nextTo"/>
        <c:crossAx val="326960640"/>
        <c:crosses val="autoZero"/>
        <c:crossBetween val="between"/>
      </c:valAx>
    </c:plotArea>
    <c:legend>
      <c:legendPos val="b"/>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strRef>
              <c:f>Sheet1!$B$2</c:f>
              <c:strCache>
                <c:ptCount val="1"/>
                <c:pt idx="0">
                  <c:v>城镇固定资产投资完成额:累计同比</c:v>
                </c:pt>
              </c:strCache>
            </c:strRef>
          </c:tx>
          <c:marker>
            <c:symbol val="none"/>
          </c:marker>
          <c:cat>
            <c:numRef>
              <c:f>Sheet1!$A$5:$A$45</c:f>
              <c:numCache>
                <c:formatCode>yyyy\-mm;@</c:formatCode>
                <c:ptCount val="41"/>
                <c:pt idx="0">
                  <c:v>41547</c:v>
                </c:pt>
                <c:pt idx="1">
                  <c:v>41517</c:v>
                </c:pt>
                <c:pt idx="2">
                  <c:v>41486</c:v>
                </c:pt>
                <c:pt idx="3">
                  <c:v>41455</c:v>
                </c:pt>
                <c:pt idx="4">
                  <c:v>41425</c:v>
                </c:pt>
                <c:pt idx="5">
                  <c:v>41394</c:v>
                </c:pt>
                <c:pt idx="6">
                  <c:v>41364</c:v>
                </c:pt>
                <c:pt idx="7">
                  <c:v>41333</c:v>
                </c:pt>
                <c:pt idx="8">
                  <c:v>41274</c:v>
                </c:pt>
                <c:pt idx="9">
                  <c:v>41243</c:v>
                </c:pt>
                <c:pt idx="10">
                  <c:v>41213</c:v>
                </c:pt>
                <c:pt idx="11">
                  <c:v>41182</c:v>
                </c:pt>
                <c:pt idx="12">
                  <c:v>41152</c:v>
                </c:pt>
                <c:pt idx="13">
                  <c:v>41121</c:v>
                </c:pt>
                <c:pt idx="14">
                  <c:v>41090</c:v>
                </c:pt>
                <c:pt idx="15">
                  <c:v>41060</c:v>
                </c:pt>
                <c:pt idx="16">
                  <c:v>41029</c:v>
                </c:pt>
                <c:pt idx="17">
                  <c:v>40999</c:v>
                </c:pt>
                <c:pt idx="18">
                  <c:v>40968</c:v>
                </c:pt>
                <c:pt idx="19">
                  <c:v>40908</c:v>
                </c:pt>
                <c:pt idx="20">
                  <c:v>40877</c:v>
                </c:pt>
                <c:pt idx="21">
                  <c:v>40847</c:v>
                </c:pt>
                <c:pt idx="22">
                  <c:v>40816</c:v>
                </c:pt>
                <c:pt idx="23">
                  <c:v>40786</c:v>
                </c:pt>
                <c:pt idx="24">
                  <c:v>40755</c:v>
                </c:pt>
                <c:pt idx="25">
                  <c:v>40724</c:v>
                </c:pt>
                <c:pt idx="26">
                  <c:v>40694</c:v>
                </c:pt>
                <c:pt idx="27">
                  <c:v>40663</c:v>
                </c:pt>
                <c:pt idx="28">
                  <c:v>40633</c:v>
                </c:pt>
                <c:pt idx="29">
                  <c:v>40602</c:v>
                </c:pt>
                <c:pt idx="30">
                  <c:v>40543</c:v>
                </c:pt>
                <c:pt idx="31">
                  <c:v>40512</c:v>
                </c:pt>
                <c:pt idx="32">
                  <c:v>40482</c:v>
                </c:pt>
                <c:pt idx="33">
                  <c:v>40451</c:v>
                </c:pt>
                <c:pt idx="34">
                  <c:v>40421</c:v>
                </c:pt>
                <c:pt idx="35">
                  <c:v>40390</c:v>
                </c:pt>
                <c:pt idx="36">
                  <c:v>40359</c:v>
                </c:pt>
                <c:pt idx="37">
                  <c:v>40329</c:v>
                </c:pt>
                <c:pt idx="38">
                  <c:v>40298</c:v>
                </c:pt>
                <c:pt idx="39">
                  <c:v>40268</c:v>
                </c:pt>
                <c:pt idx="40">
                  <c:v>40237</c:v>
                </c:pt>
              </c:numCache>
            </c:numRef>
          </c:cat>
          <c:val>
            <c:numRef>
              <c:f>Sheet1!$B$5:$B$45</c:f>
              <c:numCache>
                <c:formatCode>#,##0.00_ </c:formatCode>
                <c:ptCount val="41"/>
                <c:pt idx="0">
                  <c:v>20.2</c:v>
                </c:pt>
                <c:pt idx="1">
                  <c:v>20.3</c:v>
                </c:pt>
                <c:pt idx="2">
                  <c:v>20.100000000000001</c:v>
                </c:pt>
                <c:pt idx="3">
                  <c:v>20.100000000000001</c:v>
                </c:pt>
                <c:pt idx="4">
                  <c:v>20.399999999999999</c:v>
                </c:pt>
                <c:pt idx="5">
                  <c:v>20.6</c:v>
                </c:pt>
                <c:pt idx="6">
                  <c:v>20.9</c:v>
                </c:pt>
                <c:pt idx="7">
                  <c:v>21.2</c:v>
                </c:pt>
                <c:pt idx="8">
                  <c:v>20.648089153405188</c:v>
                </c:pt>
                <c:pt idx="9">
                  <c:v>20.737828799612913</c:v>
                </c:pt>
                <c:pt idx="10">
                  <c:v>20.747865099620494</c:v>
                </c:pt>
                <c:pt idx="11">
                  <c:v>20.547109944362912</c:v>
                </c:pt>
                <c:pt idx="12">
                  <c:v>20.247676798718899</c:v>
                </c:pt>
                <c:pt idx="13">
                  <c:v>20.449586711577624</c:v>
                </c:pt>
                <c:pt idx="14">
                  <c:v>20.446948427458068</c:v>
                </c:pt>
                <c:pt idx="15">
                  <c:v>20.1491263263067</c:v>
                </c:pt>
                <c:pt idx="16">
                  <c:v>20.241988184997801</c:v>
                </c:pt>
                <c:pt idx="17">
                  <c:v>20.9</c:v>
                </c:pt>
                <c:pt idx="18">
                  <c:v>21.466564858398186</c:v>
                </c:pt>
                <c:pt idx="19">
                  <c:v>23.8</c:v>
                </c:pt>
                <c:pt idx="20">
                  <c:v>24.5</c:v>
                </c:pt>
                <c:pt idx="21">
                  <c:v>24.9</c:v>
                </c:pt>
                <c:pt idx="22">
                  <c:v>24.9</c:v>
                </c:pt>
                <c:pt idx="23">
                  <c:v>25</c:v>
                </c:pt>
                <c:pt idx="24">
                  <c:v>25.4</c:v>
                </c:pt>
                <c:pt idx="25">
                  <c:v>25.6</c:v>
                </c:pt>
                <c:pt idx="26">
                  <c:v>25.8</c:v>
                </c:pt>
                <c:pt idx="27">
                  <c:v>25.4</c:v>
                </c:pt>
                <c:pt idx="28">
                  <c:v>25</c:v>
                </c:pt>
                <c:pt idx="29">
                  <c:v>24.9</c:v>
                </c:pt>
                <c:pt idx="30">
                  <c:v>24.5</c:v>
                </c:pt>
                <c:pt idx="31">
                  <c:v>24.9</c:v>
                </c:pt>
                <c:pt idx="32">
                  <c:v>24.4</c:v>
                </c:pt>
                <c:pt idx="33">
                  <c:v>24.5</c:v>
                </c:pt>
                <c:pt idx="34">
                  <c:v>24.8</c:v>
                </c:pt>
                <c:pt idx="35">
                  <c:v>24.9</c:v>
                </c:pt>
                <c:pt idx="36">
                  <c:v>25.5</c:v>
                </c:pt>
                <c:pt idx="37">
                  <c:v>25.9</c:v>
                </c:pt>
                <c:pt idx="38">
                  <c:v>26.1</c:v>
                </c:pt>
                <c:pt idx="39">
                  <c:v>26.4</c:v>
                </c:pt>
                <c:pt idx="40">
                  <c:v>26.6</c:v>
                </c:pt>
              </c:numCache>
            </c:numRef>
          </c:val>
        </c:ser>
        <c:ser>
          <c:idx val="1"/>
          <c:order val="1"/>
          <c:tx>
            <c:strRef>
              <c:f>Sheet1!$C$2</c:f>
              <c:strCache>
                <c:ptCount val="1"/>
                <c:pt idx="0">
                  <c:v>城镇固定资产投资完成额:第一产业:累计同比</c:v>
                </c:pt>
              </c:strCache>
            </c:strRef>
          </c:tx>
          <c:marker>
            <c:symbol val="none"/>
          </c:marker>
          <c:cat>
            <c:numRef>
              <c:f>Sheet1!$A$5:$A$45</c:f>
              <c:numCache>
                <c:formatCode>yyyy\-mm;@</c:formatCode>
                <c:ptCount val="41"/>
                <c:pt idx="0">
                  <c:v>41547</c:v>
                </c:pt>
                <c:pt idx="1">
                  <c:v>41517</c:v>
                </c:pt>
                <c:pt idx="2">
                  <c:v>41486</c:v>
                </c:pt>
                <c:pt idx="3">
                  <c:v>41455</c:v>
                </c:pt>
                <c:pt idx="4">
                  <c:v>41425</c:v>
                </c:pt>
                <c:pt idx="5">
                  <c:v>41394</c:v>
                </c:pt>
                <c:pt idx="6">
                  <c:v>41364</c:v>
                </c:pt>
                <c:pt idx="7">
                  <c:v>41333</c:v>
                </c:pt>
                <c:pt idx="8">
                  <c:v>41274</c:v>
                </c:pt>
                <c:pt idx="9">
                  <c:v>41243</c:v>
                </c:pt>
                <c:pt idx="10">
                  <c:v>41213</c:v>
                </c:pt>
                <c:pt idx="11">
                  <c:v>41182</c:v>
                </c:pt>
                <c:pt idx="12">
                  <c:v>41152</c:v>
                </c:pt>
                <c:pt idx="13">
                  <c:v>41121</c:v>
                </c:pt>
                <c:pt idx="14">
                  <c:v>41090</c:v>
                </c:pt>
                <c:pt idx="15">
                  <c:v>41060</c:v>
                </c:pt>
                <c:pt idx="16">
                  <c:v>41029</c:v>
                </c:pt>
                <c:pt idx="17">
                  <c:v>40999</c:v>
                </c:pt>
                <c:pt idx="18">
                  <c:v>40968</c:v>
                </c:pt>
                <c:pt idx="19">
                  <c:v>40908</c:v>
                </c:pt>
                <c:pt idx="20">
                  <c:v>40877</c:v>
                </c:pt>
                <c:pt idx="21">
                  <c:v>40847</c:v>
                </c:pt>
                <c:pt idx="22">
                  <c:v>40816</c:v>
                </c:pt>
                <c:pt idx="23">
                  <c:v>40786</c:v>
                </c:pt>
                <c:pt idx="24">
                  <c:v>40755</c:v>
                </c:pt>
                <c:pt idx="25">
                  <c:v>40724</c:v>
                </c:pt>
                <c:pt idx="26">
                  <c:v>40694</c:v>
                </c:pt>
                <c:pt idx="27">
                  <c:v>40663</c:v>
                </c:pt>
                <c:pt idx="28">
                  <c:v>40633</c:v>
                </c:pt>
                <c:pt idx="29">
                  <c:v>40602</c:v>
                </c:pt>
                <c:pt idx="30">
                  <c:v>40543</c:v>
                </c:pt>
                <c:pt idx="31">
                  <c:v>40512</c:v>
                </c:pt>
                <c:pt idx="32">
                  <c:v>40482</c:v>
                </c:pt>
                <c:pt idx="33">
                  <c:v>40451</c:v>
                </c:pt>
                <c:pt idx="34">
                  <c:v>40421</c:v>
                </c:pt>
                <c:pt idx="35">
                  <c:v>40390</c:v>
                </c:pt>
                <c:pt idx="36">
                  <c:v>40359</c:v>
                </c:pt>
                <c:pt idx="37">
                  <c:v>40329</c:v>
                </c:pt>
                <c:pt idx="38">
                  <c:v>40298</c:v>
                </c:pt>
                <c:pt idx="39">
                  <c:v>40268</c:v>
                </c:pt>
                <c:pt idx="40">
                  <c:v>40237</c:v>
                </c:pt>
              </c:numCache>
            </c:numRef>
          </c:cat>
          <c:val>
            <c:numRef>
              <c:f>Sheet1!$C$5:$C$45</c:f>
              <c:numCache>
                <c:formatCode>#,##0.00_ </c:formatCode>
                <c:ptCount val="41"/>
                <c:pt idx="0">
                  <c:v>31.1</c:v>
                </c:pt>
                <c:pt idx="1">
                  <c:v>32</c:v>
                </c:pt>
                <c:pt idx="2">
                  <c:v>32.800000000000004</c:v>
                </c:pt>
                <c:pt idx="3">
                  <c:v>33.5</c:v>
                </c:pt>
                <c:pt idx="4">
                  <c:v>31.1</c:v>
                </c:pt>
                <c:pt idx="5">
                  <c:v>32.1</c:v>
                </c:pt>
                <c:pt idx="6">
                  <c:v>31.4</c:v>
                </c:pt>
                <c:pt idx="7">
                  <c:v>37.4</c:v>
                </c:pt>
                <c:pt idx="8">
                  <c:v>32.190983485668063</c:v>
                </c:pt>
                <c:pt idx="9">
                  <c:v>30.5</c:v>
                </c:pt>
                <c:pt idx="10">
                  <c:v>32.300000000000004</c:v>
                </c:pt>
                <c:pt idx="11">
                  <c:v>32.200000000000003</c:v>
                </c:pt>
                <c:pt idx="12">
                  <c:v>31.5</c:v>
                </c:pt>
                <c:pt idx="13">
                  <c:v>28.8</c:v>
                </c:pt>
                <c:pt idx="14">
                  <c:v>28.6046240466376</c:v>
                </c:pt>
                <c:pt idx="15">
                  <c:v>37.145901181260271</c:v>
                </c:pt>
                <c:pt idx="16">
                  <c:v>40.665658527979765</c:v>
                </c:pt>
                <c:pt idx="17">
                  <c:v>35.800000000000004</c:v>
                </c:pt>
                <c:pt idx="18">
                  <c:v>43.9</c:v>
                </c:pt>
                <c:pt idx="19">
                  <c:v>25</c:v>
                </c:pt>
                <c:pt idx="20">
                  <c:v>28.8</c:v>
                </c:pt>
                <c:pt idx="21">
                  <c:v>28.2</c:v>
                </c:pt>
                <c:pt idx="22">
                  <c:v>25.5</c:v>
                </c:pt>
                <c:pt idx="23">
                  <c:v>23</c:v>
                </c:pt>
                <c:pt idx="24">
                  <c:v>22.8</c:v>
                </c:pt>
                <c:pt idx="25">
                  <c:v>20.6</c:v>
                </c:pt>
                <c:pt idx="26">
                  <c:v>15.6</c:v>
                </c:pt>
                <c:pt idx="27">
                  <c:v>12.6</c:v>
                </c:pt>
                <c:pt idx="28">
                  <c:v>10.8</c:v>
                </c:pt>
                <c:pt idx="29">
                  <c:v>6.9</c:v>
                </c:pt>
                <c:pt idx="30">
                  <c:v>18.2</c:v>
                </c:pt>
                <c:pt idx="31">
                  <c:v>16.600000000000001</c:v>
                </c:pt>
                <c:pt idx="32">
                  <c:v>17.2</c:v>
                </c:pt>
                <c:pt idx="33">
                  <c:v>17.7</c:v>
                </c:pt>
                <c:pt idx="34">
                  <c:v>18.600000000000001</c:v>
                </c:pt>
                <c:pt idx="35">
                  <c:v>18.899999999999999</c:v>
                </c:pt>
                <c:pt idx="36">
                  <c:v>17.8</c:v>
                </c:pt>
                <c:pt idx="37">
                  <c:v>16.100000000000001</c:v>
                </c:pt>
                <c:pt idx="38">
                  <c:v>16.5</c:v>
                </c:pt>
                <c:pt idx="39">
                  <c:v>9.7000000000000011</c:v>
                </c:pt>
                <c:pt idx="40">
                  <c:v>8.9</c:v>
                </c:pt>
              </c:numCache>
            </c:numRef>
          </c:val>
        </c:ser>
        <c:ser>
          <c:idx val="2"/>
          <c:order val="2"/>
          <c:tx>
            <c:strRef>
              <c:f>Sheet1!$D$2</c:f>
              <c:strCache>
                <c:ptCount val="1"/>
                <c:pt idx="0">
                  <c:v>城镇固定资产投资完成额:第二产业:累计同比</c:v>
                </c:pt>
              </c:strCache>
            </c:strRef>
          </c:tx>
          <c:marker>
            <c:symbol val="none"/>
          </c:marker>
          <c:cat>
            <c:numRef>
              <c:f>Sheet1!$A$5:$A$45</c:f>
              <c:numCache>
                <c:formatCode>yyyy\-mm;@</c:formatCode>
                <c:ptCount val="41"/>
                <c:pt idx="0">
                  <c:v>41547</c:v>
                </c:pt>
                <c:pt idx="1">
                  <c:v>41517</c:v>
                </c:pt>
                <c:pt idx="2">
                  <c:v>41486</c:v>
                </c:pt>
                <c:pt idx="3">
                  <c:v>41455</c:v>
                </c:pt>
                <c:pt idx="4">
                  <c:v>41425</c:v>
                </c:pt>
                <c:pt idx="5">
                  <c:v>41394</c:v>
                </c:pt>
                <c:pt idx="6">
                  <c:v>41364</c:v>
                </c:pt>
                <c:pt idx="7">
                  <c:v>41333</c:v>
                </c:pt>
                <c:pt idx="8">
                  <c:v>41274</c:v>
                </c:pt>
                <c:pt idx="9">
                  <c:v>41243</c:v>
                </c:pt>
                <c:pt idx="10">
                  <c:v>41213</c:v>
                </c:pt>
                <c:pt idx="11">
                  <c:v>41182</c:v>
                </c:pt>
                <c:pt idx="12">
                  <c:v>41152</c:v>
                </c:pt>
                <c:pt idx="13">
                  <c:v>41121</c:v>
                </c:pt>
                <c:pt idx="14">
                  <c:v>41090</c:v>
                </c:pt>
                <c:pt idx="15">
                  <c:v>41060</c:v>
                </c:pt>
                <c:pt idx="16">
                  <c:v>41029</c:v>
                </c:pt>
                <c:pt idx="17">
                  <c:v>40999</c:v>
                </c:pt>
                <c:pt idx="18">
                  <c:v>40968</c:v>
                </c:pt>
                <c:pt idx="19">
                  <c:v>40908</c:v>
                </c:pt>
                <c:pt idx="20">
                  <c:v>40877</c:v>
                </c:pt>
                <c:pt idx="21">
                  <c:v>40847</c:v>
                </c:pt>
                <c:pt idx="22">
                  <c:v>40816</c:v>
                </c:pt>
                <c:pt idx="23">
                  <c:v>40786</c:v>
                </c:pt>
                <c:pt idx="24">
                  <c:v>40755</c:v>
                </c:pt>
                <c:pt idx="25">
                  <c:v>40724</c:v>
                </c:pt>
                <c:pt idx="26">
                  <c:v>40694</c:v>
                </c:pt>
                <c:pt idx="27">
                  <c:v>40663</c:v>
                </c:pt>
                <c:pt idx="28">
                  <c:v>40633</c:v>
                </c:pt>
                <c:pt idx="29">
                  <c:v>40602</c:v>
                </c:pt>
                <c:pt idx="30">
                  <c:v>40543</c:v>
                </c:pt>
                <c:pt idx="31">
                  <c:v>40512</c:v>
                </c:pt>
                <c:pt idx="32">
                  <c:v>40482</c:v>
                </c:pt>
                <c:pt idx="33">
                  <c:v>40451</c:v>
                </c:pt>
                <c:pt idx="34">
                  <c:v>40421</c:v>
                </c:pt>
                <c:pt idx="35">
                  <c:v>40390</c:v>
                </c:pt>
                <c:pt idx="36">
                  <c:v>40359</c:v>
                </c:pt>
                <c:pt idx="37">
                  <c:v>40329</c:v>
                </c:pt>
                <c:pt idx="38">
                  <c:v>40298</c:v>
                </c:pt>
                <c:pt idx="39">
                  <c:v>40268</c:v>
                </c:pt>
                <c:pt idx="40">
                  <c:v>40237</c:v>
                </c:pt>
              </c:numCache>
            </c:numRef>
          </c:cat>
          <c:val>
            <c:numRef>
              <c:f>Sheet1!$D$5:$D$45</c:f>
              <c:numCache>
                <c:formatCode>#,##0.00_ </c:formatCode>
                <c:ptCount val="41"/>
                <c:pt idx="0">
                  <c:v>17.100000000000001</c:v>
                </c:pt>
                <c:pt idx="1">
                  <c:v>16.600000000000001</c:v>
                </c:pt>
                <c:pt idx="2">
                  <c:v>16</c:v>
                </c:pt>
                <c:pt idx="3">
                  <c:v>15.6</c:v>
                </c:pt>
                <c:pt idx="4">
                  <c:v>15.7</c:v>
                </c:pt>
                <c:pt idx="5">
                  <c:v>16.3</c:v>
                </c:pt>
                <c:pt idx="6">
                  <c:v>16.2</c:v>
                </c:pt>
                <c:pt idx="7">
                  <c:v>15.6</c:v>
                </c:pt>
                <c:pt idx="8">
                  <c:v>20.153324498552301</c:v>
                </c:pt>
                <c:pt idx="9">
                  <c:v>21.1</c:v>
                </c:pt>
                <c:pt idx="10">
                  <c:v>21.9</c:v>
                </c:pt>
                <c:pt idx="11">
                  <c:v>22.4</c:v>
                </c:pt>
                <c:pt idx="12">
                  <c:v>22.6</c:v>
                </c:pt>
                <c:pt idx="13">
                  <c:v>23.4</c:v>
                </c:pt>
                <c:pt idx="14">
                  <c:v>23.749643742847908</c:v>
                </c:pt>
                <c:pt idx="15">
                  <c:v>23.926021728315899</c:v>
                </c:pt>
                <c:pt idx="16">
                  <c:v>24.218771369502505</c:v>
                </c:pt>
                <c:pt idx="17">
                  <c:v>24.6</c:v>
                </c:pt>
                <c:pt idx="18">
                  <c:v>24.9</c:v>
                </c:pt>
                <c:pt idx="19">
                  <c:v>27.3</c:v>
                </c:pt>
                <c:pt idx="20">
                  <c:v>27</c:v>
                </c:pt>
                <c:pt idx="21">
                  <c:v>26.9</c:v>
                </c:pt>
                <c:pt idx="22">
                  <c:v>26.9</c:v>
                </c:pt>
                <c:pt idx="23">
                  <c:v>27</c:v>
                </c:pt>
                <c:pt idx="24">
                  <c:v>26.7</c:v>
                </c:pt>
                <c:pt idx="25">
                  <c:v>27.1</c:v>
                </c:pt>
                <c:pt idx="26">
                  <c:v>26.3</c:v>
                </c:pt>
                <c:pt idx="27">
                  <c:v>24.6</c:v>
                </c:pt>
                <c:pt idx="28">
                  <c:v>24.8</c:v>
                </c:pt>
                <c:pt idx="29">
                  <c:v>24.7</c:v>
                </c:pt>
                <c:pt idx="30">
                  <c:v>23.2</c:v>
                </c:pt>
                <c:pt idx="31">
                  <c:v>22.7</c:v>
                </c:pt>
                <c:pt idx="32">
                  <c:v>22.3</c:v>
                </c:pt>
                <c:pt idx="33">
                  <c:v>22</c:v>
                </c:pt>
                <c:pt idx="34">
                  <c:v>22.2</c:v>
                </c:pt>
                <c:pt idx="35">
                  <c:v>22.1</c:v>
                </c:pt>
                <c:pt idx="36">
                  <c:v>22.3</c:v>
                </c:pt>
                <c:pt idx="37">
                  <c:v>22.4</c:v>
                </c:pt>
                <c:pt idx="38">
                  <c:v>21.7</c:v>
                </c:pt>
                <c:pt idx="39">
                  <c:v>22.4</c:v>
                </c:pt>
                <c:pt idx="40">
                  <c:v>21</c:v>
                </c:pt>
              </c:numCache>
            </c:numRef>
          </c:val>
        </c:ser>
        <c:marker val="1"/>
        <c:axId val="326987776"/>
        <c:axId val="326989312"/>
      </c:lineChart>
      <c:dateAx>
        <c:axId val="326987776"/>
        <c:scaling>
          <c:orientation val="minMax"/>
        </c:scaling>
        <c:axPos val="b"/>
        <c:numFmt formatCode="yyyy\-mm;@" sourceLinked="1"/>
        <c:tickLblPos val="nextTo"/>
        <c:crossAx val="326989312"/>
        <c:crosses val="autoZero"/>
        <c:auto val="1"/>
        <c:lblOffset val="100"/>
      </c:dateAx>
      <c:valAx>
        <c:axId val="326989312"/>
        <c:scaling>
          <c:orientation val="minMax"/>
        </c:scaling>
        <c:axPos val="l"/>
        <c:majorGridlines/>
        <c:numFmt formatCode="#,##0.00_ " sourceLinked="1"/>
        <c:tickLblPos val="nextTo"/>
        <c:crossAx val="326987776"/>
        <c:crosses val="autoZero"/>
        <c:crossBetween val="between"/>
      </c:valAx>
    </c:plotArea>
    <c:legend>
      <c:legendPos val="b"/>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strRef>
              <c:f>Sheet1!$B$2</c:f>
              <c:strCache>
                <c:ptCount val="1"/>
                <c:pt idx="0">
                  <c:v>社会消费品零售总额:当月同比</c:v>
                </c:pt>
              </c:strCache>
            </c:strRef>
          </c:tx>
          <c:marker>
            <c:symbol val="none"/>
          </c:marker>
          <c:cat>
            <c:numRef>
              <c:f>Sheet1!$A$5:$A$33</c:f>
              <c:numCache>
                <c:formatCode>yyyy\-mm;@</c:formatCode>
                <c:ptCount val="29"/>
                <c:pt idx="0">
                  <c:v>41547</c:v>
                </c:pt>
                <c:pt idx="1">
                  <c:v>41517</c:v>
                </c:pt>
                <c:pt idx="2">
                  <c:v>41486</c:v>
                </c:pt>
                <c:pt idx="3">
                  <c:v>41455</c:v>
                </c:pt>
                <c:pt idx="4">
                  <c:v>41425</c:v>
                </c:pt>
                <c:pt idx="5">
                  <c:v>41394</c:v>
                </c:pt>
                <c:pt idx="6">
                  <c:v>41364</c:v>
                </c:pt>
                <c:pt idx="7">
                  <c:v>41274</c:v>
                </c:pt>
                <c:pt idx="8">
                  <c:v>41243</c:v>
                </c:pt>
                <c:pt idx="9">
                  <c:v>41213</c:v>
                </c:pt>
                <c:pt idx="10">
                  <c:v>41182</c:v>
                </c:pt>
                <c:pt idx="11">
                  <c:v>41152</c:v>
                </c:pt>
                <c:pt idx="12">
                  <c:v>41121</c:v>
                </c:pt>
                <c:pt idx="13">
                  <c:v>41090</c:v>
                </c:pt>
                <c:pt idx="14">
                  <c:v>41060</c:v>
                </c:pt>
                <c:pt idx="15">
                  <c:v>41029</c:v>
                </c:pt>
                <c:pt idx="16">
                  <c:v>40999</c:v>
                </c:pt>
                <c:pt idx="17">
                  <c:v>40908</c:v>
                </c:pt>
                <c:pt idx="18">
                  <c:v>40877</c:v>
                </c:pt>
                <c:pt idx="19">
                  <c:v>40847</c:v>
                </c:pt>
                <c:pt idx="20">
                  <c:v>40816</c:v>
                </c:pt>
                <c:pt idx="21">
                  <c:v>40786</c:v>
                </c:pt>
                <c:pt idx="22">
                  <c:v>40755</c:v>
                </c:pt>
                <c:pt idx="23">
                  <c:v>40724</c:v>
                </c:pt>
                <c:pt idx="24">
                  <c:v>40694</c:v>
                </c:pt>
                <c:pt idx="25">
                  <c:v>40663</c:v>
                </c:pt>
                <c:pt idx="26">
                  <c:v>40633</c:v>
                </c:pt>
                <c:pt idx="27">
                  <c:v>40602</c:v>
                </c:pt>
                <c:pt idx="28">
                  <c:v>40574</c:v>
                </c:pt>
              </c:numCache>
            </c:numRef>
          </c:cat>
          <c:val>
            <c:numRef>
              <c:f>Sheet1!$B$5:$B$33</c:f>
              <c:numCache>
                <c:formatCode>#,##0.00_ </c:formatCode>
                <c:ptCount val="29"/>
                <c:pt idx="0">
                  <c:v>13.3</c:v>
                </c:pt>
                <c:pt idx="1">
                  <c:v>13.3701232684953</c:v>
                </c:pt>
                <c:pt idx="2">
                  <c:v>13.212342647423</c:v>
                </c:pt>
                <c:pt idx="3">
                  <c:v>13.312470000000006</c:v>
                </c:pt>
                <c:pt idx="4">
                  <c:v>12.892196419498534</c:v>
                </c:pt>
                <c:pt idx="5">
                  <c:v>12.8</c:v>
                </c:pt>
                <c:pt idx="6">
                  <c:v>12.600289779218899</c:v>
                </c:pt>
                <c:pt idx="7">
                  <c:v>15.2</c:v>
                </c:pt>
                <c:pt idx="8">
                  <c:v>14.9</c:v>
                </c:pt>
                <c:pt idx="9">
                  <c:v>14.5</c:v>
                </c:pt>
                <c:pt idx="10">
                  <c:v>14.2</c:v>
                </c:pt>
                <c:pt idx="11">
                  <c:v>13.2</c:v>
                </c:pt>
                <c:pt idx="12">
                  <c:v>13.1</c:v>
                </c:pt>
                <c:pt idx="13">
                  <c:v>13.7</c:v>
                </c:pt>
                <c:pt idx="14">
                  <c:v>13.793596438078326</c:v>
                </c:pt>
                <c:pt idx="15">
                  <c:v>14.0788760372875</c:v>
                </c:pt>
                <c:pt idx="16">
                  <c:v>15.2</c:v>
                </c:pt>
                <c:pt idx="17">
                  <c:v>18.100000000000001</c:v>
                </c:pt>
                <c:pt idx="18">
                  <c:v>17.3</c:v>
                </c:pt>
                <c:pt idx="19">
                  <c:v>17.249736042119778</c:v>
                </c:pt>
                <c:pt idx="20">
                  <c:v>17.7</c:v>
                </c:pt>
                <c:pt idx="21">
                  <c:v>17</c:v>
                </c:pt>
                <c:pt idx="22">
                  <c:v>17.2</c:v>
                </c:pt>
                <c:pt idx="23">
                  <c:v>17.686683133241189</c:v>
                </c:pt>
                <c:pt idx="24">
                  <c:v>16.899809774682101</c:v>
                </c:pt>
                <c:pt idx="25">
                  <c:v>17.12160086496122</c:v>
                </c:pt>
                <c:pt idx="26">
                  <c:v>17.437599391550787</c:v>
                </c:pt>
                <c:pt idx="27">
                  <c:v>11.633506834654941</c:v>
                </c:pt>
                <c:pt idx="28">
                  <c:v>19.899985060661631</c:v>
                </c:pt>
              </c:numCache>
            </c:numRef>
          </c:val>
        </c:ser>
        <c:ser>
          <c:idx val="1"/>
          <c:order val="1"/>
          <c:tx>
            <c:strRef>
              <c:f>Sheet1!$C$2</c:f>
              <c:strCache>
                <c:ptCount val="1"/>
                <c:pt idx="0">
                  <c:v>社会消费品零售总额:住宿和餐饮业:当月同比</c:v>
                </c:pt>
              </c:strCache>
            </c:strRef>
          </c:tx>
          <c:marker>
            <c:symbol val="none"/>
          </c:marker>
          <c:cat>
            <c:numRef>
              <c:f>Sheet1!$A$5:$A$33</c:f>
              <c:numCache>
                <c:formatCode>yyyy\-mm;@</c:formatCode>
                <c:ptCount val="29"/>
                <c:pt idx="0">
                  <c:v>41547</c:v>
                </c:pt>
                <c:pt idx="1">
                  <c:v>41517</c:v>
                </c:pt>
                <c:pt idx="2">
                  <c:v>41486</c:v>
                </c:pt>
                <c:pt idx="3">
                  <c:v>41455</c:v>
                </c:pt>
                <c:pt idx="4">
                  <c:v>41425</c:v>
                </c:pt>
                <c:pt idx="5">
                  <c:v>41394</c:v>
                </c:pt>
                <c:pt idx="6">
                  <c:v>41364</c:v>
                </c:pt>
                <c:pt idx="7">
                  <c:v>41274</c:v>
                </c:pt>
                <c:pt idx="8">
                  <c:v>41243</c:v>
                </c:pt>
                <c:pt idx="9">
                  <c:v>41213</c:v>
                </c:pt>
                <c:pt idx="10">
                  <c:v>41182</c:v>
                </c:pt>
                <c:pt idx="11">
                  <c:v>41152</c:v>
                </c:pt>
                <c:pt idx="12">
                  <c:v>41121</c:v>
                </c:pt>
                <c:pt idx="13">
                  <c:v>41090</c:v>
                </c:pt>
                <c:pt idx="14">
                  <c:v>41060</c:v>
                </c:pt>
                <c:pt idx="15">
                  <c:v>41029</c:v>
                </c:pt>
                <c:pt idx="16">
                  <c:v>40999</c:v>
                </c:pt>
                <c:pt idx="17">
                  <c:v>40908</c:v>
                </c:pt>
                <c:pt idx="18">
                  <c:v>40877</c:v>
                </c:pt>
                <c:pt idx="19">
                  <c:v>40847</c:v>
                </c:pt>
                <c:pt idx="20">
                  <c:v>40816</c:v>
                </c:pt>
                <c:pt idx="21">
                  <c:v>40786</c:v>
                </c:pt>
                <c:pt idx="22">
                  <c:v>40755</c:v>
                </c:pt>
                <c:pt idx="23">
                  <c:v>40724</c:v>
                </c:pt>
                <c:pt idx="24">
                  <c:v>40694</c:v>
                </c:pt>
                <c:pt idx="25">
                  <c:v>40663</c:v>
                </c:pt>
                <c:pt idx="26">
                  <c:v>40633</c:v>
                </c:pt>
                <c:pt idx="27">
                  <c:v>40602</c:v>
                </c:pt>
                <c:pt idx="28">
                  <c:v>40574</c:v>
                </c:pt>
              </c:numCache>
            </c:numRef>
          </c:cat>
          <c:val>
            <c:numRef>
              <c:f>Sheet1!$C$5:$C$33</c:f>
              <c:numCache>
                <c:formatCode>#,##0.00_ </c:formatCode>
                <c:ptCount val="29"/>
                <c:pt idx="0">
                  <c:v>9.1</c:v>
                </c:pt>
                <c:pt idx="1">
                  <c:v>9.740729263505818</c:v>
                </c:pt>
                <c:pt idx="2">
                  <c:v>9.054141141348568</c:v>
                </c:pt>
                <c:pt idx="3">
                  <c:v>9.5438027941071759</c:v>
                </c:pt>
                <c:pt idx="4">
                  <c:v>9.2237801670286892</c:v>
                </c:pt>
                <c:pt idx="5">
                  <c:v>7.8562548102539855</c:v>
                </c:pt>
                <c:pt idx="6">
                  <c:v>8.7150785416054006</c:v>
                </c:pt>
                <c:pt idx="7">
                  <c:v>15.1</c:v>
                </c:pt>
                <c:pt idx="8">
                  <c:v>14.2</c:v>
                </c:pt>
                <c:pt idx="9">
                  <c:v>14</c:v>
                </c:pt>
                <c:pt idx="10">
                  <c:v>13.9</c:v>
                </c:pt>
                <c:pt idx="11">
                  <c:v>13.1</c:v>
                </c:pt>
                <c:pt idx="12">
                  <c:v>12.7</c:v>
                </c:pt>
                <c:pt idx="13">
                  <c:v>13.2</c:v>
                </c:pt>
                <c:pt idx="14">
                  <c:v>12.912367981150201</c:v>
                </c:pt>
                <c:pt idx="15">
                  <c:v>12.982011351876302</c:v>
                </c:pt>
                <c:pt idx="16">
                  <c:v>13.4</c:v>
                </c:pt>
                <c:pt idx="17">
                  <c:v>18.600000000000001</c:v>
                </c:pt>
                <c:pt idx="18">
                  <c:v>17.7</c:v>
                </c:pt>
                <c:pt idx="19">
                  <c:v>17.092515790531689</c:v>
                </c:pt>
                <c:pt idx="20">
                  <c:v>17.100000000000001</c:v>
                </c:pt>
                <c:pt idx="21">
                  <c:v>16.7</c:v>
                </c:pt>
                <c:pt idx="22">
                  <c:v>17.100000000000001</c:v>
                </c:pt>
                <c:pt idx="23">
                  <c:v>17.49969031091122</c:v>
                </c:pt>
                <c:pt idx="24">
                  <c:v>17.097109187789087</c:v>
                </c:pt>
                <c:pt idx="25">
                  <c:v>16.73816394976982</c:v>
                </c:pt>
                <c:pt idx="26">
                  <c:v>14.9969456322541</c:v>
                </c:pt>
                <c:pt idx="27">
                  <c:v>12.579663962920099</c:v>
                </c:pt>
                <c:pt idx="28">
                  <c:v>18.322109988776635</c:v>
                </c:pt>
              </c:numCache>
            </c:numRef>
          </c:val>
        </c:ser>
        <c:ser>
          <c:idx val="2"/>
          <c:order val="2"/>
          <c:tx>
            <c:strRef>
              <c:f>Sheet1!$D$2</c:f>
              <c:strCache>
                <c:ptCount val="1"/>
                <c:pt idx="0">
                  <c:v>社会消费品零售总额:批发和零售业:当月同比</c:v>
                </c:pt>
              </c:strCache>
            </c:strRef>
          </c:tx>
          <c:marker>
            <c:symbol val="none"/>
          </c:marker>
          <c:cat>
            <c:numRef>
              <c:f>Sheet1!$A$5:$A$33</c:f>
              <c:numCache>
                <c:formatCode>yyyy\-mm;@</c:formatCode>
                <c:ptCount val="29"/>
                <c:pt idx="0">
                  <c:v>41547</c:v>
                </c:pt>
                <c:pt idx="1">
                  <c:v>41517</c:v>
                </c:pt>
                <c:pt idx="2">
                  <c:v>41486</c:v>
                </c:pt>
                <c:pt idx="3">
                  <c:v>41455</c:v>
                </c:pt>
                <c:pt idx="4">
                  <c:v>41425</c:v>
                </c:pt>
                <c:pt idx="5">
                  <c:v>41394</c:v>
                </c:pt>
                <c:pt idx="6">
                  <c:v>41364</c:v>
                </c:pt>
                <c:pt idx="7">
                  <c:v>41274</c:v>
                </c:pt>
                <c:pt idx="8">
                  <c:v>41243</c:v>
                </c:pt>
                <c:pt idx="9">
                  <c:v>41213</c:v>
                </c:pt>
                <c:pt idx="10">
                  <c:v>41182</c:v>
                </c:pt>
                <c:pt idx="11">
                  <c:v>41152</c:v>
                </c:pt>
                <c:pt idx="12">
                  <c:v>41121</c:v>
                </c:pt>
                <c:pt idx="13">
                  <c:v>41090</c:v>
                </c:pt>
                <c:pt idx="14">
                  <c:v>41060</c:v>
                </c:pt>
                <c:pt idx="15">
                  <c:v>41029</c:v>
                </c:pt>
                <c:pt idx="16">
                  <c:v>40999</c:v>
                </c:pt>
                <c:pt idx="17">
                  <c:v>40908</c:v>
                </c:pt>
                <c:pt idx="18">
                  <c:v>40877</c:v>
                </c:pt>
                <c:pt idx="19">
                  <c:v>40847</c:v>
                </c:pt>
                <c:pt idx="20">
                  <c:v>40816</c:v>
                </c:pt>
                <c:pt idx="21">
                  <c:v>40786</c:v>
                </c:pt>
                <c:pt idx="22">
                  <c:v>40755</c:v>
                </c:pt>
                <c:pt idx="23">
                  <c:v>40724</c:v>
                </c:pt>
                <c:pt idx="24">
                  <c:v>40694</c:v>
                </c:pt>
                <c:pt idx="25">
                  <c:v>40663</c:v>
                </c:pt>
                <c:pt idx="26">
                  <c:v>40633</c:v>
                </c:pt>
                <c:pt idx="27">
                  <c:v>40602</c:v>
                </c:pt>
                <c:pt idx="28">
                  <c:v>40574</c:v>
                </c:pt>
              </c:numCache>
            </c:numRef>
          </c:cat>
          <c:val>
            <c:numRef>
              <c:f>Sheet1!$D$5:$D$33</c:f>
              <c:numCache>
                <c:formatCode>#,##0.00_ </c:formatCode>
                <c:ptCount val="29"/>
                <c:pt idx="0">
                  <c:v>13.9</c:v>
                </c:pt>
                <c:pt idx="1">
                  <c:v>13.847429243110099</c:v>
                </c:pt>
                <c:pt idx="2">
                  <c:v>13.737327787175735</c:v>
                </c:pt>
                <c:pt idx="3">
                  <c:v>13.793277158620798</c:v>
                </c:pt>
                <c:pt idx="4">
                  <c:v>13.349024416313799</c:v>
                </c:pt>
                <c:pt idx="5">
                  <c:v>13.400149489722599</c:v>
                </c:pt>
                <c:pt idx="6">
                  <c:v>13.0767511318023</c:v>
                </c:pt>
                <c:pt idx="7">
                  <c:v>15.2</c:v>
                </c:pt>
                <c:pt idx="8">
                  <c:v>15</c:v>
                </c:pt>
                <c:pt idx="9">
                  <c:v>14.6</c:v>
                </c:pt>
                <c:pt idx="10">
                  <c:v>14.3</c:v>
                </c:pt>
                <c:pt idx="11">
                  <c:v>13.3</c:v>
                </c:pt>
                <c:pt idx="12">
                  <c:v>13.2</c:v>
                </c:pt>
                <c:pt idx="13">
                  <c:v>13.8</c:v>
                </c:pt>
                <c:pt idx="14">
                  <c:v>13.903836234957364</c:v>
                </c:pt>
                <c:pt idx="15">
                  <c:v>14.213483721526501</c:v>
                </c:pt>
                <c:pt idx="16">
                  <c:v>15.4</c:v>
                </c:pt>
                <c:pt idx="17">
                  <c:v>18.100000000000001</c:v>
                </c:pt>
                <c:pt idx="18">
                  <c:v>17.2</c:v>
                </c:pt>
                <c:pt idx="19">
                  <c:v>17.270707671982297</c:v>
                </c:pt>
                <c:pt idx="20">
                  <c:v>17.8</c:v>
                </c:pt>
                <c:pt idx="21">
                  <c:v>17</c:v>
                </c:pt>
                <c:pt idx="22">
                  <c:v>17.2</c:v>
                </c:pt>
                <c:pt idx="23">
                  <c:v>17.7108719427269</c:v>
                </c:pt>
                <c:pt idx="24">
                  <c:v>16.875005552814631</c:v>
                </c:pt>
                <c:pt idx="25">
                  <c:v>17.168999961433087</c:v>
                </c:pt>
                <c:pt idx="26">
                  <c:v>17.749103383751724</c:v>
                </c:pt>
                <c:pt idx="27">
                  <c:v>11.514233023536098</c:v>
                </c:pt>
                <c:pt idx="28">
                  <c:v>20.09918087226022</c:v>
                </c:pt>
              </c:numCache>
            </c:numRef>
          </c:val>
        </c:ser>
        <c:marker val="1"/>
        <c:axId val="327067904"/>
        <c:axId val="327069696"/>
      </c:lineChart>
      <c:dateAx>
        <c:axId val="327067904"/>
        <c:scaling>
          <c:orientation val="minMax"/>
        </c:scaling>
        <c:axPos val="b"/>
        <c:numFmt formatCode="yyyy\-mm;@" sourceLinked="1"/>
        <c:tickLblPos val="nextTo"/>
        <c:crossAx val="327069696"/>
        <c:crosses val="autoZero"/>
        <c:auto val="1"/>
        <c:lblOffset val="100"/>
      </c:dateAx>
      <c:valAx>
        <c:axId val="327069696"/>
        <c:scaling>
          <c:orientation val="minMax"/>
        </c:scaling>
        <c:axPos val="l"/>
        <c:majorGridlines/>
        <c:numFmt formatCode="#,##0.00_ " sourceLinked="1"/>
        <c:tickLblPos val="nextTo"/>
        <c:crossAx val="327067904"/>
        <c:crosses val="autoZero"/>
        <c:crossBetween val="between"/>
      </c:valAx>
    </c:plotArea>
    <c:legend>
      <c:legendPos val="b"/>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1"/>
          <c:order val="1"/>
          <c:tx>
            <c:strRef>
              <c:f>Sheet6!$C$1</c:f>
              <c:strCache>
                <c:ptCount val="1"/>
                <c:pt idx="0">
                  <c:v>出口总值:当月同比</c:v>
                </c:pt>
              </c:strCache>
            </c:strRef>
          </c:tx>
          <c:marker>
            <c:symbol val="none"/>
          </c:marker>
          <c:cat>
            <c:numRef>
              <c:f>Sheet6!$A$4:$A$227</c:f>
              <c:numCache>
                <c:formatCode>yyyy\-mm;@</c:formatCode>
                <c:ptCount val="224"/>
                <c:pt idx="0">
                  <c:v>41517</c:v>
                </c:pt>
                <c:pt idx="1">
                  <c:v>41486</c:v>
                </c:pt>
                <c:pt idx="2">
                  <c:v>41455</c:v>
                </c:pt>
                <c:pt idx="3">
                  <c:v>41425</c:v>
                </c:pt>
                <c:pt idx="4">
                  <c:v>41394</c:v>
                </c:pt>
                <c:pt idx="5">
                  <c:v>41364</c:v>
                </c:pt>
                <c:pt idx="6">
                  <c:v>41333</c:v>
                </c:pt>
                <c:pt idx="7">
                  <c:v>41305</c:v>
                </c:pt>
                <c:pt idx="8">
                  <c:v>41274</c:v>
                </c:pt>
                <c:pt idx="9">
                  <c:v>41243</c:v>
                </c:pt>
                <c:pt idx="10">
                  <c:v>41213</c:v>
                </c:pt>
                <c:pt idx="11">
                  <c:v>41182</c:v>
                </c:pt>
                <c:pt idx="12">
                  <c:v>41152</c:v>
                </c:pt>
                <c:pt idx="13">
                  <c:v>41121</c:v>
                </c:pt>
                <c:pt idx="14">
                  <c:v>41090</c:v>
                </c:pt>
                <c:pt idx="15">
                  <c:v>41060</c:v>
                </c:pt>
                <c:pt idx="16">
                  <c:v>41029</c:v>
                </c:pt>
                <c:pt idx="17">
                  <c:v>40999</c:v>
                </c:pt>
                <c:pt idx="18">
                  <c:v>40968</c:v>
                </c:pt>
                <c:pt idx="19">
                  <c:v>40939</c:v>
                </c:pt>
                <c:pt idx="20">
                  <c:v>40908</c:v>
                </c:pt>
                <c:pt idx="21">
                  <c:v>40877</c:v>
                </c:pt>
                <c:pt idx="22">
                  <c:v>40847</c:v>
                </c:pt>
                <c:pt idx="23">
                  <c:v>40816</c:v>
                </c:pt>
                <c:pt idx="24">
                  <c:v>40786</c:v>
                </c:pt>
                <c:pt idx="25">
                  <c:v>40755</c:v>
                </c:pt>
                <c:pt idx="26">
                  <c:v>40724</c:v>
                </c:pt>
                <c:pt idx="27">
                  <c:v>40694</c:v>
                </c:pt>
                <c:pt idx="28">
                  <c:v>40663</c:v>
                </c:pt>
                <c:pt idx="29">
                  <c:v>40633</c:v>
                </c:pt>
                <c:pt idx="30">
                  <c:v>40602</c:v>
                </c:pt>
                <c:pt idx="31">
                  <c:v>40574</c:v>
                </c:pt>
                <c:pt idx="32">
                  <c:v>40543</c:v>
                </c:pt>
                <c:pt idx="33">
                  <c:v>40512</c:v>
                </c:pt>
                <c:pt idx="34">
                  <c:v>40482</c:v>
                </c:pt>
                <c:pt idx="35">
                  <c:v>40451</c:v>
                </c:pt>
                <c:pt idx="36">
                  <c:v>40421</c:v>
                </c:pt>
                <c:pt idx="37">
                  <c:v>40390</c:v>
                </c:pt>
                <c:pt idx="38">
                  <c:v>40359</c:v>
                </c:pt>
                <c:pt idx="39">
                  <c:v>40329</c:v>
                </c:pt>
                <c:pt idx="40">
                  <c:v>40298</c:v>
                </c:pt>
                <c:pt idx="41">
                  <c:v>40268</c:v>
                </c:pt>
                <c:pt idx="42">
                  <c:v>40237</c:v>
                </c:pt>
                <c:pt idx="43">
                  <c:v>40209</c:v>
                </c:pt>
                <c:pt idx="44">
                  <c:v>40178</c:v>
                </c:pt>
                <c:pt idx="45">
                  <c:v>40147</c:v>
                </c:pt>
                <c:pt idx="46">
                  <c:v>40117</c:v>
                </c:pt>
                <c:pt idx="47">
                  <c:v>40086</c:v>
                </c:pt>
                <c:pt idx="48">
                  <c:v>40056</c:v>
                </c:pt>
                <c:pt idx="49">
                  <c:v>40025</c:v>
                </c:pt>
                <c:pt idx="50">
                  <c:v>39994</c:v>
                </c:pt>
                <c:pt idx="51">
                  <c:v>39964</c:v>
                </c:pt>
                <c:pt idx="52">
                  <c:v>39933</c:v>
                </c:pt>
                <c:pt idx="53">
                  <c:v>39903</c:v>
                </c:pt>
                <c:pt idx="54">
                  <c:v>39872</c:v>
                </c:pt>
                <c:pt idx="55">
                  <c:v>39844</c:v>
                </c:pt>
                <c:pt idx="56">
                  <c:v>39813</c:v>
                </c:pt>
                <c:pt idx="57">
                  <c:v>39782</c:v>
                </c:pt>
                <c:pt idx="58">
                  <c:v>39752</c:v>
                </c:pt>
                <c:pt idx="59">
                  <c:v>39721</c:v>
                </c:pt>
                <c:pt idx="60">
                  <c:v>39691</c:v>
                </c:pt>
                <c:pt idx="61">
                  <c:v>39660</c:v>
                </c:pt>
                <c:pt idx="62">
                  <c:v>39629</c:v>
                </c:pt>
                <c:pt idx="63">
                  <c:v>39599</c:v>
                </c:pt>
                <c:pt idx="64">
                  <c:v>39568</c:v>
                </c:pt>
                <c:pt idx="65">
                  <c:v>39538</c:v>
                </c:pt>
                <c:pt idx="66">
                  <c:v>39507</c:v>
                </c:pt>
                <c:pt idx="67">
                  <c:v>39478</c:v>
                </c:pt>
                <c:pt idx="68">
                  <c:v>39447</c:v>
                </c:pt>
                <c:pt idx="69">
                  <c:v>39416</c:v>
                </c:pt>
                <c:pt idx="70">
                  <c:v>39386</c:v>
                </c:pt>
                <c:pt idx="71">
                  <c:v>39355</c:v>
                </c:pt>
                <c:pt idx="72">
                  <c:v>39325</c:v>
                </c:pt>
                <c:pt idx="73">
                  <c:v>39294</c:v>
                </c:pt>
                <c:pt idx="74">
                  <c:v>39263</c:v>
                </c:pt>
                <c:pt idx="75">
                  <c:v>39233</c:v>
                </c:pt>
                <c:pt idx="76">
                  <c:v>39202</c:v>
                </c:pt>
                <c:pt idx="77">
                  <c:v>39172</c:v>
                </c:pt>
                <c:pt idx="78">
                  <c:v>39141</c:v>
                </c:pt>
                <c:pt idx="79">
                  <c:v>39113</c:v>
                </c:pt>
                <c:pt idx="80">
                  <c:v>39082</c:v>
                </c:pt>
                <c:pt idx="81">
                  <c:v>39051</c:v>
                </c:pt>
                <c:pt idx="82">
                  <c:v>39021</c:v>
                </c:pt>
                <c:pt idx="83">
                  <c:v>38990</c:v>
                </c:pt>
                <c:pt idx="84">
                  <c:v>38960</c:v>
                </c:pt>
                <c:pt idx="85">
                  <c:v>38929</c:v>
                </c:pt>
                <c:pt idx="86">
                  <c:v>38898</c:v>
                </c:pt>
                <c:pt idx="87">
                  <c:v>38868</c:v>
                </c:pt>
                <c:pt idx="88">
                  <c:v>38837</c:v>
                </c:pt>
                <c:pt idx="89">
                  <c:v>38807</c:v>
                </c:pt>
                <c:pt idx="90">
                  <c:v>38776</c:v>
                </c:pt>
                <c:pt idx="91">
                  <c:v>38748</c:v>
                </c:pt>
                <c:pt idx="92">
                  <c:v>38717</c:v>
                </c:pt>
                <c:pt idx="93">
                  <c:v>38686</c:v>
                </c:pt>
                <c:pt idx="94">
                  <c:v>38656</c:v>
                </c:pt>
                <c:pt idx="95">
                  <c:v>38625</c:v>
                </c:pt>
                <c:pt idx="96">
                  <c:v>38595</c:v>
                </c:pt>
                <c:pt idx="97">
                  <c:v>38564</c:v>
                </c:pt>
                <c:pt idx="98">
                  <c:v>38533</c:v>
                </c:pt>
                <c:pt idx="99">
                  <c:v>38503</c:v>
                </c:pt>
                <c:pt idx="100">
                  <c:v>38472</c:v>
                </c:pt>
                <c:pt idx="101">
                  <c:v>38442</c:v>
                </c:pt>
                <c:pt idx="102">
                  <c:v>38411</c:v>
                </c:pt>
                <c:pt idx="103">
                  <c:v>38383</c:v>
                </c:pt>
                <c:pt idx="104">
                  <c:v>38352</c:v>
                </c:pt>
                <c:pt idx="105">
                  <c:v>38321</c:v>
                </c:pt>
                <c:pt idx="106">
                  <c:v>38291</c:v>
                </c:pt>
                <c:pt idx="107">
                  <c:v>38260</c:v>
                </c:pt>
                <c:pt idx="108">
                  <c:v>38230</c:v>
                </c:pt>
                <c:pt idx="109">
                  <c:v>38199</c:v>
                </c:pt>
                <c:pt idx="110">
                  <c:v>38168</c:v>
                </c:pt>
                <c:pt idx="111">
                  <c:v>38138</c:v>
                </c:pt>
                <c:pt idx="112">
                  <c:v>38107</c:v>
                </c:pt>
                <c:pt idx="113">
                  <c:v>38077</c:v>
                </c:pt>
                <c:pt idx="114">
                  <c:v>38046</c:v>
                </c:pt>
                <c:pt idx="115">
                  <c:v>38017</c:v>
                </c:pt>
                <c:pt idx="116">
                  <c:v>37986</c:v>
                </c:pt>
                <c:pt idx="117">
                  <c:v>37955</c:v>
                </c:pt>
                <c:pt idx="118">
                  <c:v>37925</c:v>
                </c:pt>
                <c:pt idx="119">
                  <c:v>37894</c:v>
                </c:pt>
                <c:pt idx="120">
                  <c:v>37864</c:v>
                </c:pt>
                <c:pt idx="121">
                  <c:v>37833</c:v>
                </c:pt>
                <c:pt idx="122">
                  <c:v>37802</c:v>
                </c:pt>
                <c:pt idx="123">
                  <c:v>37772</c:v>
                </c:pt>
                <c:pt idx="124">
                  <c:v>37741</c:v>
                </c:pt>
                <c:pt idx="125">
                  <c:v>37711</c:v>
                </c:pt>
                <c:pt idx="126">
                  <c:v>37680</c:v>
                </c:pt>
                <c:pt idx="127">
                  <c:v>37652</c:v>
                </c:pt>
                <c:pt idx="128">
                  <c:v>37621</c:v>
                </c:pt>
                <c:pt idx="129">
                  <c:v>37590</c:v>
                </c:pt>
                <c:pt idx="130">
                  <c:v>37560</c:v>
                </c:pt>
                <c:pt idx="131">
                  <c:v>37529</c:v>
                </c:pt>
                <c:pt idx="132">
                  <c:v>37499</c:v>
                </c:pt>
                <c:pt idx="133">
                  <c:v>37468</c:v>
                </c:pt>
                <c:pt idx="134">
                  <c:v>37437</c:v>
                </c:pt>
                <c:pt idx="135">
                  <c:v>37407</c:v>
                </c:pt>
                <c:pt idx="136">
                  <c:v>37376</c:v>
                </c:pt>
                <c:pt idx="137">
                  <c:v>37346</c:v>
                </c:pt>
                <c:pt idx="138">
                  <c:v>37315</c:v>
                </c:pt>
                <c:pt idx="139">
                  <c:v>37287</c:v>
                </c:pt>
                <c:pt idx="140">
                  <c:v>37256</c:v>
                </c:pt>
                <c:pt idx="141">
                  <c:v>37225</c:v>
                </c:pt>
                <c:pt idx="142">
                  <c:v>37195</c:v>
                </c:pt>
                <c:pt idx="143">
                  <c:v>37164</c:v>
                </c:pt>
                <c:pt idx="144">
                  <c:v>37134</c:v>
                </c:pt>
                <c:pt idx="145">
                  <c:v>37103</c:v>
                </c:pt>
                <c:pt idx="146">
                  <c:v>37072</c:v>
                </c:pt>
                <c:pt idx="147">
                  <c:v>37042</c:v>
                </c:pt>
                <c:pt idx="148">
                  <c:v>37011</c:v>
                </c:pt>
                <c:pt idx="149">
                  <c:v>36981</c:v>
                </c:pt>
                <c:pt idx="150">
                  <c:v>36950</c:v>
                </c:pt>
                <c:pt idx="151">
                  <c:v>36922</c:v>
                </c:pt>
                <c:pt idx="152">
                  <c:v>36891</c:v>
                </c:pt>
                <c:pt idx="153">
                  <c:v>36860</c:v>
                </c:pt>
                <c:pt idx="154">
                  <c:v>36830</c:v>
                </c:pt>
                <c:pt idx="155">
                  <c:v>36799</c:v>
                </c:pt>
                <c:pt idx="156">
                  <c:v>36769</c:v>
                </c:pt>
                <c:pt idx="157">
                  <c:v>36738</c:v>
                </c:pt>
                <c:pt idx="158">
                  <c:v>36707</c:v>
                </c:pt>
                <c:pt idx="159">
                  <c:v>36677</c:v>
                </c:pt>
                <c:pt idx="160">
                  <c:v>36646</c:v>
                </c:pt>
                <c:pt idx="161">
                  <c:v>36616</c:v>
                </c:pt>
                <c:pt idx="162">
                  <c:v>36585</c:v>
                </c:pt>
                <c:pt idx="163">
                  <c:v>36556</c:v>
                </c:pt>
                <c:pt idx="164">
                  <c:v>36525</c:v>
                </c:pt>
                <c:pt idx="165">
                  <c:v>36494</c:v>
                </c:pt>
                <c:pt idx="166">
                  <c:v>36464</c:v>
                </c:pt>
                <c:pt idx="167">
                  <c:v>36433</c:v>
                </c:pt>
                <c:pt idx="168">
                  <c:v>36403</c:v>
                </c:pt>
                <c:pt idx="169">
                  <c:v>36372</c:v>
                </c:pt>
                <c:pt idx="170">
                  <c:v>36341</c:v>
                </c:pt>
                <c:pt idx="171">
                  <c:v>36311</c:v>
                </c:pt>
                <c:pt idx="172">
                  <c:v>36280</c:v>
                </c:pt>
                <c:pt idx="173">
                  <c:v>36250</c:v>
                </c:pt>
                <c:pt idx="174">
                  <c:v>36219</c:v>
                </c:pt>
                <c:pt idx="175">
                  <c:v>36191</c:v>
                </c:pt>
                <c:pt idx="176">
                  <c:v>36160</c:v>
                </c:pt>
                <c:pt idx="177">
                  <c:v>36129</c:v>
                </c:pt>
                <c:pt idx="178">
                  <c:v>36099</c:v>
                </c:pt>
                <c:pt idx="179">
                  <c:v>36068</c:v>
                </c:pt>
                <c:pt idx="180">
                  <c:v>36038</c:v>
                </c:pt>
                <c:pt idx="181">
                  <c:v>36007</c:v>
                </c:pt>
                <c:pt idx="182">
                  <c:v>35976</c:v>
                </c:pt>
                <c:pt idx="183">
                  <c:v>35946</c:v>
                </c:pt>
                <c:pt idx="184">
                  <c:v>35915</c:v>
                </c:pt>
                <c:pt idx="185">
                  <c:v>35885</c:v>
                </c:pt>
                <c:pt idx="186">
                  <c:v>35854</c:v>
                </c:pt>
                <c:pt idx="187">
                  <c:v>35826</c:v>
                </c:pt>
                <c:pt idx="188">
                  <c:v>35795</c:v>
                </c:pt>
                <c:pt idx="189">
                  <c:v>35764</c:v>
                </c:pt>
                <c:pt idx="190">
                  <c:v>35734</c:v>
                </c:pt>
                <c:pt idx="191">
                  <c:v>35703</c:v>
                </c:pt>
                <c:pt idx="192">
                  <c:v>35673</c:v>
                </c:pt>
                <c:pt idx="193">
                  <c:v>35642</c:v>
                </c:pt>
                <c:pt idx="194">
                  <c:v>35611</c:v>
                </c:pt>
                <c:pt idx="195">
                  <c:v>35581</c:v>
                </c:pt>
                <c:pt idx="196">
                  <c:v>35550</c:v>
                </c:pt>
                <c:pt idx="197">
                  <c:v>35520</c:v>
                </c:pt>
                <c:pt idx="198">
                  <c:v>35489</c:v>
                </c:pt>
                <c:pt idx="199">
                  <c:v>35461</c:v>
                </c:pt>
                <c:pt idx="200">
                  <c:v>35430</c:v>
                </c:pt>
                <c:pt idx="201">
                  <c:v>35399</c:v>
                </c:pt>
                <c:pt idx="202">
                  <c:v>35369</c:v>
                </c:pt>
                <c:pt idx="203">
                  <c:v>35338</c:v>
                </c:pt>
                <c:pt idx="204">
                  <c:v>35308</c:v>
                </c:pt>
                <c:pt idx="205">
                  <c:v>35277</c:v>
                </c:pt>
                <c:pt idx="206">
                  <c:v>35246</c:v>
                </c:pt>
                <c:pt idx="207">
                  <c:v>35216</c:v>
                </c:pt>
                <c:pt idx="208">
                  <c:v>35185</c:v>
                </c:pt>
                <c:pt idx="209">
                  <c:v>35155</c:v>
                </c:pt>
                <c:pt idx="210">
                  <c:v>35124</c:v>
                </c:pt>
                <c:pt idx="211">
                  <c:v>35095</c:v>
                </c:pt>
                <c:pt idx="212">
                  <c:v>35064</c:v>
                </c:pt>
                <c:pt idx="213">
                  <c:v>35033</c:v>
                </c:pt>
                <c:pt idx="214">
                  <c:v>35003</c:v>
                </c:pt>
                <c:pt idx="215">
                  <c:v>34972</c:v>
                </c:pt>
                <c:pt idx="216">
                  <c:v>34942</c:v>
                </c:pt>
                <c:pt idx="217">
                  <c:v>34911</c:v>
                </c:pt>
                <c:pt idx="218">
                  <c:v>34880</c:v>
                </c:pt>
                <c:pt idx="219">
                  <c:v>34850</c:v>
                </c:pt>
                <c:pt idx="220">
                  <c:v>34819</c:v>
                </c:pt>
                <c:pt idx="221">
                  <c:v>34789</c:v>
                </c:pt>
                <c:pt idx="222">
                  <c:v>34758</c:v>
                </c:pt>
                <c:pt idx="223">
                  <c:v>34730</c:v>
                </c:pt>
              </c:numCache>
            </c:numRef>
          </c:cat>
          <c:val>
            <c:numRef>
              <c:f>Sheet6!$C$4:$C$227</c:f>
              <c:numCache>
                <c:formatCode>#,##0.00_ </c:formatCode>
                <c:ptCount val="224"/>
                <c:pt idx="0">
                  <c:v>7.2</c:v>
                </c:pt>
                <c:pt idx="1">
                  <c:v>5.0999999999999996</c:v>
                </c:pt>
                <c:pt idx="2">
                  <c:v>-3.1</c:v>
                </c:pt>
                <c:pt idx="3">
                  <c:v>1</c:v>
                </c:pt>
                <c:pt idx="4">
                  <c:v>14.7</c:v>
                </c:pt>
                <c:pt idx="5">
                  <c:v>10</c:v>
                </c:pt>
                <c:pt idx="6">
                  <c:v>21.8</c:v>
                </c:pt>
                <c:pt idx="7">
                  <c:v>25</c:v>
                </c:pt>
                <c:pt idx="8">
                  <c:v>14.1</c:v>
                </c:pt>
                <c:pt idx="9">
                  <c:v>2.9</c:v>
                </c:pt>
                <c:pt idx="10">
                  <c:v>11.6</c:v>
                </c:pt>
                <c:pt idx="11">
                  <c:v>9.9</c:v>
                </c:pt>
                <c:pt idx="12">
                  <c:v>2.7</c:v>
                </c:pt>
                <c:pt idx="13">
                  <c:v>1</c:v>
                </c:pt>
                <c:pt idx="14">
                  <c:v>11.3</c:v>
                </c:pt>
                <c:pt idx="15">
                  <c:v>15.3</c:v>
                </c:pt>
                <c:pt idx="16">
                  <c:v>4.9000000000000004</c:v>
                </c:pt>
                <c:pt idx="17">
                  <c:v>8.9</c:v>
                </c:pt>
                <c:pt idx="18">
                  <c:v>18.399999999999999</c:v>
                </c:pt>
                <c:pt idx="19">
                  <c:v>-0.5</c:v>
                </c:pt>
                <c:pt idx="20">
                  <c:v>13.4</c:v>
                </c:pt>
                <c:pt idx="21">
                  <c:v>13.8</c:v>
                </c:pt>
                <c:pt idx="22">
                  <c:v>15.9</c:v>
                </c:pt>
                <c:pt idx="23">
                  <c:v>17.100000000000001</c:v>
                </c:pt>
                <c:pt idx="24">
                  <c:v>24.5</c:v>
                </c:pt>
                <c:pt idx="25">
                  <c:v>20.399999999999999</c:v>
                </c:pt>
                <c:pt idx="26">
                  <c:v>17.899999999999999</c:v>
                </c:pt>
                <c:pt idx="27">
                  <c:v>19.399999999999999</c:v>
                </c:pt>
                <c:pt idx="28">
                  <c:v>29.9</c:v>
                </c:pt>
                <c:pt idx="29">
                  <c:v>35.800000000000004</c:v>
                </c:pt>
                <c:pt idx="30">
                  <c:v>2.4</c:v>
                </c:pt>
                <c:pt idx="31">
                  <c:v>37.700000000000003</c:v>
                </c:pt>
                <c:pt idx="32">
                  <c:v>17.899999999999999</c:v>
                </c:pt>
                <c:pt idx="33">
                  <c:v>34.9</c:v>
                </c:pt>
                <c:pt idx="34">
                  <c:v>22.9</c:v>
                </c:pt>
                <c:pt idx="35">
                  <c:v>25.1</c:v>
                </c:pt>
                <c:pt idx="36">
                  <c:v>34.4</c:v>
                </c:pt>
                <c:pt idx="37">
                  <c:v>38.1</c:v>
                </c:pt>
                <c:pt idx="38">
                  <c:v>43.9</c:v>
                </c:pt>
                <c:pt idx="39">
                  <c:v>48.5</c:v>
                </c:pt>
                <c:pt idx="40">
                  <c:v>30.5</c:v>
                </c:pt>
                <c:pt idx="41">
                  <c:v>24.3</c:v>
                </c:pt>
                <c:pt idx="42">
                  <c:v>45.7</c:v>
                </c:pt>
                <c:pt idx="43">
                  <c:v>21</c:v>
                </c:pt>
                <c:pt idx="44">
                  <c:v>17.7</c:v>
                </c:pt>
                <c:pt idx="45">
                  <c:v>-1.2</c:v>
                </c:pt>
                <c:pt idx="46">
                  <c:v>-13.8</c:v>
                </c:pt>
                <c:pt idx="47">
                  <c:v>-15.2</c:v>
                </c:pt>
                <c:pt idx="48">
                  <c:v>-23.4</c:v>
                </c:pt>
                <c:pt idx="49">
                  <c:v>-23</c:v>
                </c:pt>
                <c:pt idx="50">
                  <c:v>-21.4</c:v>
                </c:pt>
                <c:pt idx="51">
                  <c:v>-26.4</c:v>
                </c:pt>
                <c:pt idx="52">
                  <c:v>-22.6</c:v>
                </c:pt>
                <c:pt idx="53">
                  <c:v>-17.100000000000001</c:v>
                </c:pt>
                <c:pt idx="54">
                  <c:v>-25.7</c:v>
                </c:pt>
                <c:pt idx="55">
                  <c:v>-17.5</c:v>
                </c:pt>
                <c:pt idx="56">
                  <c:v>-2.8</c:v>
                </c:pt>
                <c:pt idx="57">
                  <c:v>-2.2000000000000002</c:v>
                </c:pt>
                <c:pt idx="58">
                  <c:v>19.2</c:v>
                </c:pt>
                <c:pt idx="59">
                  <c:v>21.5</c:v>
                </c:pt>
                <c:pt idx="60">
                  <c:v>21.1</c:v>
                </c:pt>
                <c:pt idx="61">
                  <c:v>26.9</c:v>
                </c:pt>
                <c:pt idx="62">
                  <c:v>17.600000000000001</c:v>
                </c:pt>
                <c:pt idx="63">
                  <c:v>28.1</c:v>
                </c:pt>
                <c:pt idx="64">
                  <c:v>21.8</c:v>
                </c:pt>
                <c:pt idx="65">
                  <c:v>30.6</c:v>
                </c:pt>
                <c:pt idx="66">
                  <c:v>6.5</c:v>
                </c:pt>
                <c:pt idx="67">
                  <c:v>26.7</c:v>
                </c:pt>
                <c:pt idx="68">
                  <c:v>21.7</c:v>
                </c:pt>
                <c:pt idx="69">
                  <c:v>22.8</c:v>
                </c:pt>
                <c:pt idx="70">
                  <c:v>22.3</c:v>
                </c:pt>
                <c:pt idx="71">
                  <c:v>22.8</c:v>
                </c:pt>
                <c:pt idx="72">
                  <c:v>22.7</c:v>
                </c:pt>
                <c:pt idx="73">
                  <c:v>34.200000000000003</c:v>
                </c:pt>
                <c:pt idx="74">
                  <c:v>27.1</c:v>
                </c:pt>
                <c:pt idx="75">
                  <c:v>28.7</c:v>
                </c:pt>
                <c:pt idx="76">
                  <c:v>26.8</c:v>
                </c:pt>
                <c:pt idx="77">
                  <c:v>6.9</c:v>
                </c:pt>
                <c:pt idx="78">
                  <c:v>51.7</c:v>
                </c:pt>
                <c:pt idx="79">
                  <c:v>33</c:v>
                </c:pt>
                <c:pt idx="80">
                  <c:v>24.8</c:v>
                </c:pt>
                <c:pt idx="81">
                  <c:v>32.800000000000004</c:v>
                </c:pt>
                <c:pt idx="82">
                  <c:v>29.6</c:v>
                </c:pt>
                <c:pt idx="83">
                  <c:v>30.6</c:v>
                </c:pt>
                <c:pt idx="84">
                  <c:v>32.800000000000004</c:v>
                </c:pt>
                <c:pt idx="85">
                  <c:v>22.49</c:v>
                </c:pt>
                <c:pt idx="86">
                  <c:v>23.27</c:v>
                </c:pt>
                <c:pt idx="87">
                  <c:v>25.14</c:v>
                </c:pt>
                <c:pt idx="88">
                  <c:v>23.810000000000031</c:v>
                </c:pt>
                <c:pt idx="89">
                  <c:v>28.22</c:v>
                </c:pt>
                <c:pt idx="90">
                  <c:v>22.21</c:v>
                </c:pt>
                <c:pt idx="91">
                  <c:v>28.04</c:v>
                </c:pt>
                <c:pt idx="92">
                  <c:v>18.23</c:v>
                </c:pt>
                <c:pt idx="93">
                  <c:v>18.53</c:v>
                </c:pt>
                <c:pt idx="94">
                  <c:v>29.64</c:v>
                </c:pt>
                <c:pt idx="95">
                  <c:v>25.77</c:v>
                </c:pt>
                <c:pt idx="96">
                  <c:v>33.07</c:v>
                </c:pt>
                <c:pt idx="97">
                  <c:v>28.59</c:v>
                </c:pt>
                <c:pt idx="98">
                  <c:v>30.62</c:v>
                </c:pt>
                <c:pt idx="99">
                  <c:v>30.22</c:v>
                </c:pt>
                <c:pt idx="100">
                  <c:v>31.89</c:v>
                </c:pt>
                <c:pt idx="101">
                  <c:v>32.760000000000012</c:v>
                </c:pt>
                <c:pt idx="102">
                  <c:v>29.610000000000031</c:v>
                </c:pt>
                <c:pt idx="103">
                  <c:v>42.120000000000012</c:v>
                </c:pt>
                <c:pt idx="104">
                  <c:v>32.71</c:v>
                </c:pt>
                <c:pt idx="105">
                  <c:v>45.89</c:v>
                </c:pt>
                <c:pt idx="106">
                  <c:v>28.34</c:v>
                </c:pt>
                <c:pt idx="107">
                  <c:v>33.050000000000004</c:v>
                </c:pt>
                <c:pt idx="108">
                  <c:v>37.379999999999995</c:v>
                </c:pt>
                <c:pt idx="109">
                  <c:v>33.83</c:v>
                </c:pt>
                <c:pt idx="110">
                  <c:v>46.47</c:v>
                </c:pt>
                <c:pt idx="111">
                  <c:v>32.58</c:v>
                </c:pt>
                <c:pt idx="112">
                  <c:v>32.309999999999995</c:v>
                </c:pt>
                <c:pt idx="113">
                  <c:v>42.87</c:v>
                </c:pt>
                <c:pt idx="114">
                  <c:v>39.67</c:v>
                </c:pt>
                <c:pt idx="115">
                  <c:v>19.939999999999987</c:v>
                </c:pt>
                <c:pt idx="116">
                  <c:v>50.71</c:v>
                </c:pt>
                <c:pt idx="117">
                  <c:v>33.809999999999995</c:v>
                </c:pt>
                <c:pt idx="118">
                  <c:v>36.660000000000011</c:v>
                </c:pt>
                <c:pt idx="119">
                  <c:v>31.43</c:v>
                </c:pt>
                <c:pt idx="120">
                  <c:v>27.1</c:v>
                </c:pt>
                <c:pt idx="121">
                  <c:v>30.47</c:v>
                </c:pt>
                <c:pt idx="122">
                  <c:v>32.53</c:v>
                </c:pt>
                <c:pt idx="123">
                  <c:v>37.32</c:v>
                </c:pt>
                <c:pt idx="124">
                  <c:v>33.28</c:v>
                </c:pt>
                <c:pt idx="125">
                  <c:v>34.74</c:v>
                </c:pt>
                <c:pt idx="126">
                  <c:v>27.79</c:v>
                </c:pt>
                <c:pt idx="127">
                  <c:v>37.190000000000012</c:v>
                </c:pt>
                <c:pt idx="128">
                  <c:v>30.150000000000031</c:v>
                </c:pt>
                <c:pt idx="129">
                  <c:v>30.04</c:v>
                </c:pt>
                <c:pt idx="130">
                  <c:v>31.4</c:v>
                </c:pt>
                <c:pt idx="131">
                  <c:v>33.020000000000003</c:v>
                </c:pt>
                <c:pt idx="132">
                  <c:v>25.05</c:v>
                </c:pt>
                <c:pt idx="133">
                  <c:v>27.62</c:v>
                </c:pt>
                <c:pt idx="134">
                  <c:v>17.809999999999999</c:v>
                </c:pt>
                <c:pt idx="135">
                  <c:v>18.399999999999999</c:v>
                </c:pt>
                <c:pt idx="136">
                  <c:v>17.25</c:v>
                </c:pt>
                <c:pt idx="137">
                  <c:v>2.9299999999999997</c:v>
                </c:pt>
                <c:pt idx="138">
                  <c:v>-0.32000000000000134</c:v>
                </c:pt>
                <c:pt idx="139">
                  <c:v>28.22</c:v>
                </c:pt>
                <c:pt idx="140">
                  <c:v>11.450000000000006</c:v>
                </c:pt>
                <c:pt idx="141">
                  <c:v>8.33</c:v>
                </c:pt>
                <c:pt idx="142">
                  <c:v>-4.0000000000000022E-2</c:v>
                </c:pt>
                <c:pt idx="143">
                  <c:v>4.42</c:v>
                </c:pt>
                <c:pt idx="144">
                  <c:v>0.9</c:v>
                </c:pt>
                <c:pt idx="145">
                  <c:v>6.56</c:v>
                </c:pt>
                <c:pt idx="146">
                  <c:v>-0.5</c:v>
                </c:pt>
                <c:pt idx="147">
                  <c:v>3.52</c:v>
                </c:pt>
                <c:pt idx="148">
                  <c:v>11.18</c:v>
                </c:pt>
                <c:pt idx="149">
                  <c:v>14.850000000000026</c:v>
                </c:pt>
                <c:pt idx="150">
                  <c:v>29.939999999999987</c:v>
                </c:pt>
                <c:pt idx="151">
                  <c:v>0.77000000000000268</c:v>
                </c:pt>
                <c:pt idx="152">
                  <c:v>8.629999999999999</c:v>
                </c:pt>
                <c:pt idx="153">
                  <c:v>13.75</c:v>
                </c:pt>
                <c:pt idx="154">
                  <c:v>25.06</c:v>
                </c:pt>
                <c:pt idx="155">
                  <c:v>23.67</c:v>
                </c:pt>
                <c:pt idx="156">
                  <c:v>27.310000000000031</c:v>
                </c:pt>
                <c:pt idx="157">
                  <c:v>23.88</c:v>
                </c:pt>
                <c:pt idx="158">
                  <c:v>44.13</c:v>
                </c:pt>
                <c:pt idx="159">
                  <c:v>29.439999999999987</c:v>
                </c:pt>
                <c:pt idx="160">
                  <c:v>38.480000000000004</c:v>
                </c:pt>
                <c:pt idx="161">
                  <c:v>35.410000000000004</c:v>
                </c:pt>
                <c:pt idx="162">
                  <c:v>34.32</c:v>
                </c:pt>
                <c:pt idx="163">
                  <c:v>47.44</c:v>
                </c:pt>
                <c:pt idx="164">
                  <c:v>1.1900000000000046</c:v>
                </c:pt>
                <c:pt idx="165">
                  <c:v>28.75</c:v>
                </c:pt>
                <c:pt idx="166">
                  <c:v>23.779999999999987</c:v>
                </c:pt>
                <c:pt idx="167">
                  <c:v>20.04</c:v>
                </c:pt>
                <c:pt idx="168">
                  <c:v>17.79</c:v>
                </c:pt>
                <c:pt idx="169">
                  <c:v>7.31</c:v>
                </c:pt>
                <c:pt idx="170">
                  <c:v>-1.35</c:v>
                </c:pt>
                <c:pt idx="171">
                  <c:v>4.0599999999999996</c:v>
                </c:pt>
                <c:pt idx="172">
                  <c:v>-7.1899999999999995</c:v>
                </c:pt>
                <c:pt idx="173">
                  <c:v>-3.25</c:v>
                </c:pt>
                <c:pt idx="174">
                  <c:v>-9.52</c:v>
                </c:pt>
                <c:pt idx="175">
                  <c:v>-10.120000000000001</c:v>
                </c:pt>
                <c:pt idx="176">
                  <c:v>4.2300000000000004</c:v>
                </c:pt>
                <c:pt idx="177">
                  <c:v>-9.7000000000000011</c:v>
                </c:pt>
                <c:pt idx="178">
                  <c:v>-17.329999999999988</c:v>
                </c:pt>
                <c:pt idx="179">
                  <c:v>-6.56</c:v>
                </c:pt>
                <c:pt idx="180">
                  <c:v>-2.9299999999999997</c:v>
                </c:pt>
                <c:pt idx="181">
                  <c:v>3.94</c:v>
                </c:pt>
                <c:pt idx="182">
                  <c:v>1.53</c:v>
                </c:pt>
                <c:pt idx="183">
                  <c:v>-1.75</c:v>
                </c:pt>
                <c:pt idx="184">
                  <c:v>7.8199999999999985</c:v>
                </c:pt>
                <c:pt idx="185">
                  <c:v>9.4700000000000006</c:v>
                </c:pt>
                <c:pt idx="186">
                  <c:v>23.47</c:v>
                </c:pt>
                <c:pt idx="187">
                  <c:v>8.41</c:v>
                </c:pt>
                <c:pt idx="188">
                  <c:v>4.72</c:v>
                </c:pt>
                <c:pt idx="189">
                  <c:v>22.99</c:v>
                </c:pt>
                <c:pt idx="190">
                  <c:v>17.07</c:v>
                </c:pt>
                <c:pt idx="191">
                  <c:v>23.43</c:v>
                </c:pt>
                <c:pt idx="192">
                  <c:v>13.39</c:v>
                </c:pt>
                <c:pt idx="193">
                  <c:v>25.110000000000031</c:v>
                </c:pt>
                <c:pt idx="194">
                  <c:v>25.34</c:v>
                </c:pt>
                <c:pt idx="195">
                  <c:v>24.979999999999986</c:v>
                </c:pt>
                <c:pt idx="196">
                  <c:v>29.99</c:v>
                </c:pt>
                <c:pt idx="197">
                  <c:v>34.97</c:v>
                </c:pt>
                <c:pt idx="198">
                  <c:v>13.78</c:v>
                </c:pt>
                <c:pt idx="199">
                  <c:v>27.57</c:v>
                </c:pt>
                <c:pt idx="200">
                  <c:v>6.2700000000000014</c:v>
                </c:pt>
                <c:pt idx="201">
                  <c:v>11.850000000000026</c:v>
                </c:pt>
                <c:pt idx="202">
                  <c:v>23.3</c:v>
                </c:pt>
                <c:pt idx="203">
                  <c:v>7.95</c:v>
                </c:pt>
                <c:pt idx="204">
                  <c:v>12.79</c:v>
                </c:pt>
                <c:pt idx="205">
                  <c:v>1.25</c:v>
                </c:pt>
                <c:pt idx="206">
                  <c:v>-12.629999999999999</c:v>
                </c:pt>
                <c:pt idx="207">
                  <c:v>-5.28</c:v>
                </c:pt>
                <c:pt idx="208">
                  <c:v>-5.1499999999999995</c:v>
                </c:pt>
                <c:pt idx="209">
                  <c:v>-19.190000000000001</c:v>
                </c:pt>
                <c:pt idx="210">
                  <c:v>-12.59</c:v>
                </c:pt>
                <c:pt idx="211">
                  <c:v>11.91</c:v>
                </c:pt>
                <c:pt idx="212">
                  <c:v>-6.8</c:v>
                </c:pt>
                <c:pt idx="213">
                  <c:v>-3.8</c:v>
                </c:pt>
                <c:pt idx="214">
                  <c:v>18.3</c:v>
                </c:pt>
                <c:pt idx="215">
                  <c:v>18.8</c:v>
                </c:pt>
                <c:pt idx="216">
                  <c:v>22.7</c:v>
                </c:pt>
                <c:pt idx="217">
                  <c:v>18.600000000000001</c:v>
                </c:pt>
                <c:pt idx="218">
                  <c:v>28.7</c:v>
                </c:pt>
                <c:pt idx="219">
                  <c:v>35.800000000000004</c:v>
                </c:pt>
                <c:pt idx="220">
                  <c:v>34.1</c:v>
                </c:pt>
                <c:pt idx="221">
                  <c:v>51.7</c:v>
                </c:pt>
                <c:pt idx="222">
                  <c:v>55.3</c:v>
                </c:pt>
                <c:pt idx="223">
                  <c:v>88.3</c:v>
                </c:pt>
              </c:numCache>
            </c:numRef>
          </c:val>
        </c:ser>
        <c:marker val="1"/>
        <c:axId val="329286784"/>
        <c:axId val="329288320"/>
      </c:lineChart>
      <c:lineChart>
        <c:grouping val="standard"/>
        <c:ser>
          <c:idx val="0"/>
          <c:order val="0"/>
          <c:tx>
            <c:strRef>
              <c:f>Sheet6!$B$1</c:f>
              <c:strCache>
                <c:ptCount val="1"/>
                <c:pt idx="0">
                  <c:v>出口总值:当月值</c:v>
                </c:pt>
              </c:strCache>
            </c:strRef>
          </c:tx>
          <c:marker>
            <c:symbol val="none"/>
          </c:marker>
          <c:cat>
            <c:numRef>
              <c:f>Sheet6!$A$4:$A$227</c:f>
              <c:numCache>
                <c:formatCode>yyyy\-mm;@</c:formatCode>
                <c:ptCount val="224"/>
                <c:pt idx="0">
                  <c:v>41517</c:v>
                </c:pt>
                <c:pt idx="1">
                  <c:v>41486</c:v>
                </c:pt>
                <c:pt idx="2">
                  <c:v>41455</c:v>
                </c:pt>
                <c:pt idx="3">
                  <c:v>41425</c:v>
                </c:pt>
                <c:pt idx="4">
                  <c:v>41394</c:v>
                </c:pt>
                <c:pt idx="5">
                  <c:v>41364</c:v>
                </c:pt>
                <c:pt idx="6">
                  <c:v>41333</c:v>
                </c:pt>
                <c:pt idx="7">
                  <c:v>41305</c:v>
                </c:pt>
                <c:pt idx="8">
                  <c:v>41274</c:v>
                </c:pt>
                <c:pt idx="9">
                  <c:v>41243</c:v>
                </c:pt>
                <c:pt idx="10">
                  <c:v>41213</c:v>
                </c:pt>
                <c:pt idx="11">
                  <c:v>41182</c:v>
                </c:pt>
                <c:pt idx="12">
                  <c:v>41152</c:v>
                </c:pt>
                <c:pt idx="13">
                  <c:v>41121</c:v>
                </c:pt>
                <c:pt idx="14">
                  <c:v>41090</c:v>
                </c:pt>
                <c:pt idx="15">
                  <c:v>41060</c:v>
                </c:pt>
                <c:pt idx="16">
                  <c:v>41029</c:v>
                </c:pt>
                <c:pt idx="17">
                  <c:v>40999</c:v>
                </c:pt>
                <c:pt idx="18">
                  <c:v>40968</c:v>
                </c:pt>
                <c:pt idx="19">
                  <c:v>40939</c:v>
                </c:pt>
                <c:pt idx="20">
                  <c:v>40908</c:v>
                </c:pt>
                <c:pt idx="21">
                  <c:v>40877</c:v>
                </c:pt>
                <c:pt idx="22">
                  <c:v>40847</c:v>
                </c:pt>
                <c:pt idx="23">
                  <c:v>40816</c:v>
                </c:pt>
                <c:pt idx="24">
                  <c:v>40786</c:v>
                </c:pt>
                <c:pt idx="25">
                  <c:v>40755</c:v>
                </c:pt>
                <c:pt idx="26">
                  <c:v>40724</c:v>
                </c:pt>
                <c:pt idx="27">
                  <c:v>40694</c:v>
                </c:pt>
                <c:pt idx="28">
                  <c:v>40663</c:v>
                </c:pt>
                <c:pt idx="29">
                  <c:v>40633</c:v>
                </c:pt>
                <c:pt idx="30">
                  <c:v>40602</c:v>
                </c:pt>
                <c:pt idx="31">
                  <c:v>40574</c:v>
                </c:pt>
                <c:pt idx="32">
                  <c:v>40543</c:v>
                </c:pt>
                <c:pt idx="33">
                  <c:v>40512</c:v>
                </c:pt>
                <c:pt idx="34">
                  <c:v>40482</c:v>
                </c:pt>
                <c:pt idx="35">
                  <c:v>40451</c:v>
                </c:pt>
                <c:pt idx="36">
                  <c:v>40421</c:v>
                </c:pt>
                <c:pt idx="37">
                  <c:v>40390</c:v>
                </c:pt>
                <c:pt idx="38">
                  <c:v>40359</c:v>
                </c:pt>
                <c:pt idx="39">
                  <c:v>40329</c:v>
                </c:pt>
                <c:pt idx="40">
                  <c:v>40298</c:v>
                </c:pt>
                <c:pt idx="41">
                  <c:v>40268</c:v>
                </c:pt>
                <c:pt idx="42">
                  <c:v>40237</c:v>
                </c:pt>
                <c:pt idx="43">
                  <c:v>40209</c:v>
                </c:pt>
                <c:pt idx="44">
                  <c:v>40178</c:v>
                </c:pt>
                <c:pt idx="45">
                  <c:v>40147</c:v>
                </c:pt>
                <c:pt idx="46">
                  <c:v>40117</c:v>
                </c:pt>
                <c:pt idx="47">
                  <c:v>40086</c:v>
                </c:pt>
                <c:pt idx="48">
                  <c:v>40056</c:v>
                </c:pt>
                <c:pt idx="49">
                  <c:v>40025</c:v>
                </c:pt>
                <c:pt idx="50">
                  <c:v>39994</c:v>
                </c:pt>
                <c:pt idx="51">
                  <c:v>39964</c:v>
                </c:pt>
                <c:pt idx="52">
                  <c:v>39933</c:v>
                </c:pt>
                <c:pt idx="53">
                  <c:v>39903</c:v>
                </c:pt>
                <c:pt idx="54">
                  <c:v>39872</c:v>
                </c:pt>
                <c:pt idx="55">
                  <c:v>39844</c:v>
                </c:pt>
                <c:pt idx="56">
                  <c:v>39813</c:v>
                </c:pt>
                <c:pt idx="57">
                  <c:v>39782</c:v>
                </c:pt>
                <c:pt idx="58">
                  <c:v>39752</c:v>
                </c:pt>
                <c:pt idx="59">
                  <c:v>39721</c:v>
                </c:pt>
                <c:pt idx="60">
                  <c:v>39691</c:v>
                </c:pt>
                <c:pt idx="61">
                  <c:v>39660</c:v>
                </c:pt>
                <c:pt idx="62">
                  <c:v>39629</c:v>
                </c:pt>
                <c:pt idx="63">
                  <c:v>39599</c:v>
                </c:pt>
                <c:pt idx="64">
                  <c:v>39568</c:v>
                </c:pt>
                <c:pt idx="65">
                  <c:v>39538</c:v>
                </c:pt>
                <c:pt idx="66">
                  <c:v>39507</c:v>
                </c:pt>
                <c:pt idx="67">
                  <c:v>39478</c:v>
                </c:pt>
                <c:pt idx="68">
                  <c:v>39447</c:v>
                </c:pt>
                <c:pt idx="69">
                  <c:v>39416</c:v>
                </c:pt>
                <c:pt idx="70">
                  <c:v>39386</c:v>
                </c:pt>
                <c:pt idx="71">
                  <c:v>39355</c:v>
                </c:pt>
                <c:pt idx="72">
                  <c:v>39325</c:v>
                </c:pt>
                <c:pt idx="73">
                  <c:v>39294</c:v>
                </c:pt>
                <c:pt idx="74">
                  <c:v>39263</c:v>
                </c:pt>
                <c:pt idx="75">
                  <c:v>39233</c:v>
                </c:pt>
                <c:pt idx="76">
                  <c:v>39202</c:v>
                </c:pt>
                <c:pt idx="77">
                  <c:v>39172</c:v>
                </c:pt>
                <c:pt idx="78">
                  <c:v>39141</c:v>
                </c:pt>
                <c:pt idx="79">
                  <c:v>39113</c:v>
                </c:pt>
                <c:pt idx="80">
                  <c:v>39082</c:v>
                </c:pt>
                <c:pt idx="81">
                  <c:v>39051</c:v>
                </c:pt>
                <c:pt idx="82">
                  <c:v>39021</c:v>
                </c:pt>
                <c:pt idx="83">
                  <c:v>38990</c:v>
                </c:pt>
                <c:pt idx="84">
                  <c:v>38960</c:v>
                </c:pt>
                <c:pt idx="85">
                  <c:v>38929</c:v>
                </c:pt>
                <c:pt idx="86">
                  <c:v>38898</c:v>
                </c:pt>
                <c:pt idx="87">
                  <c:v>38868</c:v>
                </c:pt>
                <c:pt idx="88">
                  <c:v>38837</c:v>
                </c:pt>
                <c:pt idx="89">
                  <c:v>38807</c:v>
                </c:pt>
                <c:pt idx="90">
                  <c:v>38776</c:v>
                </c:pt>
                <c:pt idx="91">
                  <c:v>38748</c:v>
                </c:pt>
                <c:pt idx="92">
                  <c:v>38717</c:v>
                </c:pt>
                <c:pt idx="93">
                  <c:v>38686</c:v>
                </c:pt>
                <c:pt idx="94">
                  <c:v>38656</c:v>
                </c:pt>
                <c:pt idx="95">
                  <c:v>38625</c:v>
                </c:pt>
                <c:pt idx="96">
                  <c:v>38595</c:v>
                </c:pt>
                <c:pt idx="97">
                  <c:v>38564</c:v>
                </c:pt>
                <c:pt idx="98">
                  <c:v>38533</c:v>
                </c:pt>
                <c:pt idx="99">
                  <c:v>38503</c:v>
                </c:pt>
                <c:pt idx="100">
                  <c:v>38472</c:v>
                </c:pt>
                <c:pt idx="101">
                  <c:v>38442</c:v>
                </c:pt>
                <c:pt idx="102">
                  <c:v>38411</c:v>
                </c:pt>
                <c:pt idx="103">
                  <c:v>38383</c:v>
                </c:pt>
                <c:pt idx="104">
                  <c:v>38352</c:v>
                </c:pt>
                <c:pt idx="105">
                  <c:v>38321</c:v>
                </c:pt>
                <c:pt idx="106">
                  <c:v>38291</c:v>
                </c:pt>
                <c:pt idx="107">
                  <c:v>38260</c:v>
                </c:pt>
                <c:pt idx="108">
                  <c:v>38230</c:v>
                </c:pt>
                <c:pt idx="109">
                  <c:v>38199</c:v>
                </c:pt>
                <c:pt idx="110">
                  <c:v>38168</c:v>
                </c:pt>
                <c:pt idx="111">
                  <c:v>38138</c:v>
                </c:pt>
                <c:pt idx="112">
                  <c:v>38107</c:v>
                </c:pt>
                <c:pt idx="113">
                  <c:v>38077</c:v>
                </c:pt>
                <c:pt idx="114">
                  <c:v>38046</c:v>
                </c:pt>
                <c:pt idx="115">
                  <c:v>38017</c:v>
                </c:pt>
                <c:pt idx="116">
                  <c:v>37986</c:v>
                </c:pt>
                <c:pt idx="117">
                  <c:v>37955</c:v>
                </c:pt>
                <c:pt idx="118">
                  <c:v>37925</c:v>
                </c:pt>
                <c:pt idx="119">
                  <c:v>37894</c:v>
                </c:pt>
                <c:pt idx="120">
                  <c:v>37864</c:v>
                </c:pt>
                <c:pt idx="121">
                  <c:v>37833</c:v>
                </c:pt>
                <c:pt idx="122">
                  <c:v>37802</c:v>
                </c:pt>
                <c:pt idx="123">
                  <c:v>37772</c:v>
                </c:pt>
                <c:pt idx="124">
                  <c:v>37741</c:v>
                </c:pt>
                <c:pt idx="125">
                  <c:v>37711</c:v>
                </c:pt>
                <c:pt idx="126">
                  <c:v>37680</c:v>
                </c:pt>
                <c:pt idx="127">
                  <c:v>37652</c:v>
                </c:pt>
                <c:pt idx="128">
                  <c:v>37621</c:v>
                </c:pt>
                <c:pt idx="129">
                  <c:v>37590</c:v>
                </c:pt>
                <c:pt idx="130">
                  <c:v>37560</c:v>
                </c:pt>
                <c:pt idx="131">
                  <c:v>37529</c:v>
                </c:pt>
                <c:pt idx="132">
                  <c:v>37499</c:v>
                </c:pt>
                <c:pt idx="133">
                  <c:v>37468</c:v>
                </c:pt>
                <c:pt idx="134">
                  <c:v>37437</c:v>
                </c:pt>
                <c:pt idx="135">
                  <c:v>37407</c:v>
                </c:pt>
                <c:pt idx="136">
                  <c:v>37376</c:v>
                </c:pt>
                <c:pt idx="137">
                  <c:v>37346</c:v>
                </c:pt>
                <c:pt idx="138">
                  <c:v>37315</c:v>
                </c:pt>
                <c:pt idx="139">
                  <c:v>37287</c:v>
                </c:pt>
                <c:pt idx="140">
                  <c:v>37256</c:v>
                </c:pt>
                <c:pt idx="141">
                  <c:v>37225</c:v>
                </c:pt>
                <c:pt idx="142">
                  <c:v>37195</c:v>
                </c:pt>
                <c:pt idx="143">
                  <c:v>37164</c:v>
                </c:pt>
                <c:pt idx="144">
                  <c:v>37134</c:v>
                </c:pt>
                <c:pt idx="145">
                  <c:v>37103</c:v>
                </c:pt>
                <c:pt idx="146">
                  <c:v>37072</c:v>
                </c:pt>
                <c:pt idx="147">
                  <c:v>37042</c:v>
                </c:pt>
                <c:pt idx="148">
                  <c:v>37011</c:v>
                </c:pt>
                <c:pt idx="149">
                  <c:v>36981</c:v>
                </c:pt>
                <c:pt idx="150">
                  <c:v>36950</c:v>
                </c:pt>
                <c:pt idx="151">
                  <c:v>36922</c:v>
                </c:pt>
                <c:pt idx="152">
                  <c:v>36891</c:v>
                </c:pt>
                <c:pt idx="153">
                  <c:v>36860</c:v>
                </c:pt>
                <c:pt idx="154">
                  <c:v>36830</c:v>
                </c:pt>
                <c:pt idx="155">
                  <c:v>36799</c:v>
                </c:pt>
                <c:pt idx="156">
                  <c:v>36769</c:v>
                </c:pt>
                <c:pt idx="157">
                  <c:v>36738</c:v>
                </c:pt>
                <c:pt idx="158">
                  <c:v>36707</c:v>
                </c:pt>
                <c:pt idx="159">
                  <c:v>36677</c:v>
                </c:pt>
                <c:pt idx="160">
                  <c:v>36646</c:v>
                </c:pt>
                <c:pt idx="161">
                  <c:v>36616</c:v>
                </c:pt>
                <c:pt idx="162">
                  <c:v>36585</c:v>
                </c:pt>
                <c:pt idx="163">
                  <c:v>36556</c:v>
                </c:pt>
                <c:pt idx="164">
                  <c:v>36525</c:v>
                </c:pt>
                <c:pt idx="165">
                  <c:v>36494</c:v>
                </c:pt>
                <c:pt idx="166">
                  <c:v>36464</c:v>
                </c:pt>
                <c:pt idx="167">
                  <c:v>36433</c:v>
                </c:pt>
                <c:pt idx="168">
                  <c:v>36403</c:v>
                </c:pt>
                <c:pt idx="169">
                  <c:v>36372</c:v>
                </c:pt>
                <c:pt idx="170">
                  <c:v>36341</c:v>
                </c:pt>
                <c:pt idx="171">
                  <c:v>36311</c:v>
                </c:pt>
                <c:pt idx="172">
                  <c:v>36280</c:v>
                </c:pt>
                <c:pt idx="173">
                  <c:v>36250</c:v>
                </c:pt>
                <c:pt idx="174">
                  <c:v>36219</c:v>
                </c:pt>
                <c:pt idx="175">
                  <c:v>36191</c:v>
                </c:pt>
                <c:pt idx="176">
                  <c:v>36160</c:v>
                </c:pt>
                <c:pt idx="177">
                  <c:v>36129</c:v>
                </c:pt>
                <c:pt idx="178">
                  <c:v>36099</c:v>
                </c:pt>
                <c:pt idx="179">
                  <c:v>36068</c:v>
                </c:pt>
                <c:pt idx="180">
                  <c:v>36038</c:v>
                </c:pt>
                <c:pt idx="181">
                  <c:v>36007</c:v>
                </c:pt>
                <c:pt idx="182">
                  <c:v>35976</c:v>
                </c:pt>
                <c:pt idx="183">
                  <c:v>35946</c:v>
                </c:pt>
                <c:pt idx="184">
                  <c:v>35915</c:v>
                </c:pt>
                <c:pt idx="185">
                  <c:v>35885</c:v>
                </c:pt>
                <c:pt idx="186">
                  <c:v>35854</c:v>
                </c:pt>
                <c:pt idx="187">
                  <c:v>35826</c:v>
                </c:pt>
                <c:pt idx="188">
                  <c:v>35795</c:v>
                </c:pt>
                <c:pt idx="189">
                  <c:v>35764</c:v>
                </c:pt>
                <c:pt idx="190">
                  <c:v>35734</c:v>
                </c:pt>
                <c:pt idx="191">
                  <c:v>35703</c:v>
                </c:pt>
                <c:pt idx="192">
                  <c:v>35673</c:v>
                </c:pt>
                <c:pt idx="193">
                  <c:v>35642</c:v>
                </c:pt>
                <c:pt idx="194">
                  <c:v>35611</c:v>
                </c:pt>
                <c:pt idx="195">
                  <c:v>35581</c:v>
                </c:pt>
                <c:pt idx="196">
                  <c:v>35550</c:v>
                </c:pt>
                <c:pt idx="197">
                  <c:v>35520</c:v>
                </c:pt>
                <c:pt idx="198">
                  <c:v>35489</c:v>
                </c:pt>
                <c:pt idx="199">
                  <c:v>35461</c:v>
                </c:pt>
                <c:pt idx="200">
                  <c:v>35430</c:v>
                </c:pt>
                <c:pt idx="201">
                  <c:v>35399</c:v>
                </c:pt>
                <c:pt idx="202">
                  <c:v>35369</c:v>
                </c:pt>
                <c:pt idx="203">
                  <c:v>35338</c:v>
                </c:pt>
                <c:pt idx="204">
                  <c:v>35308</c:v>
                </c:pt>
                <c:pt idx="205">
                  <c:v>35277</c:v>
                </c:pt>
                <c:pt idx="206">
                  <c:v>35246</c:v>
                </c:pt>
                <c:pt idx="207">
                  <c:v>35216</c:v>
                </c:pt>
                <c:pt idx="208">
                  <c:v>35185</c:v>
                </c:pt>
                <c:pt idx="209">
                  <c:v>35155</c:v>
                </c:pt>
                <c:pt idx="210">
                  <c:v>35124</c:v>
                </c:pt>
                <c:pt idx="211">
                  <c:v>35095</c:v>
                </c:pt>
                <c:pt idx="212">
                  <c:v>35064</c:v>
                </c:pt>
                <c:pt idx="213">
                  <c:v>35033</c:v>
                </c:pt>
                <c:pt idx="214">
                  <c:v>35003</c:v>
                </c:pt>
                <c:pt idx="215">
                  <c:v>34972</c:v>
                </c:pt>
                <c:pt idx="216">
                  <c:v>34942</c:v>
                </c:pt>
                <c:pt idx="217">
                  <c:v>34911</c:v>
                </c:pt>
                <c:pt idx="218">
                  <c:v>34880</c:v>
                </c:pt>
                <c:pt idx="219">
                  <c:v>34850</c:v>
                </c:pt>
                <c:pt idx="220">
                  <c:v>34819</c:v>
                </c:pt>
                <c:pt idx="221">
                  <c:v>34789</c:v>
                </c:pt>
                <c:pt idx="222">
                  <c:v>34758</c:v>
                </c:pt>
                <c:pt idx="223">
                  <c:v>34730</c:v>
                </c:pt>
              </c:numCache>
            </c:numRef>
          </c:cat>
          <c:val>
            <c:numRef>
              <c:f>Sheet6!$B$4:$B$227</c:f>
              <c:numCache>
                <c:formatCode>#,##0.00_ </c:formatCode>
                <c:ptCount val="224"/>
                <c:pt idx="0">
                  <c:v>1906.08</c:v>
                </c:pt>
                <c:pt idx="1">
                  <c:v>1859.91</c:v>
                </c:pt>
                <c:pt idx="2">
                  <c:v>1743.1599999999999</c:v>
                </c:pt>
                <c:pt idx="3">
                  <c:v>1827.6599999999999</c:v>
                </c:pt>
                <c:pt idx="4">
                  <c:v>1870.61</c:v>
                </c:pt>
                <c:pt idx="5">
                  <c:v>1821.9</c:v>
                </c:pt>
                <c:pt idx="6">
                  <c:v>1393.6699999999998</c:v>
                </c:pt>
                <c:pt idx="7">
                  <c:v>1873.6599999999999</c:v>
                </c:pt>
                <c:pt idx="8">
                  <c:v>1992.3</c:v>
                </c:pt>
                <c:pt idx="9">
                  <c:v>1793.81</c:v>
                </c:pt>
                <c:pt idx="10">
                  <c:v>1755.71</c:v>
                </c:pt>
                <c:pt idx="11">
                  <c:v>1863.5</c:v>
                </c:pt>
                <c:pt idx="12">
                  <c:v>1779.73</c:v>
                </c:pt>
                <c:pt idx="13">
                  <c:v>1769.4</c:v>
                </c:pt>
                <c:pt idx="14">
                  <c:v>1802.04</c:v>
                </c:pt>
                <c:pt idx="15">
                  <c:v>1811.41</c:v>
                </c:pt>
                <c:pt idx="16">
                  <c:v>1632.52</c:v>
                </c:pt>
                <c:pt idx="17">
                  <c:v>1656.58</c:v>
                </c:pt>
                <c:pt idx="18">
                  <c:v>1144.71</c:v>
                </c:pt>
                <c:pt idx="19">
                  <c:v>1499.3899999999999</c:v>
                </c:pt>
                <c:pt idx="20">
                  <c:v>1747.1799999999998</c:v>
                </c:pt>
                <c:pt idx="21">
                  <c:v>1744.6399999999999</c:v>
                </c:pt>
                <c:pt idx="22">
                  <c:v>1574.91</c:v>
                </c:pt>
                <c:pt idx="23">
                  <c:v>1696.73</c:v>
                </c:pt>
                <c:pt idx="24">
                  <c:v>1733.1599999999999</c:v>
                </c:pt>
                <c:pt idx="25">
                  <c:v>1751.28</c:v>
                </c:pt>
                <c:pt idx="26">
                  <c:v>1619.81</c:v>
                </c:pt>
                <c:pt idx="27">
                  <c:v>1571.57</c:v>
                </c:pt>
                <c:pt idx="28">
                  <c:v>1556.84</c:v>
                </c:pt>
                <c:pt idx="29">
                  <c:v>1521.99</c:v>
                </c:pt>
                <c:pt idx="30">
                  <c:v>967.35999999999797</c:v>
                </c:pt>
                <c:pt idx="31">
                  <c:v>1507.34</c:v>
                </c:pt>
                <c:pt idx="32">
                  <c:v>1541.49</c:v>
                </c:pt>
                <c:pt idx="33">
                  <c:v>1533.26</c:v>
                </c:pt>
                <c:pt idx="34">
                  <c:v>1359.78</c:v>
                </c:pt>
                <c:pt idx="35">
                  <c:v>1449.85</c:v>
                </c:pt>
                <c:pt idx="36">
                  <c:v>1393.02</c:v>
                </c:pt>
                <c:pt idx="37">
                  <c:v>1455.1899999999998</c:v>
                </c:pt>
                <c:pt idx="38">
                  <c:v>1373.96</c:v>
                </c:pt>
                <c:pt idx="39">
                  <c:v>1317.61</c:v>
                </c:pt>
                <c:pt idx="40">
                  <c:v>1199.21</c:v>
                </c:pt>
                <c:pt idx="41">
                  <c:v>1121.1199999999999</c:v>
                </c:pt>
                <c:pt idx="42">
                  <c:v>945.23</c:v>
                </c:pt>
                <c:pt idx="43">
                  <c:v>1094.75</c:v>
                </c:pt>
                <c:pt idx="44">
                  <c:v>1307.24</c:v>
                </c:pt>
                <c:pt idx="45">
                  <c:v>1136.53</c:v>
                </c:pt>
                <c:pt idx="46">
                  <c:v>1107.6199999999999</c:v>
                </c:pt>
                <c:pt idx="47">
                  <c:v>1159.3799999999999</c:v>
                </c:pt>
                <c:pt idx="48">
                  <c:v>1037.07</c:v>
                </c:pt>
                <c:pt idx="49">
                  <c:v>1054.2</c:v>
                </c:pt>
                <c:pt idx="50">
                  <c:v>954.11</c:v>
                </c:pt>
                <c:pt idx="51">
                  <c:v>887.58</c:v>
                </c:pt>
                <c:pt idx="52">
                  <c:v>919.34999999999798</c:v>
                </c:pt>
                <c:pt idx="53">
                  <c:v>902.91</c:v>
                </c:pt>
                <c:pt idx="54">
                  <c:v>648.94999999999948</c:v>
                </c:pt>
                <c:pt idx="55">
                  <c:v>904.54</c:v>
                </c:pt>
                <c:pt idx="56">
                  <c:v>1111.57</c:v>
                </c:pt>
                <c:pt idx="57">
                  <c:v>1149.8699999999999</c:v>
                </c:pt>
                <c:pt idx="58">
                  <c:v>1283.27</c:v>
                </c:pt>
                <c:pt idx="59">
                  <c:v>1364.32</c:v>
                </c:pt>
                <c:pt idx="60">
                  <c:v>1348.73</c:v>
                </c:pt>
                <c:pt idx="61">
                  <c:v>1366.75</c:v>
                </c:pt>
                <c:pt idx="62">
                  <c:v>1211.8</c:v>
                </c:pt>
                <c:pt idx="63">
                  <c:v>1204.96</c:v>
                </c:pt>
                <c:pt idx="64">
                  <c:v>1187.71</c:v>
                </c:pt>
                <c:pt idx="65">
                  <c:v>1089.6299999999999</c:v>
                </c:pt>
                <c:pt idx="66">
                  <c:v>873.68000000000052</c:v>
                </c:pt>
                <c:pt idx="67">
                  <c:v>1096.4000000000001</c:v>
                </c:pt>
                <c:pt idx="68">
                  <c:v>1144.1599999999999</c:v>
                </c:pt>
                <c:pt idx="69">
                  <c:v>1176.21</c:v>
                </c:pt>
                <c:pt idx="70">
                  <c:v>1077.24</c:v>
                </c:pt>
                <c:pt idx="71">
                  <c:v>1123.73</c:v>
                </c:pt>
                <c:pt idx="72">
                  <c:v>1113.55</c:v>
                </c:pt>
                <c:pt idx="73">
                  <c:v>1077.44</c:v>
                </c:pt>
                <c:pt idx="74">
                  <c:v>1032.6799999999998</c:v>
                </c:pt>
                <c:pt idx="75">
                  <c:v>940.65</c:v>
                </c:pt>
                <c:pt idx="76">
                  <c:v>974.5</c:v>
                </c:pt>
                <c:pt idx="77">
                  <c:v>834.24</c:v>
                </c:pt>
                <c:pt idx="78">
                  <c:v>820.95999999999947</c:v>
                </c:pt>
                <c:pt idx="79">
                  <c:v>866.2</c:v>
                </c:pt>
                <c:pt idx="80">
                  <c:v>940.93999999999949</c:v>
                </c:pt>
                <c:pt idx="81">
                  <c:v>958.54</c:v>
                </c:pt>
                <c:pt idx="82">
                  <c:v>881.27000000000055</c:v>
                </c:pt>
                <c:pt idx="83">
                  <c:v>916.29000000000053</c:v>
                </c:pt>
                <c:pt idx="84">
                  <c:v>907.66</c:v>
                </c:pt>
                <c:pt idx="85">
                  <c:v>803.37</c:v>
                </c:pt>
                <c:pt idx="86">
                  <c:v>813.11</c:v>
                </c:pt>
                <c:pt idx="87">
                  <c:v>731.14</c:v>
                </c:pt>
                <c:pt idx="88">
                  <c:v>769.48</c:v>
                </c:pt>
                <c:pt idx="89">
                  <c:v>780.45999999999947</c:v>
                </c:pt>
                <c:pt idx="90">
                  <c:v>541.08000000000004</c:v>
                </c:pt>
                <c:pt idx="91">
                  <c:v>649.89</c:v>
                </c:pt>
                <c:pt idx="92">
                  <c:v>754.12</c:v>
                </c:pt>
                <c:pt idx="93">
                  <c:v>722.18000000000052</c:v>
                </c:pt>
                <c:pt idx="94">
                  <c:v>680.92</c:v>
                </c:pt>
                <c:pt idx="95">
                  <c:v>701.85999999999797</c:v>
                </c:pt>
                <c:pt idx="96">
                  <c:v>684</c:v>
                </c:pt>
                <c:pt idx="97">
                  <c:v>655.83999999999946</c:v>
                </c:pt>
                <c:pt idx="98">
                  <c:v>659.6</c:v>
                </c:pt>
                <c:pt idx="99">
                  <c:v>584.27000000000055</c:v>
                </c:pt>
                <c:pt idx="100">
                  <c:v>621.51</c:v>
                </c:pt>
                <c:pt idx="101">
                  <c:v>608.69000000000005</c:v>
                </c:pt>
                <c:pt idx="102">
                  <c:v>442.72999999999894</c:v>
                </c:pt>
                <c:pt idx="103">
                  <c:v>507.55</c:v>
                </c:pt>
                <c:pt idx="104">
                  <c:v>637.83999999999946</c:v>
                </c:pt>
                <c:pt idx="105">
                  <c:v>609.25</c:v>
                </c:pt>
                <c:pt idx="106">
                  <c:v>525.24</c:v>
                </c:pt>
                <c:pt idx="107">
                  <c:v>558.03</c:v>
                </c:pt>
                <c:pt idx="108">
                  <c:v>514</c:v>
                </c:pt>
                <c:pt idx="109">
                  <c:v>510.04</c:v>
                </c:pt>
                <c:pt idx="110">
                  <c:v>504.96</c:v>
                </c:pt>
                <c:pt idx="111">
                  <c:v>448.68</c:v>
                </c:pt>
                <c:pt idx="112">
                  <c:v>471.24</c:v>
                </c:pt>
                <c:pt idx="113">
                  <c:v>458.47999999999894</c:v>
                </c:pt>
                <c:pt idx="114">
                  <c:v>341.58</c:v>
                </c:pt>
                <c:pt idx="115">
                  <c:v>357.12</c:v>
                </c:pt>
                <c:pt idx="116">
                  <c:v>480.62</c:v>
                </c:pt>
                <c:pt idx="117">
                  <c:v>417.62</c:v>
                </c:pt>
                <c:pt idx="118">
                  <c:v>409.26</c:v>
                </c:pt>
                <c:pt idx="119">
                  <c:v>419.40999999999963</c:v>
                </c:pt>
                <c:pt idx="120">
                  <c:v>374.15000000000032</c:v>
                </c:pt>
                <c:pt idx="121">
                  <c:v>381.1</c:v>
                </c:pt>
                <c:pt idx="122">
                  <c:v>344.76</c:v>
                </c:pt>
                <c:pt idx="123">
                  <c:v>338.41999999999899</c:v>
                </c:pt>
                <c:pt idx="124">
                  <c:v>356.17</c:v>
                </c:pt>
                <c:pt idx="125">
                  <c:v>320.91000000000003</c:v>
                </c:pt>
                <c:pt idx="126">
                  <c:v>244.56</c:v>
                </c:pt>
                <c:pt idx="127">
                  <c:v>297.76</c:v>
                </c:pt>
                <c:pt idx="128">
                  <c:v>318.89</c:v>
                </c:pt>
                <c:pt idx="129">
                  <c:v>312.08999999999969</c:v>
                </c:pt>
                <c:pt idx="130">
                  <c:v>299.45999999999964</c:v>
                </c:pt>
                <c:pt idx="131">
                  <c:v>319.11</c:v>
                </c:pt>
                <c:pt idx="132">
                  <c:v>294.37</c:v>
                </c:pt>
                <c:pt idx="133">
                  <c:v>292.10000000000002</c:v>
                </c:pt>
                <c:pt idx="134">
                  <c:v>260.13</c:v>
                </c:pt>
                <c:pt idx="135">
                  <c:v>246.44</c:v>
                </c:pt>
                <c:pt idx="136">
                  <c:v>267.24</c:v>
                </c:pt>
                <c:pt idx="137">
                  <c:v>238.18</c:v>
                </c:pt>
                <c:pt idx="138">
                  <c:v>191.37</c:v>
                </c:pt>
                <c:pt idx="139">
                  <c:v>217.03</c:v>
                </c:pt>
                <c:pt idx="140">
                  <c:v>245.03</c:v>
                </c:pt>
                <c:pt idx="141">
                  <c:v>240</c:v>
                </c:pt>
                <c:pt idx="142">
                  <c:v>227.91</c:v>
                </c:pt>
                <c:pt idx="143">
                  <c:v>239.89000000000001</c:v>
                </c:pt>
                <c:pt idx="144">
                  <c:v>235.4</c:v>
                </c:pt>
                <c:pt idx="145">
                  <c:v>228.88000000000059</c:v>
                </c:pt>
                <c:pt idx="146">
                  <c:v>220.81</c:v>
                </c:pt>
                <c:pt idx="147">
                  <c:v>208.14</c:v>
                </c:pt>
                <c:pt idx="148">
                  <c:v>227.92000000000004</c:v>
                </c:pt>
                <c:pt idx="149">
                  <c:v>231.39000000000001</c:v>
                </c:pt>
                <c:pt idx="150">
                  <c:v>191.99</c:v>
                </c:pt>
                <c:pt idx="151">
                  <c:v>169.26</c:v>
                </c:pt>
                <c:pt idx="152">
                  <c:v>219.86</c:v>
                </c:pt>
                <c:pt idx="153">
                  <c:v>221.55</c:v>
                </c:pt>
                <c:pt idx="154">
                  <c:v>228</c:v>
                </c:pt>
                <c:pt idx="155">
                  <c:v>229.73</c:v>
                </c:pt>
                <c:pt idx="156">
                  <c:v>233.29</c:v>
                </c:pt>
                <c:pt idx="157">
                  <c:v>214.79</c:v>
                </c:pt>
                <c:pt idx="158">
                  <c:v>221.93</c:v>
                </c:pt>
                <c:pt idx="159">
                  <c:v>201.05</c:v>
                </c:pt>
                <c:pt idx="160">
                  <c:v>205</c:v>
                </c:pt>
                <c:pt idx="161">
                  <c:v>201.46</c:v>
                </c:pt>
                <c:pt idx="162">
                  <c:v>147.75</c:v>
                </c:pt>
                <c:pt idx="163">
                  <c:v>167.97</c:v>
                </c:pt>
                <c:pt idx="164">
                  <c:v>202.39000000000001</c:v>
                </c:pt>
                <c:pt idx="165">
                  <c:v>194.76999999999998</c:v>
                </c:pt>
                <c:pt idx="166">
                  <c:v>182.32000000000059</c:v>
                </c:pt>
                <c:pt idx="167">
                  <c:v>185.76</c:v>
                </c:pt>
                <c:pt idx="168">
                  <c:v>183.25</c:v>
                </c:pt>
                <c:pt idx="169">
                  <c:v>173.39000000000001</c:v>
                </c:pt>
                <c:pt idx="170">
                  <c:v>153.97999999999999</c:v>
                </c:pt>
                <c:pt idx="171">
                  <c:v>155.32000000000059</c:v>
                </c:pt>
                <c:pt idx="172">
                  <c:v>148.04</c:v>
                </c:pt>
                <c:pt idx="173">
                  <c:v>148.78</c:v>
                </c:pt>
                <c:pt idx="174">
                  <c:v>110</c:v>
                </c:pt>
                <c:pt idx="175">
                  <c:v>113.93</c:v>
                </c:pt>
                <c:pt idx="176">
                  <c:v>200.01</c:v>
                </c:pt>
                <c:pt idx="177">
                  <c:v>151.28</c:v>
                </c:pt>
                <c:pt idx="178">
                  <c:v>147.30000000000001</c:v>
                </c:pt>
                <c:pt idx="179">
                  <c:v>154.76</c:v>
                </c:pt>
                <c:pt idx="180">
                  <c:v>155.57</c:v>
                </c:pt>
                <c:pt idx="181">
                  <c:v>161.57</c:v>
                </c:pt>
                <c:pt idx="182">
                  <c:v>156.09</c:v>
                </c:pt>
                <c:pt idx="183">
                  <c:v>149.26999999999998</c:v>
                </c:pt>
                <c:pt idx="184">
                  <c:v>159.52000000000001</c:v>
                </c:pt>
                <c:pt idx="185">
                  <c:v>153.76999999999998</c:v>
                </c:pt>
                <c:pt idx="186">
                  <c:v>121.58</c:v>
                </c:pt>
                <c:pt idx="187">
                  <c:v>126.76</c:v>
                </c:pt>
                <c:pt idx="188">
                  <c:v>191.9</c:v>
                </c:pt>
                <c:pt idx="189">
                  <c:v>167.52</c:v>
                </c:pt>
                <c:pt idx="190">
                  <c:v>178.17</c:v>
                </c:pt>
                <c:pt idx="191">
                  <c:v>165.63</c:v>
                </c:pt>
                <c:pt idx="192">
                  <c:v>160.26999999999998</c:v>
                </c:pt>
                <c:pt idx="193">
                  <c:v>155.46</c:v>
                </c:pt>
                <c:pt idx="194">
                  <c:v>153.72999999999999</c:v>
                </c:pt>
                <c:pt idx="195">
                  <c:v>151.91999999999999</c:v>
                </c:pt>
                <c:pt idx="196">
                  <c:v>147.94999999999999</c:v>
                </c:pt>
                <c:pt idx="197">
                  <c:v>140.47</c:v>
                </c:pt>
                <c:pt idx="198">
                  <c:v>98.47</c:v>
                </c:pt>
                <c:pt idx="199">
                  <c:v>116.92</c:v>
                </c:pt>
                <c:pt idx="200">
                  <c:v>183.26</c:v>
                </c:pt>
                <c:pt idx="201">
                  <c:v>136.20999999999998</c:v>
                </c:pt>
                <c:pt idx="202">
                  <c:v>152.19</c:v>
                </c:pt>
                <c:pt idx="203">
                  <c:v>134.19</c:v>
                </c:pt>
                <c:pt idx="204">
                  <c:v>141.34</c:v>
                </c:pt>
                <c:pt idx="205">
                  <c:v>124.26</c:v>
                </c:pt>
                <c:pt idx="206">
                  <c:v>122.66</c:v>
                </c:pt>
                <c:pt idx="207">
                  <c:v>121.55</c:v>
                </c:pt>
                <c:pt idx="208">
                  <c:v>113.82</c:v>
                </c:pt>
                <c:pt idx="209">
                  <c:v>104.07</c:v>
                </c:pt>
                <c:pt idx="210">
                  <c:v>86.54</c:v>
                </c:pt>
                <c:pt idx="211">
                  <c:v>91.649999999999991</c:v>
                </c:pt>
                <c:pt idx="212">
                  <c:v>172.45000000000007</c:v>
                </c:pt>
                <c:pt idx="213">
                  <c:v>121.78</c:v>
                </c:pt>
                <c:pt idx="214">
                  <c:v>123.43</c:v>
                </c:pt>
                <c:pt idx="215">
                  <c:v>124.31</c:v>
                </c:pt>
                <c:pt idx="216">
                  <c:v>125.32</c:v>
                </c:pt>
                <c:pt idx="217">
                  <c:v>122.72</c:v>
                </c:pt>
                <c:pt idx="218">
                  <c:v>140.38000000000059</c:v>
                </c:pt>
                <c:pt idx="219">
                  <c:v>128.33000000000001</c:v>
                </c:pt>
                <c:pt idx="220">
                  <c:v>120</c:v>
                </c:pt>
                <c:pt idx="221">
                  <c:v>128.79</c:v>
                </c:pt>
                <c:pt idx="222">
                  <c:v>99</c:v>
                </c:pt>
                <c:pt idx="223">
                  <c:v>81.900000000000006</c:v>
                </c:pt>
              </c:numCache>
            </c:numRef>
          </c:val>
        </c:ser>
        <c:marker val="1"/>
        <c:axId val="329303936"/>
        <c:axId val="329302400"/>
      </c:lineChart>
      <c:dateAx>
        <c:axId val="329286784"/>
        <c:scaling>
          <c:orientation val="minMax"/>
        </c:scaling>
        <c:axPos val="b"/>
        <c:numFmt formatCode="yyyy\-mm;@" sourceLinked="1"/>
        <c:tickLblPos val="low"/>
        <c:crossAx val="329288320"/>
        <c:crosses val="autoZero"/>
        <c:auto val="1"/>
        <c:lblOffset val="100"/>
        <c:majorUnit val="24"/>
        <c:majorTimeUnit val="months"/>
      </c:dateAx>
      <c:valAx>
        <c:axId val="329288320"/>
        <c:scaling>
          <c:orientation val="minMax"/>
        </c:scaling>
        <c:axPos val="l"/>
        <c:majorGridlines/>
        <c:numFmt formatCode="#,##0.00_ " sourceLinked="1"/>
        <c:tickLblPos val="nextTo"/>
        <c:crossAx val="329286784"/>
        <c:crosses val="autoZero"/>
        <c:crossBetween val="between"/>
      </c:valAx>
      <c:valAx>
        <c:axId val="329302400"/>
        <c:scaling>
          <c:orientation val="minMax"/>
        </c:scaling>
        <c:axPos val="r"/>
        <c:numFmt formatCode="#,##0.00_ " sourceLinked="1"/>
        <c:tickLblPos val="nextTo"/>
        <c:crossAx val="329303936"/>
        <c:crosses val="max"/>
        <c:crossBetween val="between"/>
      </c:valAx>
      <c:dateAx>
        <c:axId val="329303936"/>
        <c:scaling>
          <c:orientation val="minMax"/>
        </c:scaling>
        <c:delete val="1"/>
        <c:axPos val="b"/>
        <c:numFmt formatCode="yyyy\-mm;@" sourceLinked="1"/>
        <c:tickLblPos val="none"/>
        <c:crossAx val="329302400"/>
        <c:crosses val="autoZero"/>
        <c:auto val="1"/>
        <c:lblOffset val="100"/>
      </c:dateAx>
    </c:plotArea>
    <c:legend>
      <c:legendPos val="b"/>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88C2EE-10D8-4213-ADC9-33F695D5B968}" type="doc">
      <dgm:prSet loTypeId="urn:microsoft.com/office/officeart/2005/8/layout/cycle4" loCatId="cycle" qsTypeId="urn:microsoft.com/office/officeart/2005/8/quickstyle/simple1" qsCatId="simple" csTypeId="urn:microsoft.com/office/officeart/2005/8/colors/colorful1" csCatId="colorful" phldr="1"/>
      <dgm:spPr/>
      <dgm:t>
        <a:bodyPr/>
        <a:lstStyle/>
        <a:p>
          <a:endParaRPr lang="zh-CN" altLang="en-US"/>
        </a:p>
      </dgm:t>
    </dgm:pt>
    <dgm:pt modelId="{3B141A65-366C-4B8E-B9CD-302BAC9CFAD9}">
      <dgm:prSet phldrT="[文本]">
        <dgm:style>
          <a:lnRef idx="2">
            <a:schemeClr val="dk1"/>
          </a:lnRef>
          <a:fillRef idx="1">
            <a:schemeClr val="lt1"/>
          </a:fillRef>
          <a:effectRef idx="0">
            <a:schemeClr val="dk1"/>
          </a:effectRef>
          <a:fontRef idx="minor">
            <a:schemeClr val="dk1"/>
          </a:fontRef>
        </dgm:style>
      </dgm:prSet>
      <dgm:spPr/>
      <dgm:t>
        <a:bodyPr/>
        <a:lstStyle/>
        <a:p>
          <a:pPr algn="l"/>
          <a:r>
            <a:rPr lang="zh-CN" altLang="en-US"/>
            <a:t>股票</a:t>
          </a:r>
        </a:p>
      </dgm:t>
    </dgm:pt>
    <dgm:pt modelId="{393CCF99-D81E-4272-A1DC-ACA8AAC86A2E}" type="parTrans" cxnId="{939246E3-91CB-49D6-B3CC-1C404E84BBCC}">
      <dgm:prSet/>
      <dgm:spPr/>
      <dgm:t>
        <a:bodyPr/>
        <a:lstStyle/>
        <a:p>
          <a:pPr algn="l"/>
          <a:endParaRPr lang="zh-CN" altLang="en-US"/>
        </a:p>
      </dgm:t>
    </dgm:pt>
    <dgm:pt modelId="{8B190F8E-B728-4C17-B1D8-29FE306953F0}" type="sibTrans" cxnId="{939246E3-91CB-49D6-B3CC-1C404E84BBCC}">
      <dgm:prSet/>
      <dgm:spPr/>
      <dgm:t>
        <a:bodyPr/>
        <a:lstStyle/>
        <a:p>
          <a:pPr algn="l"/>
          <a:endParaRPr lang="zh-CN" altLang="en-US"/>
        </a:p>
      </dgm:t>
    </dgm:pt>
    <dgm:pt modelId="{9229F3FA-E09C-47BB-B890-2C1E4AB94923}">
      <dgm:prSet phldrT="[文本]" custT="1"/>
      <dgm:spPr/>
      <dgm:t>
        <a:bodyPr/>
        <a:lstStyle/>
        <a:p>
          <a:pPr algn="l"/>
          <a:r>
            <a:rPr lang="zh-CN" altLang="en-US" sz="900" b="1"/>
            <a:t>复苏</a:t>
          </a:r>
        </a:p>
      </dgm:t>
    </dgm:pt>
    <dgm:pt modelId="{C635BB42-9A88-4CD4-BDBD-576BF3A160A6}" type="parTrans" cxnId="{1633A9C2-7E76-42B5-A003-981E1F8CD970}">
      <dgm:prSet/>
      <dgm:spPr/>
      <dgm:t>
        <a:bodyPr/>
        <a:lstStyle/>
        <a:p>
          <a:pPr algn="l"/>
          <a:endParaRPr lang="zh-CN" altLang="en-US"/>
        </a:p>
      </dgm:t>
    </dgm:pt>
    <dgm:pt modelId="{002F36BD-6B18-43F9-B45D-2457E6D3316F}" type="sibTrans" cxnId="{1633A9C2-7E76-42B5-A003-981E1F8CD970}">
      <dgm:prSet/>
      <dgm:spPr/>
      <dgm:t>
        <a:bodyPr/>
        <a:lstStyle/>
        <a:p>
          <a:pPr algn="l"/>
          <a:endParaRPr lang="zh-CN" altLang="en-US"/>
        </a:p>
      </dgm:t>
    </dgm:pt>
    <dgm:pt modelId="{9CB8C842-BEA8-4C70-B336-C67BD45BB4A5}">
      <dgm:prSet phldrT="[文本]">
        <dgm:style>
          <a:lnRef idx="2">
            <a:schemeClr val="dk1"/>
          </a:lnRef>
          <a:fillRef idx="1">
            <a:schemeClr val="lt1"/>
          </a:fillRef>
          <a:effectRef idx="0">
            <a:schemeClr val="dk1"/>
          </a:effectRef>
          <a:fontRef idx="minor">
            <a:schemeClr val="dk1"/>
          </a:fontRef>
        </dgm:style>
      </dgm:prSet>
      <dgm:spPr/>
      <dgm:t>
        <a:bodyPr/>
        <a:lstStyle/>
        <a:p>
          <a:pPr algn="l"/>
          <a:r>
            <a:rPr lang="zh-CN" altLang="en-US"/>
            <a:t>大宗商品</a:t>
          </a:r>
        </a:p>
      </dgm:t>
    </dgm:pt>
    <dgm:pt modelId="{070042EF-1653-4F9B-8BCE-E326819D8AC5}" type="parTrans" cxnId="{C08E9DD6-83A2-4771-8CFF-17820811624E}">
      <dgm:prSet/>
      <dgm:spPr/>
      <dgm:t>
        <a:bodyPr/>
        <a:lstStyle/>
        <a:p>
          <a:pPr algn="l"/>
          <a:endParaRPr lang="zh-CN" altLang="en-US"/>
        </a:p>
      </dgm:t>
    </dgm:pt>
    <dgm:pt modelId="{06C3E04B-72B5-462E-A0B9-86D48DF5980B}" type="sibTrans" cxnId="{C08E9DD6-83A2-4771-8CFF-17820811624E}">
      <dgm:prSet/>
      <dgm:spPr/>
      <dgm:t>
        <a:bodyPr/>
        <a:lstStyle/>
        <a:p>
          <a:pPr algn="l"/>
          <a:endParaRPr lang="zh-CN" altLang="en-US"/>
        </a:p>
      </dgm:t>
    </dgm:pt>
    <dgm:pt modelId="{996FD55A-7B06-4BBA-B6F9-94895C7D5B23}">
      <dgm:prSet phldrT="[文本]" custT="1"/>
      <dgm:spPr/>
      <dgm:t>
        <a:bodyPr/>
        <a:lstStyle/>
        <a:p>
          <a:pPr algn="l"/>
          <a:r>
            <a:rPr lang="zh-CN" altLang="en-US" sz="900" b="1"/>
            <a:t>过热</a:t>
          </a:r>
        </a:p>
      </dgm:t>
    </dgm:pt>
    <dgm:pt modelId="{F9F8B4CA-8178-4915-8FC1-D356A9445FC3}" type="parTrans" cxnId="{8A124D6E-B458-47F9-B438-D1515A8BDF24}">
      <dgm:prSet/>
      <dgm:spPr/>
      <dgm:t>
        <a:bodyPr/>
        <a:lstStyle/>
        <a:p>
          <a:pPr algn="l"/>
          <a:endParaRPr lang="zh-CN" altLang="en-US"/>
        </a:p>
      </dgm:t>
    </dgm:pt>
    <dgm:pt modelId="{904F1406-299E-407D-8436-57D50CD129B6}" type="sibTrans" cxnId="{8A124D6E-B458-47F9-B438-D1515A8BDF24}">
      <dgm:prSet/>
      <dgm:spPr/>
      <dgm:t>
        <a:bodyPr/>
        <a:lstStyle/>
        <a:p>
          <a:pPr algn="l"/>
          <a:endParaRPr lang="zh-CN" altLang="en-US"/>
        </a:p>
      </dgm:t>
    </dgm:pt>
    <dgm:pt modelId="{8605E22C-EE27-41DE-B3C6-D52B59CE73D9}">
      <dgm:prSet phldrT="[文本]">
        <dgm:style>
          <a:lnRef idx="2">
            <a:schemeClr val="dk1"/>
          </a:lnRef>
          <a:fillRef idx="1">
            <a:schemeClr val="lt1"/>
          </a:fillRef>
          <a:effectRef idx="0">
            <a:schemeClr val="dk1"/>
          </a:effectRef>
          <a:fontRef idx="minor">
            <a:schemeClr val="dk1"/>
          </a:fontRef>
        </dgm:style>
      </dgm:prSet>
      <dgm:spPr/>
      <dgm:t>
        <a:bodyPr/>
        <a:lstStyle/>
        <a:p>
          <a:pPr algn="l"/>
          <a:r>
            <a:rPr lang="zh-CN" altLang="en-US"/>
            <a:t>现金</a:t>
          </a:r>
        </a:p>
      </dgm:t>
    </dgm:pt>
    <dgm:pt modelId="{914EFFD5-CE20-4DFE-941A-6D2CD30FF7D1}" type="parTrans" cxnId="{F2939F1C-DA06-4DD0-81D6-85C3419DB036}">
      <dgm:prSet/>
      <dgm:spPr/>
      <dgm:t>
        <a:bodyPr/>
        <a:lstStyle/>
        <a:p>
          <a:pPr algn="l"/>
          <a:endParaRPr lang="zh-CN" altLang="en-US"/>
        </a:p>
      </dgm:t>
    </dgm:pt>
    <dgm:pt modelId="{636D3C2B-6182-4418-BD1F-9EE614698E0C}" type="sibTrans" cxnId="{F2939F1C-DA06-4DD0-81D6-85C3419DB036}">
      <dgm:prSet/>
      <dgm:spPr/>
      <dgm:t>
        <a:bodyPr/>
        <a:lstStyle/>
        <a:p>
          <a:pPr algn="l"/>
          <a:endParaRPr lang="zh-CN" altLang="en-US"/>
        </a:p>
      </dgm:t>
    </dgm:pt>
    <dgm:pt modelId="{3EBCDA2D-4A74-4553-9F49-79AAE57719A6}">
      <dgm:prSet phldrT="[文本]" custT="1"/>
      <dgm:spPr/>
      <dgm:t>
        <a:bodyPr/>
        <a:lstStyle/>
        <a:p>
          <a:pPr algn="l"/>
          <a:r>
            <a:rPr lang="zh-CN" altLang="en-US" sz="900" b="1"/>
            <a:t>滞胀</a:t>
          </a:r>
        </a:p>
      </dgm:t>
    </dgm:pt>
    <dgm:pt modelId="{0BBC401F-CB26-4B91-A92C-CA4708DF2D37}" type="parTrans" cxnId="{F5414BFF-A746-4017-B325-58A87DB7BAAF}">
      <dgm:prSet/>
      <dgm:spPr/>
      <dgm:t>
        <a:bodyPr/>
        <a:lstStyle/>
        <a:p>
          <a:pPr algn="l"/>
          <a:endParaRPr lang="zh-CN" altLang="en-US"/>
        </a:p>
      </dgm:t>
    </dgm:pt>
    <dgm:pt modelId="{C5C57EE3-A015-41DA-962A-8D0C6061810F}" type="sibTrans" cxnId="{F5414BFF-A746-4017-B325-58A87DB7BAAF}">
      <dgm:prSet/>
      <dgm:spPr/>
      <dgm:t>
        <a:bodyPr/>
        <a:lstStyle/>
        <a:p>
          <a:pPr algn="l"/>
          <a:endParaRPr lang="zh-CN" altLang="en-US"/>
        </a:p>
      </dgm:t>
    </dgm:pt>
    <dgm:pt modelId="{18281675-7AB4-4D1F-A780-53328478E441}">
      <dgm:prSet phldrT="[文本]">
        <dgm:style>
          <a:lnRef idx="2">
            <a:schemeClr val="dk1"/>
          </a:lnRef>
          <a:fillRef idx="1">
            <a:schemeClr val="lt1"/>
          </a:fillRef>
          <a:effectRef idx="0">
            <a:schemeClr val="dk1"/>
          </a:effectRef>
          <a:fontRef idx="minor">
            <a:schemeClr val="dk1"/>
          </a:fontRef>
        </dgm:style>
      </dgm:prSet>
      <dgm:spPr/>
      <dgm:t>
        <a:bodyPr/>
        <a:lstStyle/>
        <a:p>
          <a:pPr algn="l"/>
          <a:r>
            <a:rPr lang="zh-CN" altLang="en-US"/>
            <a:t>债券</a:t>
          </a:r>
        </a:p>
      </dgm:t>
    </dgm:pt>
    <dgm:pt modelId="{B1B3AA6E-6B1E-45A5-B892-08E6B8F4B0D4}" type="parTrans" cxnId="{991EF9C5-FBD7-4B78-B73F-9154726D1121}">
      <dgm:prSet/>
      <dgm:spPr/>
      <dgm:t>
        <a:bodyPr/>
        <a:lstStyle/>
        <a:p>
          <a:pPr algn="l"/>
          <a:endParaRPr lang="zh-CN" altLang="en-US"/>
        </a:p>
      </dgm:t>
    </dgm:pt>
    <dgm:pt modelId="{17E56432-3729-4EB4-95F4-427018EA1A75}" type="sibTrans" cxnId="{991EF9C5-FBD7-4B78-B73F-9154726D1121}">
      <dgm:prSet/>
      <dgm:spPr/>
      <dgm:t>
        <a:bodyPr/>
        <a:lstStyle/>
        <a:p>
          <a:pPr algn="l"/>
          <a:endParaRPr lang="zh-CN" altLang="en-US"/>
        </a:p>
      </dgm:t>
    </dgm:pt>
    <dgm:pt modelId="{985DDC0A-B423-422A-BE22-A9149FB89DBB}">
      <dgm:prSet phldrT="[文本]" custT="1"/>
      <dgm:spPr/>
      <dgm:t>
        <a:bodyPr/>
        <a:lstStyle/>
        <a:p>
          <a:pPr algn="l"/>
          <a:r>
            <a:rPr lang="zh-CN" altLang="en-US" sz="900" b="1"/>
            <a:t>衰退</a:t>
          </a:r>
        </a:p>
      </dgm:t>
    </dgm:pt>
    <dgm:pt modelId="{4B1F11B6-022E-4D0A-9C91-619467292799}" type="parTrans" cxnId="{317871E7-9776-43BA-BF97-F8535F6CE22A}">
      <dgm:prSet/>
      <dgm:spPr/>
      <dgm:t>
        <a:bodyPr/>
        <a:lstStyle/>
        <a:p>
          <a:pPr algn="l"/>
          <a:endParaRPr lang="zh-CN" altLang="en-US"/>
        </a:p>
      </dgm:t>
    </dgm:pt>
    <dgm:pt modelId="{5C7C8402-2D41-45BF-BDC6-CD1D966C07B2}" type="sibTrans" cxnId="{317871E7-9776-43BA-BF97-F8535F6CE22A}">
      <dgm:prSet/>
      <dgm:spPr/>
      <dgm:t>
        <a:bodyPr/>
        <a:lstStyle/>
        <a:p>
          <a:pPr algn="l"/>
          <a:endParaRPr lang="zh-CN" altLang="en-US"/>
        </a:p>
      </dgm:t>
    </dgm:pt>
    <dgm:pt modelId="{A72ED78E-3490-4DDF-8E4B-CE4D1CAEA777}" type="pres">
      <dgm:prSet presAssocID="{2988C2EE-10D8-4213-ADC9-33F695D5B968}" presName="cycleMatrixDiagram" presStyleCnt="0">
        <dgm:presLayoutVars>
          <dgm:chMax val="1"/>
          <dgm:dir/>
          <dgm:animLvl val="lvl"/>
          <dgm:resizeHandles val="exact"/>
        </dgm:presLayoutVars>
      </dgm:prSet>
      <dgm:spPr/>
      <dgm:t>
        <a:bodyPr/>
        <a:lstStyle/>
        <a:p>
          <a:endParaRPr lang="zh-CN" altLang="en-US"/>
        </a:p>
      </dgm:t>
    </dgm:pt>
    <dgm:pt modelId="{2F4B2FD8-1A50-4973-9D41-BCFEDDB7F649}" type="pres">
      <dgm:prSet presAssocID="{2988C2EE-10D8-4213-ADC9-33F695D5B968}" presName="children" presStyleCnt="0"/>
      <dgm:spPr/>
    </dgm:pt>
    <dgm:pt modelId="{ECF64B32-F9EE-471C-980F-42035BBB148E}" type="pres">
      <dgm:prSet presAssocID="{2988C2EE-10D8-4213-ADC9-33F695D5B968}" presName="child1group" presStyleCnt="0"/>
      <dgm:spPr/>
    </dgm:pt>
    <dgm:pt modelId="{A0540512-B701-48C3-B898-FB1C60848E76}" type="pres">
      <dgm:prSet presAssocID="{2988C2EE-10D8-4213-ADC9-33F695D5B968}" presName="child1" presStyleLbl="bgAcc1" presStyleIdx="0" presStyleCnt="4" custScaleX="51012" custScaleY="38080"/>
      <dgm:spPr/>
      <dgm:t>
        <a:bodyPr/>
        <a:lstStyle/>
        <a:p>
          <a:endParaRPr lang="zh-CN" altLang="en-US"/>
        </a:p>
      </dgm:t>
    </dgm:pt>
    <dgm:pt modelId="{D60B6F84-5B2B-4226-9E65-B8A954DA858D}" type="pres">
      <dgm:prSet presAssocID="{2988C2EE-10D8-4213-ADC9-33F695D5B968}" presName="child1Text" presStyleLbl="bgAcc1" presStyleIdx="0" presStyleCnt="4">
        <dgm:presLayoutVars>
          <dgm:bulletEnabled val="1"/>
        </dgm:presLayoutVars>
      </dgm:prSet>
      <dgm:spPr/>
      <dgm:t>
        <a:bodyPr/>
        <a:lstStyle/>
        <a:p>
          <a:endParaRPr lang="zh-CN" altLang="en-US"/>
        </a:p>
      </dgm:t>
    </dgm:pt>
    <dgm:pt modelId="{09516F40-9E69-4AEE-888D-D06BC8F3352A}" type="pres">
      <dgm:prSet presAssocID="{2988C2EE-10D8-4213-ADC9-33F695D5B968}" presName="child2group" presStyleCnt="0"/>
      <dgm:spPr/>
    </dgm:pt>
    <dgm:pt modelId="{F378F43E-02BE-42D5-BE7A-9BDB94FA934B}" type="pres">
      <dgm:prSet presAssocID="{2988C2EE-10D8-4213-ADC9-33F695D5B968}" presName="child2" presStyleLbl="bgAcc1" presStyleIdx="1" presStyleCnt="4" custScaleX="46332" custScaleY="36145"/>
      <dgm:spPr/>
      <dgm:t>
        <a:bodyPr/>
        <a:lstStyle/>
        <a:p>
          <a:endParaRPr lang="zh-CN" altLang="en-US"/>
        </a:p>
      </dgm:t>
    </dgm:pt>
    <dgm:pt modelId="{C4D51232-874A-4BE7-8DFA-991440C27D1A}" type="pres">
      <dgm:prSet presAssocID="{2988C2EE-10D8-4213-ADC9-33F695D5B968}" presName="child2Text" presStyleLbl="bgAcc1" presStyleIdx="1" presStyleCnt="4">
        <dgm:presLayoutVars>
          <dgm:bulletEnabled val="1"/>
        </dgm:presLayoutVars>
      </dgm:prSet>
      <dgm:spPr/>
      <dgm:t>
        <a:bodyPr/>
        <a:lstStyle/>
        <a:p>
          <a:endParaRPr lang="zh-CN" altLang="en-US"/>
        </a:p>
      </dgm:t>
    </dgm:pt>
    <dgm:pt modelId="{981C2B54-507A-48DB-9A8A-84EFC9FF2EBB}" type="pres">
      <dgm:prSet presAssocID="{2988C2EE-10D8-4213-ADC9-33F695D5B968}" presName="child3group" presStyleCnt="0"/>
      <dgm:spPr/>
    </dgm:pt>
    <dgm:pt modelId="{1252333F-0D02-4FC7-86FD-6C5CCE38141B}" type="pres">
      <dgm:prSet presAssocID="{2988C2EE-10D8-4213-ADC9-33F695D5B968}" presName="child3" presStyleLbl="bgAcc1" presStyleIdx="2" presStyleCnt="4" custScaleX="47586" custScaleY="39319"/>
      <dgm:spPr/>
      <dgm:t>
        <a:bodyPr/>
        <a:lstStyle/>
        <a:p>
          <a:endParaRPr lang="zh-CN" altLang="en-US"/>
        </a:p>
      </dgm:t>
    </dgm:pt>
    <dgm:pt modelId="{EE82D807-ADBD-4E71-B93C-81E2E02C07E2}" type="pres">
      <dgm:prSet presAssocID="{2988C2EE-10D8-4213-ADC9-33F695D5B968}" presName="child3Text" presStyleLbl="bgAcc1" presStyleIdx="2" presStyleCnt="4">
        <dgm:presLayoutVars>
          <dgm:bulletEnabled val="1"/>
        </dgm:presLayoutVars>
      </dgm:prSet>
      <dgm:spPr/>
      <dgm:t>
        <a:bodyPr/>
        <a:lstStyle/>
        <a:p>
          <a:endParaRPr lang="zh-CN" altLang="en-US"/>
        </a:p>
      </dgm:t>
    </dgm:pt>
    <dgm:pt modelId="{DA99FFE7-2337-402D-9B4A-239CE706A79D}" type="pres">
      <dgm:prSet presAssocID="{2988C2EE-10D8-4213-ADC9-33F695D5B968}" presName="child4group" presStyleCnt="0"/>
      <dgm:spPr/>
    </dgm:pt>
    <dgm:pt modelId="{BD9324CF-29D9-4860-A3D7-9414065C027C}" type="pres">
      <dgm:prSet presAssocID="{2988C2EE-10D8-4213-ADC9-33F695D5B968}" presName="child4" presStyleLbl="bgAcc1" presStyleIdx="3" presStyleCnt="4" custScaleX="52265" custScaleY="41950"/>
      <dgm:spPr/>
      <dgm:t>
        <a:bodyPr/>
        <a:lstStyle/>
        <a:p>
          <a:endParaRPr lang="zh-CN" altLang="en-US"/>
        </a:p>
      </dgm:t>
    </dgm:pt>
    <dgm:pt modelId="{01C67E80-1A5A-487E-BDB7-13ACD349DC1A}" type="pres">
      <dgm:prSet presAssocID="{2988C2EE-10D8-4213-ADC9-33F695D5B968}" presName="child4Text" presStyleLbl="bgAcc1" presStyleIdx="3" presStyleCnt="4">
        <dgm:presLayoutVars>
          <dgm:bulletEnabled val="1"/>
        </dgm:presLayoutVars>
      </dgm:prSet>
      <dgm:spPr/>
      <dgm:t>
        <a:bodyPr/>
        <a:lstStyle/>
        <a:p>
          <a:endParaRPr lang="zh-CN" altLang="en-US"/>
        </a:p>
      </dgm:t>
    </dgm:pt>
    <dgm:pt modelId="{2BEB221D-0452-427D-B4B5-2B1FDFF30B99}" type="pres">
      <dgm:prSet presAssocID="{2988C2EE-10D8-4213-ADC9-33F695D5B968}" presName="childPlaceholder" presStyleCnt="0"/>
      <dgm:spPr/>
    </dgm:pt>
    <dgm:pt modelId="{D949E82C-2DF0-49A5-8CFE-39451783132A}" type="pres">
      <dgm:prSet presAssocID="{2988C2EE-10D8-4213-ADC9-33F695D5B968}" presName="circle" presStyleCnt="0"/>
      <dgm:spPr/>
    </dgm:pt>
    <dgm:pt modelId="{EE1F9D75-344B-451C-B4D2-C984AE529811}" type="pres">
      <dgm:prSet presAssocID="{2988C2EE-10D8-4213-ADC9-33F695D5B968}" presName="quadrant1" presStyleLbl="node1" presStyleIdx="0" presStyleCnt="4">
        <dgm:presLayoutVars>
          <dgm:chMax val="1"/>
          <dgm:bulletEnabled val="1"/>
        </dgm:presLayoutVars>
      </dgm:prSet>
      <dgm:spPr/>
      <dgm:t>
        <a:bodyPr/>
        <a:lstStyle/>
        <a:p>
          <a:endParaRPr lang="zh-CN" altLang="en-US"/>
        </a:p>
      </dgm:t>
    </dgm:pt>
    <dgm:pt modelId="{78EA62B2-D17A-4541-9252-3E0A83593A19}" type="pres">
      <dgm:prSet presAssocID="{2988C2EE-10D8-4213-ADC9-33F695D5B968}" presName="quadrant2" presStyleLbl="node1" presStyleIdx="1" presStyleCnt="4">
        <dgm:presLayoutVars>
          <dgm:chMax val="1"/>
          <dgm:bulletEnabled val="1"/>
        </dgm:presLayoutVars>
      </dgm:prSet>
      <dgm:spPr/>
      <dgm:t>
        <a:bodyPr/>
        <a:lstStyle/>
        <a:p>
          <a:endParaRPr lang="zh-CN" altLang="en-US"/>
        </a:p>
      </dgm:t>
    </dgm:pt>
    <dgm:pt modelId="{BA635CD4-43A1-47EF-8CFC-97223EB460E8}" type="pres">
      <dgm:prSet presAssocID="{2988C2EE-10D8-4213-ADC9-33F695D5B968}" presName="quadrant3" presStyleLbl="node1" presStyleIdx="2" presStyleCnt="4">
        <dgm:presLayoutVars>
          <dgm:chMax val="1"/>
          <dgm:bulletEnabled val="1"/>
        </dgm:presLayoutVars>
      </dgm:prSet>
      <dgm:spPr/>
      <dgm:t>
        <a:bodyPr/>
        <a:lstStyle/>
        <a:p>
          <a:endParaRPr lang="zh-CN" altLang="en-US"/>
        </a:p>
      </dgm:t>
    </dgm:pt>
    <dgm:pt modelId="{62F71D8E-3F22-4FC3-B80D-C3847B080AC4}" type="pres">
      <dgm:prSet presAssocID="{2988C2EE-10D8-4213-ADC9-33F695D5B968}" presName="quadrant4" presStyleLbl="node1" presStyleIdx="3" presStyleCnt="4">
        <dgm:presLayoutVars>
          <dgm:chMax val="1"/>
          <dgm:bulletEnabled val="1"/>
        </dgm:presLayoutVars>
      </dgm:prSet>
      <dgm:spPr/>
      <dgm:t>
        <a:bodyPr/>
        <a:lstStyle/>
        <a:p>
          <a:endParaRPr lang="zh-CN" altLang="en-US"/>
        </a:p>
      </dgm:t>
    </dgm:pt>
    <dgm:pt modelId="{0BF1E787-6F97-412F-9BAE-BF28215EEBAF}" type="pres">
      <dgm:prSet presAssocID="{2988C2EE-10D8-4213-ADC9-33F695D5B968}" presName="quadrantPlaceholder" presStyleCnt="0"/>
      <dgm:spPr/>
    </dgm:pt>
    <dgm:pt modelId="{9E4E9015-0F61-4303-A4B8-D36C52D0C19E}" type="pres">
      <dgm:prSet presAssocID="{2988C2EE-10D8-4213-ADC9-33F695D5B968}" presName="center1" presStyleLbl="fgShp" presStyleIdx="0" presStyleCnt="2"/>
      <dgm:spPr/>
    </dgm:pt>
    <dgm:pt modelId="{1416429F-BE32-4A43-AFB4-D5617F92432D}" type="pres">
      <dgm:prSet presAssocID="{2988C2EE-10D8-4213-ADC9-33F695D5B968}" presName="center2" presStyleLbl="fgShp" presStyleIdx="1" presStyleCnt="2"/>
      <dgm:spPr/>
    </dgm:pt>
  </dgm:ptLst>
  <dgm:cxnLst>
    <dgm:cxn modelId="{A323C799-B7D7-4DE3-A176-E48D031C7190}" type="presOf" srcId="{9CB8C842-BEA8-4C70-B336-C67BD45BB4A5}" destId="{78EA62B2-D17A-4541-9252-3E0A83593A19}" srcOrd="0" destOrd="0" presId="urn:microsoft.com/office/officeart/2005/8/layout/cycle4"/>
    <dgm:cxn modelId="{58C936E8-A6F8-4E99-B7ED-CB7CEE2A4D3F}" type="presOf" srcId="{3B141A65-366C-4B8E-B9CD-302BAC9CFAD9}" destId="{EE1F9D75-344B-451C-B4D2-C984AE529811}" srcOrd="0" destOrd="0" presId="urn:microsoft.com/office/officeart/2005/8/layout/cycle4"/>
    <dgm:cxn modelId="{D49289F3-42CF-47EF-ABF0-8B526B3617B2}" type="presOf" srcId="{3EBCDA2D-4A74-4553-9F49-79AAE57719A6}" destId="{1252333F-0D02-4FC7-86FD-6C5CCE38141B}" srcOrd="0" destOrd="0" presId="urn:microsoft.com/office/officeart/2005/8/layout/cycle4"/>
    <dgm:cxn modelId="{85DF5949-F89B-480D-99B5-CEFB030F1A2E}" type="presOf" srcId="{985DDC0A-B423-422A-BE22-A9149FB89DBB}" destId="{BD9324CF-29D9-4860-A3D7-9414065C027C}" srcOrd="0" destOrd="0" presId="urn:microsoft.com/office/officeart/2005/8/layout/cycle4"/>
    <dgm:cxn modelId="{A16C7535-A77F-4BA2-BA5D-2C34A64E9819}" type="presOf" srcId="{8605E22C-EE27-41DE-B3C6-D52B59CE73D9}" destId="{BA635CD4-43A1-47EF-8CFC-97223EB460E8}" srcOrd="0" destOrd="0" presId="urn:microsoft.com/office/officeart/2005/8/layout/cycle4"/>
    <dgm:cxn modelId="{F3338DD3-E362-433E-A8D7-1726B1EBBE98}" type="presOf" srcId="{996FD55A-7B06-4BBA-B6F9-94895C7D5B23}" destId="{C4D51232-874A-4BE7-8DFA-991440C27D1A}" srcOrd="1" destOrd="0" presId="urn:microsoft.com/office/officeart/2005/8/layout/cycle4"/>
    <dgm:cxn modelId="{1633A9C2-7E76-42B5-A003-981E1F8CD970}" srcId="{3B141A65-366C-4B8E-B9CD-302BAC9CFAD9}" destId="{9229F3FA-E09C-47BB-B890-2C1E4AB94923}" srcOrd="0" destOrd="0" parTransId="{C635BB42-9A88-4CD4-BDBD-576BF3A160A6}" sibTransId="{002F36BD-6B18-43F9-B45D-2457E6D3316F}"/>
    <dgm:cxn modelId="{D34F8C0D-A3E1-4E85-A4A0-9BCBD8C54F42}" type="presOf" srcId="{3EBCDA2D-4A74-4553-9F49-79AAE57719A6}" destId="{EE82D807-ADBD-4E71-B93C-81E2E02C07E2}" srcOrd="1" destOrd="0" presId="urn:microsoft.com/office/officeart/2005/8/layout/cycle4"/>
    <dgm:cxn modelId="{C08E9DD6-83A2-4771-8CFF-17820811624E}" srcId="{2988C2EE-10D8-4213-ADC9-33F695D5B968}" destId="{9CB8C842-BEA8-4C70-B336-C67BD45BB4A5}" srcOrd="1" destOrd="0" parTransId="{070042EF-1653-4F9B-8BCE-E326819D8AC5}" sibTransId="{06C3E04B-72B5-462E-A0B9-86D48DF5980B}"/>
    <dgm:cxn modelId="{E0270CBB-678B-4122-8C8B-744B04578BAF}" type="presOf" srcId="{985DDC0A-B423-422A-BE22-A9149FB89DBB}" destId="{01C67E80-1A5A-487E-BDB7-13ACD349DC1A}" srcOrd="1" destOrd="0" presId="urn:microsoft.com/office/officeart/2005/8/layout/cycle4"/>
    <dgm:cxn modelId="{F2939F1C-DA06-4DD0-81D6-85C3419DB036}" srcId="{2988C2EE-10D8-4213-ADC9-33F695D5B968}" destId="{8605E22C-EE27-41DE-B3C6-D52B59CE73D9}" srcOrd="2" destOrd="0" parTransId="{914EFFD5-CE20-4DFE-941A-6D2CD30FF7D1}" sibTransId="{636D3C2B-6182-4418-BD1F-9EE614698E0C}"/>
    <dgm:cxn modelId="{939246E3-91CB-49D6-B3CC-1C404E84BBCC}" srcId="{2988C2EE-10D8-4213-ADC9-33F695D5B968}" destId="{3B141A65-366C-4B8E-B9CD-302BAC9CFAD9}" srcOrd="0" destOrd="0" parTransId="{393CCF99-D81E-4272-A1DC-ACA8AAC86A2E}" sibTransId="{8B190F8E-B728-4C17-B1D8-29FE306953F0}"/>
    <dgm:cxn modelId="{C9160F44-463E-4FCF-A314-F2D1F9D32C71}" type="presOf" srcId="{9229F3FA-E09C-47BB-B890-2C1E4AB94923}" destId="{D60B6F84-5B2B-4226-9E65-B8A954DA858D}" srcOrd="1" destOrd="0" presId="urn:microsoft.com/office/officeart/2005/8/layout/cycle4"/>
    <dgm:cxn modelId="{D7F1653D-1C68-454C-82D0-FBF2349ED137}" type="presOf" srcId="{9229F3FA-E09C-47BB-B890-2C1E4AB94923}" destId="{A0540512-B701-48C3-B898-FB1C60848E76}" srcOrd="0" destOrd="0" presId="urn:microsoft.com/office/officeart/2005/8/layout/cycle4"/>
    <dgm:cxn modelId="{B6ABD8BF-B8D1-418E-9EA6-1A73BB1BE750}" type="presOf" srcId="{996FD55A-7B06-4BBA-B6F9-94895C7D5B23}" destId="{F378F43E-02BE-42D5-BE7A-9BDB94FA934B}" srcOrd="0" destOrd="0" presId="urn:microsoft.com/office/officeart/2005/8/layout/cycle4"/>
    <dgm:cxn modelId="{C9941329-A571-4E5B-B5ED-70020D640D64}" type="presOf" srcId="{18281675-7AB4-4D1F-A780-53328478E441}" destId="{62F71D8E-3F22-4FC3-B80D-C3847B080AC4}" srcOrd="0" destOrd="0" presId="urn:microsoft.com/office/officeart/2005/8/layout/cycle4"/>
    <dgm:cxn modelId="{F5414BFF-A746-4017-B325-58A87DB7BAAF}" srcId="{8605E22C-EE27-41DE-B3C6-D52B59CE73D9}" destId="{3EBCDA2D-4A74-4553-9F49-79AAE57719A6}" srcOrd="0" destOrd="0" parTransId="{0BBC401F-CB26-4B91-A92C-CA4708DF2D37}" sibTransId="{C5C57EE3-A015-41DA-962A-8D0C6061810F}"/>
    <dgm:cxn modelId="{317871E7-9776-43BA-BF97-F8535F6CE22A}" srcId="{18281675-7AB4-4D1F-A780-53328478E441}" destId="{985DDC0A-B423-422A-BE22-A9149FB89DBB}" srcOrd="0" destOrd="0" parTransId="{4B1F11B6-022E-4D0A-9C91-619467292799}" sibTransId="{5C7C8402-2D41-45BF-BDC6-CD1D966C07B2}"/>
    <dgm:cxn modelId="{8A124D6E-B458-47F9-B438-D1515A8BDF24}" srcId="{9CB8C842-BEA8-4C70-B336-C67BD45BB4A5}" destId="{996FD55A-7B06-4BBA-B6F9-94895C7D5B23}" srcOrd="0" destOrd="0" parTransId="{F9F8B4CA-8178-4915-8FC1-D356A9445FC3}" sibTransId="{904F1406-299E-407D-8436-57D50CD129B6}"/>
    <dgm:cxn modelId="{991EF9C5-FBD7-4B78-B73F-9154726D1121}" srcId="{2988C2EE-10D8-4213-ADC9-33F695D5B968}" destId="{18281675-7AB4-4D1F-A780-53328478E441}" srcOrd="3" destOrd="0" parTransId="{B1B3AA6E-6B1E-45A5-B892-08E6B8F4B0D4}" sibTransId="{17E56432-3729-4EB4-95F4-427018EA1A75}"/>
    <dgm:cxn modelId="{5EC499CD-69B4-4BDB-9F4D-3FCB552034D6}" type="presOf" srcId="{2988C2EE-10D8-4213-ADC9-33F695D5B968}" destId="{A72ED78E-3490-4DDF-8E4B-CE4D1CAEA777}" srcOrd="0" destOrd="0" presId="urn:microsoft.com/office/officeart/2005/8/layout/cycle4"/>
    <dgm:cxn modelId="{F6A3603F-8499-44FE-9565-4141075F4DFA}" type="presParOf" srcId="{A72ED78E-3490-4DDF-8E4B-CE4D1CAEA777}" destId="{2F4B2FD8-1A50-4973-9D41-BCFEDDB7F649}" srcOrd="0" destOrd="0" presId="urn:microsoft.com/office/officeart/2005/8/layout/cycle4"/>
    <dgm:cxn modelId="{C089355E-6404-435E-81CF-C8A707275DA3}" type="presParOf" srcId="{2F4B2FD8-1A50-4973-9D41-BCFEDDB7F649}" destId="{ECF64B32-F9EE-471C-980F-42035BBB148E}" srcOrd="0" destOrd="0" presId="urn:microsoft.com/office/officeart/2005/8/layout/cycle4"/>
    <dgm:cxn modelId="{45B3E75E-EE39-43E9-8B2C-74E8B84141DB}" type="presParOf" srcId="{ECF64B32-F9EE-471C-980F-42035BBB148E}" destId="{A0540512-B701-48C3-B898-FB1C60848E76}" srcOrd="0" destOrd="0" presId="urn:microsoft.com/office/officeart/2005/8/layout/cycle4"/>
    <dgm:cxn modelId="{077858D2-C371-4A93-8B4C-8027BB1BF6F4}" type="presParOf" srcId="{ECF64B32-F9EE-471C-980F-42035BBB148E}" destId="{D60B6F84-5B2B-4226-9E65-B8A954DA858D}" srcOrd="1" destOrd="0" presId="urn:microsoft.com/office/officeart/2005/8/layout/cycle4"/>
    <dgm:cxn modelId="{702D2A6E-876C-4300-B83B-CF5506412EE2}" type="presParOf" srcId="{2F4B2FD8-1A50-4973-9D41-BCFEDDB7F649}" destId="{09516F40-9E69-4AEE-888D-D06BC8F3352A}" srcOrd="1" destOrd="0" presId="urn:microsoft.com/office/officeart/2005/8/layout/cycle4"/>
    <dgm:cxn modelId="{D9E900C7-2F45-4D06-A64D-CCB1470DC005}" type="presParOf" srcId="{09516F40-9E69-4AEE-888D-D06BC8F3352A}" destId="{F378F43E-02BE-42D5-BE7A-9BDB94FA934B}" srcOrd="0" destOrd="0" presId="urn:microsoft.com/office/officeart/2005/8/layout/cycle4"/>
    <dgm:cxn modelId="{483727DF-052D-4CD6-B192-D10A99BB0A7D}" type="presParOf" srcId="{09516F40-9E69-4AEE-888D-D06BC8F3352A}" destId="{C4D51232-874A-4BE7-8DFA-991440C27D1A}" srcOrd="1" destOrd="0" presId="urn:microsoft.com/office/officeart/2005/8/layout/cycle4"/>
    <dgm:cxn modelId="{44DD50AB-8F96-416E-AF8E-627F96D64D81}" type="presParOf" srcId="{2F4B2FD8-1A50-4973-9D41-BCFEDDB7F649}" destId="{981C2B54-507A-48DB-9A8A-84EFC9FF2EBB}" srcOrd="2" destOrd="0" presId="urn:microsoft.com/office/officeart/2005/8/layout/cycle4"/>
    <dgm:cxn modelId="{63E25466-EED4-451A-AEFE-FD91475A0DA5}" type="presParOf" srcId="{981C2B54-507A-48DB-9A8A-84EFC9FF2EBB}" destId="{1252333F-0D02-4FC7-86FD-6C5CCE38141B}" srcOrd="0" destOrd="0" presId="urn:microsoft.com/office/officeart/2005/8/layout/cycle4"/>
    <dgm:cxn modelId="{A5A60190-9390-49E3-9A1E-EA943C0BE7AF}" type="presParOf" srcId="{981C2B54-507A-48DB-9A8A-84EFC9FF2EBB}" destId="{EE82D807-ADBD-4E71-B93C-81E2E02C07E2}" srcOrd="1" destOrd="0" presId="urn:microsoft.com/office/officeart/2005/8/layout/cycle4"/>
    <dgm:cxn modelId="{0E14F4B2-5D37-43C2-8014-3DE64700E318}" type="presParOf" srcId="{2F4B2FD8-1A50-4973-9D41-BCFEDDB7F649}" destId="{DA99FFE7-2337-402D-9B4A-239CE706A79D}" srcOrd="3" destOrd="0" presId="urn:microsoft.com/office/officeart/2005/8/layout/cycle4"/>
    <dgm:cxn modelId="{EA425DE9-59FA-40E2-9374-BBB31D03662A}" type="presParOf" srcId="{DA99FFE7-2337-402D-9B4A-239CE706A79D}" destId="{BD9324CF-29D9-4860-A3D7-9414065C027C}" srcOrd="0" destOrd="0" presId="urn:microsoft.com/office/officeart/2005/8/layout/cycle4"/>
    <dgm:cxn modelId="{7162FE1B-02A7-472D-A964-BD25DA77ED6E}" type="presParOf" srcId="{DA99FFE7-2337-402D-9B4A-239CE706A79D}" destId="{01C67E80-1A5A-487E-BDB7-13ACD349DC1A}" srcOrd="1" destOrd="0" presId="urn:microsoft.com/office/officeart/2005/8/layout/cycle4"/>
    <dgm:cxn modelId="{46BA9DDB-C5F0-4A07-A763-BE836145A1E2}" type="presParOf" srcId="{2F4B2FD8-1A50-4973-9D41-BCFEDDB7F649}" destId="{2BEB221D-0452-427D-B4B5-2B1FDFF30B99}" srcOrd="4" destOrd="0" presId="urn:microsoft.com/office/officeart/2005/8/layout/cycle4"/>
    <dgm:cxn modelId="{18A6D2C4-1E8F-4480-A155-057E866B4628}" type="presParOf" srcId="{A72ED78E-3490-4DDF-8E4B-CE4D1CAEA777}" destId="{D949E82C-2DF0-49A5-8CFE-39451783132A}" srcOrd="1" destOrd="0" presId="urn:microsoft.com/office/officeart/2005/8/layout/cycle4"/>
    <dgm:cxn modelId="{C48679C9-79D8-4330-9170-3FF30B158035}" type="presParOf" srcId="{D949E82C-2DF0-49A5-8CFE-39451783132A}" destId="{EE1F9D75-344B-451C-B4D2-C984AE529811}" srcOrd="0" destOrd="0" presId="urn:microsoft.com/office/officeart/2005/8/layout/cycle4"/>
    <dgm:cxn modelId="{23616A9C-DA82-40E9-9389-E0D53A95AC36}" type="presParOf" srcId="{D949E82C-2DF0-49A5-8CFE-39451783132A}" destId="{78EA62B2-D17A-4541-9252-3E0A83593A19}" srcOrd="1" destOrd="0" presId="urn:microsoft.com/office/officeart/2005/8/layout/cycle4"/>
    <dgm:cxn modelId="{459FF260-D905-4B5B-8F95-914B718C22FB}" type="presParOf" srcId="{D949E82C-2DF0-49A5-8CFE-39451783132A}" destId="{BA635CD4-43A1-47EF-8CFC-97223EB460E8}" srcOrd="2" destOrd="0" presId="urn:microsoft.com/office/officeart/2005/8/layout/cycle4"/>
    <dgm:cxn modelId="{02F87B3C-09AA-4ED0-9802-89FCB9530423}" type="presParOf" srcId="{D949E82C-2DF0-49A5-8CFE-39451783132A}" destId="{62F71D8E-3F22-4FC3-B80D-C3847B080AC4}" srcOrd="3" destOrd="0" presId="urn:microsoft.com/office/officeart/2005/8/layout/cycle4"/>
    <dgm:cxn modelId="{70303406-7710-4256-A480-1FDDAF9CEBB5}" type="presParOf" srcId="{D949E82C-2DF0-49A5-8CFE-39451783132A}" destId="{0BF1E787-6F97-412F-9BAE-BF28215EEBAF}" srcOrd="4" destOrd="0" presId="urn:microsoft.com/office/officeart/2005/8/layout/cycle4"/>
    <dgm:cxn modelId="{E6A8E381-8EE7-4789-A1AA-245B92C37BED}" type="presParOf" srcId="{A72ED78E-3490-4DDF-8E4B-CE4D1CAEA777}" destId="{9E4E9015-0F61-4303-A4B8-D36C52D0C19E}" srcOrd="2" destOrd="0" presId="urn:microsoft.com/office/officeart/2005/8/layout/cycle4"/>
    <dgm:cxn modelId="{40AACFCD-A557-4B43-B2DA-9A3D97F9EE66}" type="presParOf" srcId="{A72ED78E-3490-4DDF-8E4B-CE4D1CAEA777}" destId="{1416429F-BE32-4A43-AFB4-D5617F92432D}" srcOrd="3" destOrd="0" presId="urn:microsoft.com/office/officeart/2005/8/layout/cycle4"/>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252333F-0D02-4FC7-86FD-6C5CCE38141B}">
      <dsp:nvSpPr>
        <dsp:cNvPr id="0" name=""/>
        <dsp:cNvSpPr/>
      </dsp:nvSpPr>
      <dsp:spPr>
        <a:xfrm>
          <a:off x="3555632" y="1835641"/>
          <a:ext cx="555293" cy="297213"/>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zh-CN" altLang="en-US" sz="900" b="1" kern="1200"/>
            <a:t>滞胀</a:t>
          </a:r>
        </a:p>
      </dsp:txBody>
      <dsp:txXfrm>
        <a:off x="3722220" y="1909944"/>
        <a:ext cx="388705" cy="222910"/>
      </dsp:txXfrm>
    </dsp:sp>
    <dsp:sp modelId="{BD9324CF-29D9-4860-A3D7-9414065C027C}">
      <dsp:nvSpPr>
        <dsp:cNvPr id="0" name=""/>
        <dsp:cNvSpPr/>
      </dsp:nvSpPr>
      <dsp:spPr>
        <a:xfrm>
          <a:off x="1624398" y="1825697"/>
          <a:ext cx="609894" cy="317101"/>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zh-CN" altLang="en-US" sz="900" b="1" kern="1200"/>
            <a:t>衰退</a:t>
          </a:r>
        </a:p>
      </dsp:txBody>
      <dsp:txXfrm>
        <a:off x="1624398" y="1904972"/>
        <a:ext cx="426926" cy="237826"/>
      </dsp:txXfrm>
    </dsp:sp>
    <dsp:sp modelId="{F378F43E-02BE-42D5-BE7A-9BDB94FA934B}">
      <dsp:nvSpPr>
        <dsp:cNvPr id="0" name=""/>
        <dsp:cNvSpPr/>
      </dsp:nvSpPr>
      <dsp:spPr>
        <a:xfrm>
          <a:off x="3562948" y="241341"/>
          <a:ext cx="540660" cy="273221"/>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zh-CN" altLang="en-US" sz="900" b="1" kern="1200"/>
            <a:t>过热</a:t>
          </a:r>
        </a:p>
      </dsp:txBody>
      <dsp:txXfrm>
        <a:off x="3725146" y="241341"/>
        <a:ext cx="378462" cy="204916"/>
      </dsp:txXfrm>
    </dsp:sp>
    <dsp:sp modelId="{A0540512-B701-48C3-B898-FB1C60848E76}">
      <dsp:nvSpPr>
        <dsp:cNvPr id="0" name=""/>
        <dsp:cNvSpPr/>
      </dsp:nvSpPr>
      <dsp:spPr>
        <a:xfrm>
          <a:off x="1631709" y="234027"/>
          <a:ext cx="595272" cy="287848"/>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zh-CN" altLang="en-US" sz="900" b="1" kern="1200"/>
            <a:t>复苏</a:t>
          </a:r>
        </a:p>
      </dsp:txBody>
      <dsp:txXfrm>
        <a:off x="1631709" y="234027"/>
        <a:ext cx="416690" cy="215886"/>
      </dsp:txXfrm>
    </dsp:sp>
    <dsp:sp modelId="{EE1F9D75-344B-451C-B4D2-C984AE529811}">
      <dsp:nvSpPr>
        <dsp:cNvPr id="0" name=""/>
        <dsp:cNvSpPr/>
      </dsp:nvSpPr>
      <dsp:spPr>
        <a:xfrm>
          <a:off x="1834857" y="134645"/>
          <a:ext cx="1022832" cy="1022832"/>
        </a:xfrm>
        <a:prstGeom prst="pieWedg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13792" tIns="113792" rIns="113792" bIns="113792" numCol="1" spcCol="1270" anchor="ctr" anchorCtr="0">
          <a:noAutofit/>
        </a:bodyPr>
        <a:lstStyle/>
        <a:p>
          <a:pPr lvl="0" algn="l" defTabSz="711200">
            <a:lnSpc>
              <a:spcPct val="90000"/>
            </a:lnSpc>
            <a:spcBef>
              <a:spcPct val="0"/>
            </a:spcBef>
            <a:spcAft>
              <a:spcPct val="35000"/>
            </a:spcAft>
          </a:pPr>
          <a:r>
            <a:rPr lang="zh-CN" altLang="en-US" sz="1600" kern="1200"/>
            <a:t>股票</a:t>
          </a:r>
        </a:p>
      </dsp:txBody>
      <dsp:txXfrm>
        <a:off x="1834857" y="134645"/>
        <a:ext cx="1022832" cy="1022832"/>
      </dsp:txXfrm>
    </dsp:sp>
    <dsp:sp modelId="{78EA62B2-D17A-4541-9252-3E0A83593A19}">
      <dsp:nvSpPr>
        <dsp:cNvPr id="0" name=""/>
        <dsp:cNvSpPr/>
      </dsp:nvSpPr>
      <dsp:spPr>
        <a:xfrm rot="5400000">
          <a:off x="2904934" y="134645"/>
          <a:ext cx="1022832" cy="1022832"/>
        </a:xfrm>
        <a:prstGeom prst="pieWedg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13792" tIns="113792" rIns="113792" bIns="113792" numCol="1" spcCol="1270" anchor="ctr" anchorCtr="0">
          <a:noAutofit/>
        </a:bodyPr>
        <a:lstStyle/>
        <a:p>
          <a:pPr lvl="0" algn="l" defTabSz="711200">
            <a:lnSpc>
              <a:spcPct val="90000"/>
            </a:lnSpc>
            <a:spcBef>
              <a:spcPct val="0"/>
            </a:spcBef>
            <a:spcAft>
              <a:spcPct val="35000"/>
            </a:spcAft>
          </a:pPr>
          <a:r>
            <a:rPr lang="zh-CN" altLang="en-US" sz="1600" kern="1200"/>
            <a:t>大宗商品</a:t>
          </a:r>
        </a:p>
      </dsp:txBody>
      <dsp:txXfrm rot="5400000">
        <a:off x="2904934" y="134645"/>
        <a:ext cx="1022832" cy="1022832"/>
      </dsp:txXfrm>
    </dsp:sp>
    <dsp:sp modelId="{BA635CD4-43A1-47EF-8CFC-97223EB460E8}">
      <dsp:nvSpPr>
        <dsp:cNvPr id="0" name=""/>
        <dsp:cNvSpPr/>
      </dsp:nvSpPr>
      <dsp:spPr>
        <a:xfrm rot="10800000">
          <a:off x="2904934" y="1204721"/>
          <a:ext cx="1022832" cy="1022832"/>
        </a:xfrm>
        <a:prstGeom prst="pieWedg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13792" tIns="113792" rIns="113792" bIns="113792" numCol="1" spcCol="1270" anchor="ctr" anchorCtr="0">
          <a:noAutofit/>
        </a:bodyPr>
        <a:lstStyle/>
        <a:p>
          <a:pPr lvl="0" algn="l" defTabSz="711200">
            <a:lnSpc>
              <a:spcPct val="90000"/>
            </a:lnSpc>
            <a:spcBef>
              <a:spcPct val="0"/>
            </a:spcBef>
            <a:spcAft>
              <a:spcPct val="35000"/>
            </a:spcAft>
          </a:pPr>
          <a:r>
            <a:rPr lang="zh-CN" altLang="en-US" sz="1600" kern="1200"/>
            <a:t>现金</a:t>
          </a:r>
        </a:p>
      </dsp:txBody>
      <dsp:txXfrm rot="10800000">
        <a:off x="2904934" y="1204721"/>
        <a:ext cx="1022832" cy="1022832"/>
      </dsp:txXfrm>
    </dsp:sp>
    <dsp:sp modelId="{62F71D8E-3F22-4FC3-B80D-C3847B080AC4}">
      <dsp:nvSpPr>
        <dsp:cNvPr id="0" name=""/>
        <dsp:cNvSpPr/>
      </dsp:nvSpPr>
      <dsp:spPr>
        <a:xfrm rot="16200000">
          <a:off x="1834857" y="1204721"/>
          <a:ext cx="1022832" cy="1022832"/>
        </a:xfrm>
        <a:prstGeom prst="pieWedg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13792" tIns="113792" rIns="113792" bIns="113792" numCol="1" spcCol="1270" anchor="ctr" anchorCtr="0">
          <a:noAutofit/>
        </a:bodyPr>
        <a:lstStyle/>
        <a:p>
          <a:pPr lvl="0" algn="l" defTabSz="711200">
            <a:lnSpc>
              <a:spcPct val="90000"/>
            </a:lnSpc>
            <a:spcBef>
              <a:spcPct val="0"/>
            </a:spcBef>
            <a:spcAft>
              <a:spcPct val="35000"/>
            </a:spcAft>
          </a:pPr>
          <a:r>
            <a:rPr lang="zh-CN" altLang="en-US" sz="1600" kern="1200"/>
            <a:t>债券</a:t>
          </a:r>
        </a:p>
      </dsp:txBody>
      <dsp:txXfrm rot="16200000">
        <a:off x="1834857" y="1204721"/>
        <a:ext cx="1022832" cy="1022832"/>
      </dsp:txXfrm>
    </dsp:sp>
    <dsp:sp modelId="{9E4E9015-0F61-4303-A4B8-D36C52D0C19E}">
      <dsp:nvSpPr>
        <dsp:cNvPr id="0" name=""/>
        <dsp:cNvSpPr/>
      </dsp:nvSpPr>
      <dsp:spPr>
        <a:xfrm>
          <a:off x="2704738" y="968502"/>
          <a:ext cx="353148" cy="307086"/>
        </a:xfrm>
        <a:prstGeom prst="circularArrow">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416429F-BE32-4A43-AFB4-D5617F92432D}">
      <dsp:nvSpPr>
        <dsp:cNvPr id="0" name=""/>
        <dsp:cNvSpPr/>
      </dsp:nvSpPr>
      <dsp:spPr>
        <a:xfrm rot="10800000">
          <a:off x="2704738" y="1086611"/>
          <a:ext cx="353148" cy="307086"/>
        </a:xfrm>
        <a:prstGeom prst="circularArrow">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嘉实财富投资策略</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2ACADA-620F-4DF9-86AB-01460044C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38</Pages>
  <Words>3931</Words>
  <Characters>22408</Characters>
  <Application>Microsoft Office Word</Application>
  <DocSecurity>0</DocSecurity>
  <Lines>186</Lines>
  <Paragraphs>52</Paragraphs>
  <ScaleCrop>false</ScaleCrop>
  <Company>Microsoft</Company>
  <LinksUpToDate>false</LinksUpToDate>
  <CharactersWithSpaces>26287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js200-5</dc:creator>
  <cp:lastModifiedBy>js_9</cp:lastModifiedBy>
  <cp:revision>13</cp:revision>
  <cp:lastPrinted>2013-10-22T09:11:00Z</cp:lastPrinted>
  <dcterms:created xsi:type="dcterms:W3CDTF">2013-10-22T05:18:00Z</dcterms:created>
  <dcterms:modified xsi:type="dcterms:W3CDTF">2013-10-23T07:28:00Z</dcterms:modified>
</cp:coreProperties>
</file>