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37" w:tblpY="-2188"/>
        <w:tblW w:w="0" w:type="auto"/>
        <w:shd w:val="clear" w:color="auto" w:fill="E0E0E0"/>
        <w:tblLayout w:type="fixed"/>
        <w:tblLook w:val="01E0"/>
      </w:tblPr>
      <w:tblGrid>
        <w:gridCol w:w="468"/>
        <w:gridCol w:w="540"/>
        <w:gridCol w:w="3240"/>
      </w:tblGrid>
      <w:tr w:rsidR="00C23472" w:rsidRPr="00394675" w:rsidTr="001357B7">
        <w:trPr>
          <w:trHeight w:val="284"/>
        </w:trPr>
        <w:tc>
          <w:tcPr>
            <w:tcW w:w="468" w:type="dxa"/>
            <w:shd w:val="clear" w:color="auto" w:fill="CDD7FA"/>
          </w:tcPr>
          <w:p w:rsidR="00C23472" w:rsidRPr="00394675" w:rsidRDefault="00C23472" w:rsidP="001357B7">
            <w:pPr>
              <w:rPr>
                <w:rFonts w:eastAsia="楷体_GB2312"/>
                <w:b/>
                <w:color w:val="003366"/>
              </w:rPr>
            </w:pPr>
          </w:p>
        </w:tc>
        <w:tc>
          <w:tcPr>
            <w:tcW w:w="3780" w:type="dxa"/>
            <w:gridSpan w:val="2"/>
            <w:vMerge w:val="restart"/>
            <w:shd w:val="clear" w:color="auto" w:fill="CDD7FA"/>
            <w:vAlign w:val="center"/>
          </w:tcPr>
          <w:p w:rsidR="00C23472" w:rsidRPr="00394675" w:rsidRDefault="00C23472" w:rsidP="00CF5B8E">
            <w:pPr>
              <w:rPr>
                <w:rFonts w:eastAsia="楷体_GB2312"/>
                <w:b/>
                <w:color w:val="003366"/>
              </w:rPr>
            </w:pPr>
          </w:p>
        </w:tc>
      </w:tr>
      <w:tr w:rsidR="00C23472" w:rsidRPr="00394675" w:rsidTr="001357B7">
        <w:trPr>
          <w:trHeight w:val="284"/>
        </w:trPr>
        <w:tc>
          <w:tcPr>
            <w:tcW w:w="468" w:type="dxa"/>
            <w:shd w:val="clear" w:color="auto" w:fill="CDD7FA"/>
          </w:tcPr>
          <w:p w:rsidR="00C23472" w:rsidRPr="00394675" w:rsidRDefault="00C23472" w:rsidP="001357B7">
            <w:pPr>
              <w:rPr>
                <w:rFonts w:eastAsia="楷体_GB2312"/>
                <w:b/>
                <w:color w:val="003366"/>
              </w:rPr>
            </w:pPr>
          </w:p>
        </w:tc>
        <w:tc>
          <w:tcPr>
            <w:tcW w:w="3780" w:type="dxa"/>
            <w:gridSpan w:val="2"/>
            <w:vMerge/>
            <w:shd w:val="clear" w:color="auto" w:fill="CDD7FA"/>
          </w:tcPr>
          <w:p w:rsidR="00C23472" w:rsidRPr="00394675" w:rsidRDefault="00C23472" w:rsidP="001357B7">
            <w:pPr>
              <w:rPr>
                <w:rFonts w:eastAsia="楷体_GB2312"/>
                <w:b/>
                <w:color w:val="003366"/>
              </w:rPr>
            </w:pPr>
          </w:p>
        </w:tc>
      </w:tr>
      <w:tr w:rsidR="00603E88" w:rsidRPr="00394675" w:rsidTr="001357B7">
        <w:trPr>
          <w:trHeight w:val="940"/>
        </w:trPr>
        <w:tc>
          <w:tcPr>
            <w:tcW w:w="468" w:type="dxa"/>
            <w:shd w:val="clear" w:color="auto" w:fill="CDD7FA"/>
          </w:tcPr>
          <w:p w:rsidR="00603E88" w:rsidRPr="00394675" w:rsidRDefault="00603E88" w:rsidP="001357B7">
            <w:pPr>
              <w:rPr>
                <w:rFonts w:eastAsia="楷体_GB2312"/>
                <w:b/>
                <w:color w:val="003366"/>
              </w:rPr>
            </w:pPr>
          </w:p>
        </w:tc>
        <w:tc>
          <w:tcPr>
            <w:tcW w:w="3780" w:type="dxa"/>
            <w:gridSpan w:val="2"/>
            <w:shd w:val="clear" w:color="auto" w:fill="CDD7FA"/>
          </w:tcPr>
          <w:p w:rsidR="00603E88" w:rsidRPr="00394675" w:rsidRDefault="001E6092" w:rsidP="001357B7">
            <w:pPr>
              <w:spacing w:line="360" w:lineRule="auto"/>
              <w:rPr>
                <w:rFonts w:eastAsia="楷体_GB2312"/>
                <w:noProof/>
              </w:rPr>
            </w:pPr>
            <w:r>
              <w:rPr>
                <w:rFonts w:eastAsia="楷体_GB2312"/>
                <w:noProof/>
              </w:rPr>
              <w:drawing>
                <wp:anchor distT="0" distB="0" distL="114300" distR="114300" simplePos="0" relativeHeight="251717120" behindDoc="0" locked="0" layoutInCell="1" allowOverlap="1">
                  <wp:simplePos x="0" y="0"/>
                  <wp:positionH relativeFrom="column">
                    <wp:posOffset>78740</wp:posOffset>
                  </wp:positionH>
                  <wp:positionV relativeFrom="paragraph">
                    <wp:posOffset>125095</wp:posOffset>
                  </wp:positionV>
                  <wp:extent cx="1828800" cy="871855"/>
                  <wp:effectExtent l="0" t="0" r="0" b="0"/>
                  <wp:wrapNone/>
                  <wp:docPr id="61" name="图片 6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1"/>
                          <pic:cNvPicPr>
                            <a:picLocks noChangeAspect="1" noChangeArrowheads="1"/>
                          </pic:cNvPicPr>
                        </pic:nvPicPr>
                        <pic:blipFill>
                          <a:blip r:embed="rId8" cstate="print">
                            <a:clrChange>
                              <a:clrFrom>
                                <a:srgbClr val="D2D2FF"/>
                              </a:clrFrom>
                              <a:clrTo>
                                <a:srgbClr val="D2D2FF">
                                  <a:alpha val="0"/>
                                </a:srgbClr>
                              </a:clrTo>
                            </a:clrChange>
                          </a:blip>
                          <a:srcRect/>
                          <a:stretch>
                            <a:fillRect/>
                          </a:stretch>
                        </pic:blipFill>
                        <pic:spPr bwMode="auto">
                          <a:xfrm>
                            <a:off x="0" y="0"/>
                            <a:ext cx="1828800" cy="871855"/>
                          </a:xfrm>
                          <a:prstGeom prst="rect">
                            <a:avLst/>
                          </a:prstGeom>
                          <a:noFill/>
                          <a:ln w="9525">
                            <a:noFill/>
                            <a:miter lim="800000"/>
                            <a:headEnd/>
                            <a:tailEnd/>
                          </a:ln>
                        </pic:spPr>
                      </pic:pic>
                    </a:graphicData>
                  </a:graphic>
                </wp:anchor>
              </w:drawing>
            </w:r>
          </w:p>
        </w:tc>
      </w:tr>
      <w:tr w:rsidR="00603E88" w:rsidRPr="00394675" w:rsidTr="001357B7">
        <w:trPr>
          <w:trHeight w:hRule="exact" w:val="284"/>
        </w:trPr>
        <w:tc>
          <w:tcPr>
            <w:tcW w:w="468" w:type="dxa"/>
            <w:shd w:val="clear" w:color="auto" w:fill="CDD7FA"/>
          </w:tcPr>
          <w:p w:rsidR="00603E88" w:rsidRPr="00394675" w:rsidRDefault="00603E88" w:rsidP="001357B7">
            <w:pPr>
              <w:rPr>
                <w:rFonts w:eastAsia="楷体_GB2312"/>
                <w:b/>
                <w:color w:val="003366"/>
              </w:rPr>
            </w:pPr>
          </w:p>
        </w:tc>
        <w:tc>
          <w:tcPr>
            <w:tcW w:w="540" w:type="dxa"/>
            <w:shd w:val="clear" w:color="auto" w:fill="CDD7FA"/>
          </w:tcPr>
          <w:p w:rsidR="00603E88" w:rsidRPr="00394675" w:rsidRDefault="00603E88" w:rsidP="001357B7">
            <w:pPr>
              <w:jc w:val="left"/>
              <w:rPr>
                <w:rFonts w:eastAsia="楷体_GB2312"/>
                <w:b/>
                <w:color w:val="003366"/>
              </w:rPr>
            </w:pPr>
          </w:p>
        </w:tc>
        <w:tc>
          <w:tcPr>
            <w:tcW w:w="3240" w:type="dxa"/>
            <w:shd w:val="clear" w:color="auto" w:fill="CDD7FA"/>
          </w:tcPr>
          <w:p w:rsidR="00603E88" w:rsidRPr="00394675" w:rsidRDefault="00603E88" w:rsidP="001357B7">
            <w:pPr>
              <w:rPr>
                <w:rFonts w:eastAsia="楷体_GB2312"/>
                <w:b/>
                <w:color w:val="003366"/>
              </w:rPr>
            </w:pPr>
          </w:p>
        </w:tc>
      </w:tr>
      <w:tr w:rsidR="00603E88" w:rsidRPr="00394675" w:rsidTr="001357B7">
        <w:trPr>
          <w:trHeight w:hRule="exact" w:val="284"/>
        </w:trPr>
        <w:tc>
          <w:tcPr>
            <w:tcW w:w="468" w:type="dxa"/>
            <w:shd w:val="clear" w:color="auto" w:fill="CDD7FA"/>
          </w:tcPr>
          <w:p w:rsidR="00603E88" w:rsidRPr="00394675" w:rsidRDefault="00603E88" w:rsidP="001357B7">
            <w:pPr>
              <w:rPr>
                <w:rFonts w:eastAsia="楷体_GB2312"/>
                <w:b/>
                <w:color w:val="003366"/>
              </w:rPr>
            </w:pPr>
          </w:p>
        </w:tc>
        <w:tc>
          <w:tcPr>
            <w:tcW w:w="540" w:type="dxa"/>
            <w:shd w:val="clear" w:color="auto" w:fill="CDD7FA"/>
          </w:tcPr>
          <w:p w:rsidR="00603E88" w:rsidRPr="00394675" w:rsidRDefault="00603E88" w:rsidP="001357B7">
            <w:pPr>
              <w:jc w:val="left"/>
              <w:rPr>
                <w:rFonts w:eastAsia="楷体_GB2312"/>
                <w:b/>
                <w:color w:val="003366"/>
              </w:rPr>
            </w:pPr>
          </w:p>
        </w:tc>
        <w:tc>
          <w:tcPr>
            <w:tcW w:w="3240" w:type="dxa"/>
            <w:shd w:val="clear" w:color="auto" w:fill="CDD7FA"/>
          </w:tcPr>
          <w:p w:rsidR="00603E88" w:rsidRPr="00394675" w:rsidRDefault="00603E88" w:rsidP="00394675">
            <w:pPr>
              <w:rPr>
                <w:rFonts w:eastAsia="楷体_GB2312"/>
                <w:b/>
                <w:color w:val="003366"/>
              </w:rPr>
            </w:pPr>
          </w:p>
        </w:tc>
      </w:tr>
      <w:tr w:rsidR="00603E88" w:rsidRPr="00394675" w:rsidTr="001357B7">
        <w:trPr>
          <w:trHeight w:hRule="exact" w:val="284"/>
        </w:trPr>
        <w:tc>
          <w:tcPr>
            <w:tcW w:w="468" w:type="dxa"/>
            <w:shd w:val="clear" w:color="auto" w:fill="CDD7FA"/>
          </w:tcPr>
          <w:p w:rsidR="00603E88" w:rsidRPr="00394675" w:rsidRDefault="00603E88" w:rsidP="001357B7">
            <w:pPr>
              <w:rPr>
                <w:rFonts w:eastAsia="楷体_GB2312"/>
                <w:b/>
                <w:color w:val="003366"/>
              </w:rPr>
            </w:pPr>
          </w:p>
        </w:tc>
        <w:tc>
          <w:tcPr>
            <w:tcW w:w="540" w:type="dxa"/>
            <w:shd w:val="clear" w:color="auto" w:fill="CDD7FA"/>
          </w:tcPr>
          <w:p w:rsidR="00603E88" w:rsidRPr="00394675" w:rsidRDefault="00603E88" w:rsidP="001357B7">
            <w:pPr>
              <w:jc w:val="left"/>
              <w:rPr>
                <w:rFonts w:eastAsia="楷体_GB2312"/>
                <w:b/>
                <w:color w:val="003366"/>
              </w:rPr>
            </w:pPr>
          </w:p>
        </w:tc>
        <w:tc>
          <w:tcPr>
            <w:tcW w:w="3240" w:type="dxa"/>
            <w:shd w:val="clear" w:color="auto" w:fill="CDD7FA"/>
          </w:tcPr>
          <w:p w:rsidR="00603E88" w:rsidRPr="00394675" w:rsidRDefault="00603E88" w:rsidP="001357B7">
            <w:pPr>
              <w:rPr>
                <w:rFonts w:eastAsia="楷体_GB2312"/>
                <w:b/>
                <w:color w:val="003366"/>
              </w:rPr>
            </w:pPr>
          </w:p>
        </w:tc>
      </w:tr>
      <w:tr w:rsidR="00D00A28" w:rsidRPr="00394675" w:rsidTr="001357B7">
        <w:trPr>
          <w:trHeight w:hRule="exact" w:val="284"/>
        </w:trPr>
        <w:tc>
          <w:tcPr>
            <w:tcW w:w="468" w:type="dxa"/>
            <w:shd w:val="clear" w:color="auto" w:fill="CDD7FA"/>
          </w:tcPr>
          <w:p w:rsidR="00D00A28" w:rsidRPr="00394675" w:rsidRDefault="00D00A28" w:rsidP="001357B7">
            <w:pPr>
              <w:rPr>
                <w:rFonts w:eastAsia="楷体_GB2312"/>
                <w:b/>
                <w:color w:val="003366"/>
              </w:rPr>
            </w:pPr>
          </w:p>
        </w:tc>
        <w:tc>
          <w:tcPr>
            <w:tcW w:w="540" w:type="dxa"/>
            <w:shd w:val="clear" w:color="auto" w:fill="CDD7FA"/>
          </w:tcPr>
          <w:p w:rsidR="00D00A28" w:rsidRPr="00394675" w:rsidRDefault="00D00A28" w:rsidP="001357B7">
            <w:pPr>
              <w:jc w:val="left"/>
              <w:rPr>
                <w:rFonts w:eastAsia="楷体_GB2312"/>
                <w:b/>
                <w:color w:val="003366"/>
              </w:rPr>
            </w:pPr>
          </w:p>
        </w:tc>
        <w:tc>
          <w:tcPr>
            <w:tcW w:w="3240" w:type="dxa"/>
            <w:shd w:val="clear" w:color="auto" w:fill="CDD7FA"/>
          </w:tcPr>
          <w:p w:rsidR="00D00A28" w:rsidRPr="00394675" w:rsidRDefault="00D00A28" w:rsidP="001357B7">
            <w:pPr>
              <w:rPr>
                <w:rFonts w:eastAsia="楷体_GB2312"/>
                <w:b/>
                <w:color w:val="003366"/>
              </w:rPr>
            </w:pPr>
          </w:p>
        </w:tc>
      </w:tr>
      <w:tr w:rsidR="00603E88" w:rsidRPr="00394675" w:rsidTr="001357B7">
        <w:trPr>
          <w:trHeight w:hRule="exact" w:val="284"/>
        </w:trPr>
        <w:tc>
          <w:tcPr>
            <w:tcW w:w="468" w:type="dxa"/>
            <w:shd w:val="clear" w:color="auto" w:fill="auto"/>
          </w:tcPr>
          <w:p w:rsidR="00603E88" w:rsidRPr="00394675" w:rsidRDefault="00603E88" w:rsidP="001357B7">
            <w:pPr>
              <w:rPr>
                <w:rFonts w:eastAsia="楷体_GB2312"/>
                <w:b/>
                <w:color w:val="003366"/>
              </w:rPr>
            </w:pPr>
          </w:p>
        </w:tc>
        <w:tc>
          <w:tcPr>
            <w:tcW w:w="3780" w:type="dxa"/>
            <w:gridSpan w:val="2"/>
            <w:shd w:val="clear" w:color="auto" w:fill="auto"/>
          </w:tcPr>
          <w:p w:rsidR="00603E88" w:rsidRPr="00394675" w:rsidRDefault="00603E88" w:rsidP="001357B7">
            <w:pPr>
              <w:rPr>
                <w:rFonts w:eastAsia="楷体_GB2312"/>
                <w:color w:val="003366"/>
              </w:rPr>
            </w:pPr>
          </w:p>
        </w:tc>
      </w:tr>
      <w:tr w:rsidR="00603E88" w:rsidRPr="00394675" w:rsidTr="001357B7">
        <w:trPr>
          <w:trHeight w:val="457"/>
        </w:trPr>
        <w:tc>
          <w:tcPr>
            <w:tcW w:w="468" w:type="dxa"/>
            <w:shd w:val="clear" w:color="auto" w:fill="auto"/>
          </w:tcPr>
          <w:p w:rsidR="00603E88" w:rsidRPr="00394675" w:rsidRDefault="00427B00" w:rsidP="001357B7">
            <w:pPr>
              <w:rPr>
                <w:rFonts w:eastAsia="楷体_GB2312"/>
                <w:b/>
                <w:color w:val="003366"/>
              </w:rPr>
            </w:pPr>
            <w:r>
              <w:rPr>
                <w:rFonts w:eastAsia="楷体_GB2312"/>
                <w:b/>
                <w:noProof/>
                <w:color w:val="003366"/>
              </w:rPr>
              <w:drawing>
                <wp:anchor distT="0" distB="0" distL="114300" distR="114300" simplePos="0" relativeHeight="251734528" behindDoc="0" locked="0" layoutInCell="1" allowOverlap="1">
                  <wp:simplePos x="0" y="0"/>
                  <wp:positionH relativeFrom="column">
                    <wp:posOffset>142875</wp:posOffset>
                  </wp:positionH>
                  <wp:positionV relativeFrom="paragraph">
                    <wp:posOffset>258445</wp:posOffset>
                  </wp:positionV>
                  <wp:extent cx="2387600" cy="1901825"/>
                  <wp:effectExtent l="19050" t="0" r="0" b="0"/>
                  <wp:wrapNone/>
                  <wp:docPr id="5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387600" cy="1901825"/>
                          </a:xfrm>
                          <a:prstGeom prst="rect">
                            <a:avLst/>
                          </a:prstGeom>
                          <a:noFill/>
                          <a:ln w="9525">
                            <a:noFill/>
                            <a:miter lim="800000"/>
                            <a:headEnd/>
                            <a:tailEnd/>
                          </a:ln>
                        </pic:spPr>
                      </pic:pic>
                    </a:graphicData>
                  </a:graphic>
                </wp:anchor>
              </w:drawing>
            </w:r>
          </w:p>
        </w:tc>
        <w:tc>
          <w:tcPr>
            <w:tcW w:w="3780" w:type="dxa"/>
            <w:gridSpan w:val="2"/>
            <w:shd w:val="clear" w:color="auto" w:fill="auto"/>
          </w:tcPr>
          <w:p w:rsidR="00603E88" w:rsidRPr="00394675" w:rsidRDefault="00CF5B8E" w:rsidP="001357B7">
            <w:pPr>
              <w:spacing w:line="360" w:lineRule="auto"/>
              <w:jc w:val="center"/>
              <w:rPr>
                <w:rFonts w:eastAsia="楷体_GB2312"/>
                <w:color w:val="003366"/>
              </w:rPr>
            </w:pPr>
            <w:r w:rsidRPr="000A73F8">
              <w:rPr>
                <w:rFonts w:eastAsia="黑体"/>
                <w:b/>
                <w:color w:val="003366"/>
                <w:sz w:val="24"/>
              </w:rPr>
              <w:t>最近一年基金走势图</w:t>
            </w:r>
          </w:p>
        </w:tc>
      </w:tr>
      <w:tr w:rsidR="00CF5B8E" w:rsidRPr="00394675" w:rsidTr="001357B7">
        <w:trPr>
          <w:trHeight w:val="284"/>
        </w:trPr>
        <w:tc>
          <w:tcPr>
            <w:tcW w:w="468" w:type="dxa"/>
            <w:shd w:val="clear" w:color="auto" w:fill="auto"/>
          </w:tcPr>
          <w:p w:rsidR="00CF5B8E" w:rsidRPr="00394675" w:rsidRDefault="00CF5B8E" w:rsidP="00CF5B8E">
            <w:pPr>
              <w:rPr>
                <w:rFonts w:eastAsia="楷体_GB2312"/>
                <w:b/>
                <w:color w:val="003366"/>
              </w:rPr>
            </w:pPr>
          </w:p>
        </w:tc>
        <w:tc>
          <w:tcPr>
            <w:tcW w:w="3780" w:type="dxa"/>
            <w:gridSpan w:val="2"/>
            <w:shd w:val="clear" w:color="auto" w:fill="auto"/>
          </w:tcPr>
          <w:p w:rsidR="00CF5B8E" w:rsidRPr="000A73F8" w:rsidRDefault="00CF5B8E" w:rsidP="00427B00">
            <w:pPr>
              <w:rPr>
                <w:rFonts w:eastAsia="黑体"/>
                <w:color w:val="003366"/>
                <w:sz w:val="24"/>
              </w:rPr>
            </w:pPr>
          </w:p>
        </w:tc>
      </w:tr>
      <w:tr w:rsidR="00CF5B8E" w:rsidRPr="00394675" w:rsidTr="00A265AC">
        <w:trPr>
          <w:trHeight w:val="284"/>
        </w:trPr>
        <w:tc>
          <w:tcPr>
            <w:tcW w:w="468" w:type="dxa"/>
            <w:shd w:val="clear" w:color="auto" w:fill="auto"/>
          </w:tcPr>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Default="00CF5B8E" w:rsidP="00CF5B8E">
            <w:pPr>
              <w:rPr>
                <w:rFonts w:eastAsia="楷体_GB2312"/>
                <w:b/>
                <w:color w:val="003366"/>
              </w:rPr>
            </w:pPr>
          </w:p>
          <w:p w:rsidR="00CF5B8E" w:rsidRPr="00394675" w:rsidRDefault="00CF5B8E" w:rsidP="00CF5B8E">
            <w:pPr>
              <w:rPr>
                <w:rFonts w:eastAsia="楷体_GB2312"/>
                <w:b/>
                <w:color w:val="003366"/>
              </w:rPr>
            </w:pPr>
          </w:p>
        </w:tc>
        <w:tc>
          <w:tcPr>
            <w:tcW w:w="3780" w:type="dxa"/>
            <w:gridSpan w:val="2"/>
            <w:shd w:val="clear" w:color="auto" w:fill="auto"/>
            <w:vAlign w:val="center"/>
          </w:tcPr>
          <w:p w:rsidR="00CF5B8E" w:rsidRPr="000A73F8" w:rsidRDefault="00CF5B8E" w:rsidP="00CF5B8E">
            <w:pPr>
              <w:ind w:firstLine="610"/>
              <w:rPr>
                <w:rFonts w:eastAsia="楷体_GB2312"/>
                <w:b/>
                <w:color w:val="003366"/>
                <w:sz w:val="24"/>
              </w:rPr>
            </w:pPr>
          </w:p>
        </w:tc>
      </w:tr>
      <w:tr w:rsidR="00CF5B8E" w:rsidRPr="00394675" w:rsidTr="001357B7">
        <w:trPr>
          <w:trHeight w:val="284"/>
        </w:trPr>
        <w:tc>
          <w:tcPr>
            <w:tcW w:w="468" w:type="dxa"/>
            <w:shd w:val="clear" w:color="auto" w:fill="auto"/>
          </w:tcPr>
          <w:p w:rsidR="00CF5B8E" w:rsidRPr="00394675" w:rsidRDefault="00CF5B8E" w:rsidP="00CF5B8E">
            <w:pPr>
              <w:rPr>
                <w:rFonts w:eastAsia="楷体_GB2312"/>
                <w:b/>
                <w:color w:val="003366"/>
              </w:rPr>
            </w:pPr>
          </w:p>
        </w:tc>
        <w:tc>
          <w:tcPr>
            <w:tcW w:w="3780" w:type="dxa"/>
            <w:gridSpan w:val="2"/>
            <w:shd w:val="clear" w:color="auto" w:fill="auto"/>
          </w:tcPr>
          <w:p w:rsidR="00CF5B8E" w:rsidRDefault="000E4496" w:rsidP="00427B00">
            <w:pPr>
              <w:ind w:firstLineChars="100" w:firstLine="241"/>
              <w:rPr>
                <w:rFonts w:eastAsia="楷体_GB2312"/>
                <w:b/>
                <w:noProof/>
                <w:color w:val="003366"/>
                <w:sz w:val="24"/>
              </w:rPr>
            </w:pPr>
            <w:r w:rsidRPr="005A262C">
              <w:rPr>
                <w:rFonts w:eastAsia="楷体_GB2312"/>
                <w:b/>
                <w:noProof/>
                <w:color w:val="003366"/>
                <w:sz w:val="24"/>
              </w:rPr>
              <w:pict>
                <v:group id="_x0000_s1086" style="position:absolute;left:0;text-align:left;margin-left:-5.5pt;margin-top:2.35pt;width:16.65pt;height:43.85pt;z-index:251719168;mso-position-horizontal-relative:text;mso-position-vertical-relative:text" coordorigin="576,2804" coordsize="333,824">
                  <v:shape id="_x0000_s1087" type="#_x0000_t75" style="position:absolute;left:576;top:2804;width:272;height:340">
                    <v:imagedata r:id="rId10" o:title="01-1" chromakey="white" grayscale="t" bilevel="t"/>
                  </v:shape>
                  <v:shape id="_x0000_s1088" type="#_x0000_t75" style="position:absolute;left:616;top:3076;width:210;height:283">
                    <v:imagedata r:id="rId11" o:title="02" chromakey="white" grayscale="t" bilevel="t"/>
                  </v:shape>
                  <v:shape id="_x0000_s1089" type="#_x0000_t75" style="position:absolute;left:616;top:3388;width:293;height:240">
                    <v:imagedata r:id="rId12" o:title="03" chromakey="white" grayscale="t" bilevel="t"/>
                  </v:shape>
                </v:group>
              </w:pict>
            </w:r>
            <w:r w:rsidR="00CF5B8E" w:rsidRPr="000A73F8">
              <w:rPr>
                <w:rFonts w:eastAsia="楷体_GB2312"/>
                <w:b/>
                <w:noProof/>
                <w:color w:val="003366"/>
                <w:sz w:val="24"/>
              </w:rPr>
              <w:t>代宏坤</w:t>
            </w:r>
          </w:p>
          <w:p w:rsidR="00CF5B8E" w:rsidRPr="001D6245" w:rsidRDefault="00CF5B8E" w:rsidP="000E4496">
            <w:pPr>
              <w:ind w:firstLineChars="100" w:firstLine="240"/>
              <w:rPr>
                <w:rFonts w:eastAsia="楷体_GB2312"/>
                <w:b/>
                <w:bCs/>
                <w:color w:val="003365"/>
                <w:kern w:val="0"/>
                <w:sz w:val="24"/>
              </w:rPr>
            </w:pPr>
            <w:r>
              <w:rPr>
                <w:rFonts w:ascii="楷体_GB2312" w:eastAsia="楷体_GB2312" w:cs="楷体_GB2312" w:hint="eastAsia"/>
                <w:color w:val="003365"/>
                <w:kern w:val="0"/>
                <w:sz w:val="24"/>
              </w:rPr>
              <w:t>执业证书编号：</w:t>
            </w:r>
            <w:r w:rsidRPr="001D6245">
              <w:rPr>
                <w:rFonts w:eastAsia="楷体_GB2312" w:hint="eastAsia"/>
                <w:b/>
                <w:bCs/>
                <w:color w:val="003365"/>
                <w:kern w:val="0"/>
                <w:sz w:val="24"/>
              </w:rPr>
              <w:t>S0870109070952</w:t>
            </w:r>
          </w:p>
        </w:tc>
      </w:tr>
      <w:tr w:rsidR="00CF5B8E" w:rsidRPr="00394675" w:rsidTr="001357B7">
        <w:trPr>
          <w:trHeight w:val="284"/>
        </w:trPr>
        <w:tc>
          <w:tcPr>
            <w:tcW w:w="468" w:type="dxa"/>
            <w:shd w:val="clear" w:color="auto" w:fill="auto"/>
          </w:tcPr>
          <w:p w:rsidR="00CF5B8E" w:rsidRPr="00394675" w:rsidRDefault="00CF5B8E" w:rsidP="00CF5B8E">
            <w:pPr>
              <w:rPr>
                <w:rFonts w:eastAsia="楷体_GB2312"/>
                <w:b/>
                <w:color w:val="003366"/>
              </w:rPr>
            </w:pPr>
          </w:p>
        </w:tc>
        <w:tc>
          <w:tcPr>
            <w:tcW w:w="3780" w:type="dxa"/>
            <w:gridSpan w:val="2"/>
            <w:shd w:val="clear" w:color="auto" w:fill="auto"/>
          </w:tcPr>
          <w:p w:rsidR="00CF5B8E" w:rsidRPr="000A73F8" w:rsidRDefault="00CF5B8E" w:rsidP="00427B00">
            <w:pPr>
              <w:ind w:firstLineChars="100" w:firstLine="241"/>
              <w:rPr>
                <w:rFonts w:eastAsia="楷体_GB2312"/>
                <w:b/>
                <w:color w:val="003366"/>
                <w:sz w:val="24"/>
              </w:rPr>
            </w:pPr>
            <w:r w:rsidRPr="000A73F8">
              <w:rPr>
                <w:rFonts w:eastAsia="楷体_GB2312"/>
                <w:b/>
                <w:color w:val="003366"/>
                <w:sz w:val="24"/>
              </w:rPr>
              <w:t>021-53519888-1903</w:t>
            </w:r>
          </w:p>
        </w:tc>
      </w:tr>
      <w:tr w:rsidR="00CF5B8E" w:rsidRPr="00394675" w:rsidTr="001357B7">
        <w:trPr>
          <w:trHeight w:val="284"/>
        </w:trPr>
        <w:tc>
          <w:tcPr>
            <w:tcW w:w="468" w:type="dxa"/>
            <w:shd w:val="clear" w:color="auto" w:fill="auto"/>
          </w:tcPr>
          <w:p w:rsidR="00CF5B8E" w:rsidRPr="00D272A0" w:rsidRDefault="00CF5B8E" w:rsidP="00CF5B8E">
            <w:pPr>
              <w:rPr>
                <w:rFonts w:ascii="楷体_GB2312" w:eastAsia="楷体_GB2312" w:cs="楷体_GB2312"/>
                <w:color w:val="003365"/>
                <w:kern w:val="0"/>
                <w:sz w:val="24"/>
              </w:rPr>
            </w:pPr>
          </w:p>
        </w:tc>
        <w:tc>
          <w:tcPr>
            <w:tcW w:w="3780" w:type="dxa"/>
            <w:gridSpan w:val="2"/>
            <w:shd w:val="clear" w:color="auto" w:fill="auto"/>
          </w:tcPr>
          <w:p w:rsidR="00CF5B8E" w:rsidRPr="00D272A0" w:rsidRDefault="005A262C" w:rsidP="00427B00">
            <w:pPr>
              <w:ind w:firstLineChars="100" w:firstLine="210"/>
              <w:rPr>
                <w:rFonts w:eastAsia="楷体_GB2312"/>
                <w:b/>
                <w:bCs/>
                <w:color w:val="003365"/>
                <w:kern w:val="0"/>
                <w:sz w:val="24"/>
              </w:rPr>
            </w:pPr>
            <w:hyperlink r:id="rId13" w:history="1">
              <w:r w:rsidR="00D272A0" w:rsidRPr="00D272A0">
                <w:rPr>
                  <w:rFonts w:eastAsia="楷体_GB2312"/>
                  <w:b/>
                  <w:bCs/>
                  <w:color w:val="003365"/>
                  <w:kern w:val="0"/>
                  <w:sz w:val="24"/>
                </w:rPr>
                <w:t>Daihongkun@sigchina.com</w:t>
              </w:r>
            </w:hyperlink>
          </w:p>
          <w:p w:rsidR="00D272A0" w:rsidRPr="00D272A0" w:rsidRDefault="00D272A0" w:rsidP="00CF5B8E">
            <w:pPr>
              <w:rPr>
                <w:rFonts w:ascii="楷体_GB2312" w:eastAsia="楷体_GB2312" w:cs="楷体_GB2312"/>
                <w:color w:val="003365"/>
                <w:kern w:val="0"/>
                <w:sz w:val="24"/>
              </w:rPr>
            </w:pPr>
          </w:p>
        </w:tc>
      </w:tr>
      <w:tr w:rsidR="00CF5B8E" w:rsidRPr="00394675" w:rsidTr="001357B7">
        <w:trPr>
          <w:trHeight w:val="284"/>
        </w:trPr>
        <w:tc>
          <w:tcPr>
            <w:tcW w:w="468" w:type="dxa"/>
            <w:shd w:val="clear" w:color="auto" w:fill="auto"/>
          </w:tcPr>
          <w:p w:rsidR="00CF5B8E" w:rsidRPr="00394675" w:rsidRDefault="00CF5B8E" w:rsidP="00CF5B8E">
            <w:pPr>
              <w:rPr>
                <w:rFonts w:eastAsia="楷体_GB2312"/>
                <w:b/>
                <w:color w:val="003366"/>
              </w:rPr>
            </w:pPr>
          </w:p>
        </w:tc>
        <w:tc>
          <w:tcPr>
            <w:tcW w:w="3780" w:type="dxa"/>
            <w:gridSpan w:val="2"/>
            <w:shd w:val="clear" w:color="auto" w:fill="auto"/>
          </w:tcPr>
          <w:p w:rsidR="00CF5B8E" w:rsidRDefault="00CF5B8E" w:rsidP="00CF5B8E">
            <w:pPr>
              <w:rPr>
                <w:rFonts w:eastAsia="楷体_GB2312"/>
                <w:b/>
                <w:color w:val="003366"/>
                <w:sz w:val="24"/>
              </w:rPr>
            </w:pPr>
          </w:p>
          <w:p w:rsidR="00D272A0" w:rsidRDefault="00D272A0" w:rsidP="00CF5B8E">
            <w:pPr>
              <w:rPr>
                <w:rFonts w:eastAsia="楷体_GB2312"/>
                <w:b/>
                <w:color w:val="003366"/>
                <w:sz w:val="24"/>
              </w:rPr>
            </w:pPr>
          </w:p>
          <w:tbl>
            <w:tblPr>
              <w:tblpPr w:leftFromText="180" w:rightFromText="180" w:vertAnchor="text" w:horzAnchor="page" w:tblpX="37" w:tblpY="-2806"/>
              <w:tblW w:w="3888" w:type="dxa"/>
              <w:shd w:val="clear" w:color="auto" w:fill="E0E0E0"/>
              <w:tblLayout w:type="fixed"/>
              <w:tblLook w:val="01E0"/>
            </w:tblPr>
            <w:tblGrid>
              <w:gridCol w:w="2859"/>
              <w:gridCol w:w="1029"/>
            </w:tblGrid>
            <w:tr w:rsidR="00D272A0" w:rsidRPr="000A73F8" w:rsidTr="00A265AC">
              <w:trPr>
                <w:trHeight w:hRule="exact" w:val="284"/>
              </w:trPr>
              <w:tc>
                <w:tcPr>
                  <w:tcW w:w="3600" w:type="dxa"/>
                  <w:gridSpan w:val="2"/>
                </w:tcPr>
                <w:p w:rsidR="00D272A0" w:rsidRPr="000A73F8" w:rsidRDefault="00D272A0" w:rsidP="00427B00">
                  <w:pPr>
                    <w:pStyle w:val="afc"/>
                    <w:ind w:firstLineChars="100" w:firstLine="241"/>
                    <w:rPr>
                      <w:rFonts w:ascii="Times New Roman" w:hAnsi="Times New Roman" w:cs="Times New Roman"/>
                    </w:rPr>
                  </w:pPr>
                  <w:r w:rsidRPr="000A73F8">
                    <w:rPr>
                      <w:rFonts w:ascii="Times New Roman" w:eastAsia="黑体" w:hAnsi="Times New Roman" w:cs="Times New Roman"/>
                      <w:b/>
                      <w:color w:val="003366"/>
                      <w:sz w:val="24"/>
                    </w:rPr>
                    <w:t>日期：</w:t>
                  </w:r>
                  <w:r w:rsidRPr="000A73F8">
                    <w:rPr>
                      <w:rFonts w:ascii="Times New Roman" w:hAnsi="Times New Roman" w:cs="Times New Roman"/>
                    </w:rPr>
                    <w:t>2010</w:t>
                  </w:r>
                  <w:r w:rsidRPr="000A73F8">
                    <w:rPr>
                      <w:rFonts w:ascii="Times New Roman" w:hAnsi="宋体" w:cs="Times New Roman"/>
                    </w:rPr>
                    <w:t>年</w:t>
                  </w:r>
                  <w:r w:rsidRPr="000A73F8">
                    <w:rPr>
                      <w:rFonts w:ascii="Times New Roman" w:hAnsi="Times New Roman" w:cs="Times New Roman"/>
                    </w:rPr>
                    <w:t>0</w:t>
                  </w:r>
                  <w:r>
                    <w:rPr>
                      <w:rFonts w:ascii="Times New Roman" w:hAnsi="Times New Roman" w:cs="Times New Roman" w:hint="eastAsia"/>
                    </w:rPr>
                    <w:t>8</w:t>
                  </w:r>
                  <w:r w:rsidRPr="000A73F8">
                    <w:rPr>
                      <w:rFonts w:ascii="Times New Roman" w:hAnsi="宋体" w:cs="Times New Roman"/>
                    </w:rPr>
                    <w:t>月</w:t>
                  </w:r>
                  <w:r>
                    <w:rPr>
                      <w:rFonts w:ascii="Times New Roman" w:hAnsi="Times New Roman" w:cs="Times New Roman" w:hint="eastAsia"/>
                    </w:rPr>
                    <w:t>1</w:t>
                  </w:r>
                  <w:r w:rsidR="00CC1330">
                    <w:rPr>
                      <w:rFonts w:ascii="Times New Roman" w:hAnsi="Times New Roman" w:cs="Times New Roman" w:hint="eastAsia"/>
                    </w:rPr>
                    <w:t>8</w:t>
                  </w:r>
                  <w:r w:rsidRPr="000A73F8">
                    <w:rPr>
                      <w:rFonts w:ascii="Times New Roman" w:hAnsi="宋体" w:cs="Times New Roman"/>
                    </w:rPr>
                    <w:t>日</w:t>
                  </w:r>
                </w:p>
                <w:p w:rsidR="00D272A0" w:rsidRPr="000A73F8" w:rsidRDefault="00D272A0" w:rsidP="00D272A0">
                  <w:pPr>
                    <w:jc w:val="left"/>
                    <w:rPr>
                      <w:rFonts w:eastAsia="楷体_GB2312"/>
                      <w:color w:val="003366"/>
                      <w:sz w:val="24"/>
                    </w:rPr>
                  </w:pPr>
                  <w:r w:rsidRPr="000A73F8">
                    <w:rPr>
                      <w:rFonts w:eastAsia="楷体_GB2312"/>
                      <w:color w:val="003366"/>
                      <w:sz w:val="24"/>
                    </w:rPr>
                    <w:t xml:space="preserve"> </w:t>
                  </w:r>
                </w:p>
              </w:tc>
            </w:tr>
            <w:tr w:rsidR="00D272A0" w:rsidRPr="000A73F8" w:rsidTr="00A265AC">
              <w:trPr>
                <w:trHeight w:hRule="exact" w:val="284"/>
              </w:trPr>
              <w:tc>
                <w:tcPr>
                  <w:tcW w:w="3600" w:type="dxa"/>
                  <w:gridSpan w:val="2"/>
                </w:tcPr>
                <w:p w:rsidR="00D272A0" w:rsidRPr="000A73F8" w:rsidRDefault="00D272A0" w:rsidP="00D272A0">
                  <w:pPr>
                    <w:rPr>
                      <w:rFonts w:eastAsia="黑体"/>
                      <w:b/>
                      <w:color w:val="003366"/>
                      <w:sz w:val="24"/>
                    </w:rPr>
                  </w:pPr>
                </w:p>
              </w:tc>
            </w:tr>
            <w:tr w:rsidR="00D272A0" w:rsidRPr="000A73F8" w:rsidTr="00A265AC">
              <w:trPr>
                <w:gridAfter w:val="1"/>
                <w:wAfter w:w="972" w:type="dxa"/>
                <w:trHeight w:hRule="exact" w:val="284"/>
              </w:trPr>
              <w:tc>
                <w:tcPr>
                  <w:tcW w:w="2700" w:type="dxa"/>
                </w:tcPr>
                <w:p w:rsidR="00D272A0" w:rsidRPr="000A73F8" w:rsidRDefault="00D272A0" w:rsidP="00D272A0">
                  <w:pPr>
                    <w:rPr>
                      <w:rFonts w:eastAsia="楷体_GB2312"/>
                      <w:sz w:val="24"/>
                    </w:rPr>
                  </w:pPr>
                </w:p>
              </w:tc>
            </w:tr>
            <w:tr w:rsidR="00D272A0" w:rsidRPr="000A73F8" w:rsidTr="00A265AC">
              <w:trPr>
                <w:gridAfter w:val="1"/>
                <w:wAfter w:w="972" w:type="dxa"/>
                <w:trHeight w:hRule="exact" w:val="284"/>
              </w:trPr>
              <w:tc>
                <w:tcPr>
                  <w:tcW w:w="2700" w:type="dxa"/>
                </w:tcPr>
                <w:p w:rsidR="00D272A0" w:rsidRPr="000A73F8" w:rsidRDefault="00D272A0" w:rsidP="00427B00">
                  <w:pPr>
                    <w:ind w:firstLineChars="100" w:firstLine="241"/>
                    <w:rPr>
                      <w:rFonts w:eastAsia="黑体"/>
                      <w:b/>
                      <w:color w:val="003366"/>
                      <w:sz w:val="24"/>
                    </w:rPr>
                  </w:pPr>
                  <w:r w:rsidRPr="000A73F8">
                    <w:rPr>
                      <w:rFonts w:eastAsia="黑体"/>
                      <w:b/>
                      <w:color w:val="003366"/>
                      <w:sz w:val="24"/>
                    </w:rPr>
                    <w:t>报告编号：</w:t>
                  </w:r>
                </w:p>
              </w:tc>
            </w:tr>
            <w:tr w:rsidR="00D272A0" w:rsidRPr="000A73F8" w:rsidTr="00A265AC">
              <w:trPr>
                <w:gridAfter w:val="1"/>
                <w:wAfter w:w="972" w:type="dxa"/>
                <w:trHeight w:hRule="exact" w:val="284"/>
              </w:trPr>
              <w:tc>
                <w:tcPr>
                  <w:tcW w:w="2700" w:type="dxa"/>
                </w:tcPr>
                <w:p w:rsidR="00D272A0" w:rsidRPr="000A73F8" w:rsidRDefault="00D272A0" w:rsidP="00D272A0">
                  <w:pPr>
                    <w:rPr>
                      <w:rFonts w:eastAsia="楷体_GB2312"/>
                      <w:b/>
                      <w:color w:val="003366"/>
                      <w:sz w:val="24"/>
                    </w:rPr>
                  </w:pPr>
                </w:p>
              </w:tc>
            </w:tr>
            <w:tr w:rsidR="00D272A0" w:rsidRPr="000A73F8" w:rsidTr="00A265AC">
              <w:trPr>
                <w:gridAfter w:val="1"/>
                <w:wAfter w:w="972" w:type="dxa"/>
                <w:trHeight w:hRule="exact" w:val="284"/>
              </w:trPr>
              <w:tc>
                <w:tcPr>
                  <w:tcW w:w="2700" w:type="dxa"/>
                </w:tcPr>
                <w:p w:rsidR="00D272A0" w:rsidRPr="000A73F8" w:rsidRDefault="00D272A0" w:rsidP="00D272A0">
                  <w:pPr>
                    <w:rPr>
                      <w:rFonts w:eastAsia="楷体_GB2312"/>
                      <w:sz w:val="24"/>
                    </w:rPr>
                  </w:pPr>
                </w:p>
              </w:tc>
            </w:tr>
            <w:tr w:rsidR="00D272A0" w:rsidRPr="000A73F8" w:rsidTr="00A265AC">
              <w:trPr>
                <w:gridAfter w:val="1"/>
                <w:wAfter w:w="972" w:type="dxa"/>
                <w:trHeight w:hRule="exact" w:val="284"/>
              </w:trPr>
              <w:tc>
                <w:tcPr>
                  <w:tcW w:w="2700" w:type="dxa"/>
                </w:tcPr>
                <w:p w:rsidR="00D272A0" w:rsidRPr="000A73F8" w:rsidRDefault="00D272A0" w:rsidP="00427B00">
                  <w:pPr>
                    <w:ind w:firstLineChars="100" w:firstLine="241"/>
                    <w:rPr>
                      <w:rFonts w:eastAsia="黑体"/>
                      <w:b/>
                      <w:color w:val="003366"/>
                      <w:sz w:val="24"/>
                    </w:rPr>
                  </w:pPr>
                  <w:r w:rsidRPr="000A73F8">
                    <w:rPr>
                      <w:rFonts w:eastAsia="黑体"/>
                      <w:b/>
                      <w:color w:val="003366"/>
                      <w:sz w:val="24"/>
                    </w:rPr>
                    <w:t>相关报告：</w:t>
                  </w:r>
                </w:p>
              </w:tc>
            </w:tr>
          </w:tbl>
          <w:p w:rsidR="00D272A0" w:rsidRPr="000A73F8" w:rsidRDefault="00D272A0" w:rsidP="00CF5B8E">
            <w:pPr>
              <w:rPr>
                <w:rFonts w:eastAsia="楷体_GB2312"/>
                <w:b/>
                <w:color w:val="003366"/>
                <w:sz w:val="24"/>
              </w:rPr>
            </w:pPr>
          </w:p>
        </w:tc>
      </w:tr>
    </w:tbl>
    <w:p w:rsidR="00401122" w:rsidRPr="00394675" w:rsidRDefault="005A262C" w:rsidP="00593955">
      <w:pPr>
        <w:numPr>
          <w:ilvl w:val="0"/>
          <w:numId w:val="10"/>
        </w:numPr>
        <w:spacing w:line="360" w:lineRule="auto"/>
        <w:rPr>
          <w:rFonts w:eastAsia="黑体"/>
          <w:b/>
          <w:color w:val="003366"/>
          <w:sz w:val="24"/>
        </w:rPr>
      </w:pPr>
      <w:r>
        <w:rPr>
          <w:rFonts w:eastAsia="黑体"/>
          <w:b/>
          <w:noProof/>
          <w:color w:val="003366"/>
          <w:sz w:val="24"/>
        </w:rPr>
        <w:pict>
          <v:shapetype id="_x0000_t202" coordsize="21600,21600" o:spt="202" path="m,l,21600r21600,l21600,xe">
            <v:stroke joinstyle="miter"/>
            <v:path gradientshapeok="t" o:connecttype="rect"/>
          </v:shapetype>
          <v:shape id="_x0000_s1031" type="#_x0000_t202" style="position:absolute;left:0;text-align:left;margin-left:-45pt;margin-top:-140.4pt;width:414pt;height:31.2pt;z-index:251657728;mso-position-horizontal-relative:text;mso-position-vertical-relative:text" o:regroupid="1" fillcolor="#f00000" stroked="f">
            <v:textbox style="mso-next-textbox:#_x0000_s1031">
              <w:txbxContent>
                <w:p w:rsidR="00157768" w:rsidRPr="00C23472" w:rsidRDefault="00157768" w:rsidP="006D5818">
                  <w:pPr>
                    <w:rPr>
                      <w:rFonts w:ascii="楷体_GB2312" w:eastAsia="楷体_GB2312" w:hAnsi="宋体-18030" w:cs="宋体-18030"/>
                      <w:b/>
                      <w:color w:val="FFFFFF"/>
                      <w:sz w:val="28"/>
                      <w:szCs w:val="28"/>
                    </w:rPr>
                  </w:pPr>
                  <w:r>
                    <w:rPr>
                      <w:rFonts w:ascii="楷体_GB2312" w:eastAsia="楷体_GB2312" w:hAnsi="宋体-18030" w:cs="宋体-18030" w:hint="eastAsia"/>
                      <w:b/>
                      <w:color w:val="FFFFFF"/>
                      <w:sz w:val="28"/>
                      <w:szCs w:val="28"/>
                    </w:rPr>
                    <w:t xml:space="preserve">            </w:t>
                  </w:r>
                  <w:r w:rsidRPr="00C23472">
                    <w:rPr>
                      <w:rFonts w:ascii="楷体_GB2312" w:eastAsia="楷体_GB2312" w:hAnsi="宋体-18030" w:cs="宋体-18030" w:hint="eastAsia"/>
                      <w:b/>
                      <w:color w:val="FFFFFF"/>
                      <w:sz w:val="28"/>
                      <w:szCs w:val="28"/>
                    </w:rPr>
                    <w:t xml:space="preserve"> </w:t>
                  </w:r>
                  <w:r>
                    <w:rPr>
                      <w:rFonts w:ascii="楷体_GB2312" w:eastAsia="楷体_GB2312" w:hAnsi="宋体-18030" w:cs="宋体-18030" w:hint="eastAsia"/>
                      <w:b/>
                      <w:color w:val="FFFFFF"/>
                      <w:sz w:val="28"/>
                      <w:szCs w:val="28"/>
                    </w:rPr>
                    <w:t xml:space="preserve">                        研究报告</w:t>
                  </w:r>
                  <w:r w:rsidRPr="00C23472">
                    <w:rPr>
                      <w:rFonts w:ascii="楷体_GB2312" w:eastAsia="楷体_GB2312" w:hAnsi="宋体-18030" w:cs="宋体-18030" w:hint="eastAsia"/>
                      <w:b/>
                      <w:color w:val="FFFFFF"/>
                      <w:sz w:val="28"/>
                      <w:szCs w:val="28"/>
                    </w:rPr>
                    <w:t xml:space="preserve"> / </w:t>
                  </w:r>
                  <w:r>
                    <w:rPr>
                      <w:rFonts w:ascii="楷体_GB2312" w:eastAsia="楷体_GB2312" w:hAnsi="宋体-18030" w:cs="宋体-18030" w:hint="eastAsia"/>
                      <w:b/>
                      <w:color w:val="FFFFFF"/>
                      <w:sz w:val="28"/>
                      <w:szCs w:val="28"/>
                    </w:rPr>
                    <w:t>基金专题</w:t>
                  </w:r>
                </w:p>
              </w:txbxContent>
            </v:textbox>
          </v:shape>
        </w:pict>
      </w:r>
      <w:r>
        <w:rPr>
          <w:rFonts w:eastAsia="黑体"/>
          <w:b/>
          <w:noProof/>
          <w:color w:val="003366"/>
          <w:sz w:val="24"/>
        </w:rPr>
        <w:pict>
          <v:shape id="_x0000_s1028" type="#_x0000_t202" style="position:absolute;left:0;text-align:left;margin-left:-45pt;margin-top:-171.6pt;width:413.85pt;height:153.05pt;z-index:251656704;mso-position-horizontal-relative:text;mso-position-vertical-relative:text" o:regroupid="1" fillcolor="#00326e" stroked="f">
            <v:textbox style="mso-next-textbox:#_x0000_s1028">
              <w:txbxContent>
                <w:p w:rsidR="00157768" w:rsidRPr="00C2401C" w:rsidRDefault="00157768">
                  <w:pPr>
                    <w:rPr>
                      <w:rFonts w:ascii="宋体-18030" w:eastAsia="宋体-18030" w:hAnsi="宋体-18030" w:cs="宋体-18030"/>
                      <w:szCs w:val="21"/>
                    </w:rPr>
                  </w:pPr>
                </w:p>
                <w:p w:rsidR="00157768" w:rsidRPr="00C2401C" w:rsidRDefault="00157768" w:rsidP="00362266">
                  <w:pPr>
                    <w:jc w:val="right"/>
                    <w:rPr>
                      <w:rFonts w:ascii="宋体-18030" w:eastAsia="宋体-18030" w:hAnsi="宋体-18030" w:cs="宋体-18030"/>
                      <w:b/>
                      <w:szCs w:val="21"/>
                    </w:rPr>
                  </w:pPr>
                </w:p>
                <w:p w:rsidR="007A6106" w:rsidRPr="007A6106" w:rsidRDefault="007A6106" w:rsidP="007A6106">
                  <w:pPr>
                    <w:spacing w:line="360" w:lineRule="auto"/>
                    <w:rPr>
                      <w:rFonts w:ascii="黑体" w:eastAsia="黑体" w:hAnsi="宋体" w:cs="宋体-18030"/>
                      <w:b/>
                      <w:color w:val="FFFFFF"/>
                      <w:sz w:val="18"/>
                      <w:szCs w:val="18"/>
                    </w:rPr>
                  </w:pPr>
                </w:p>
                <w:p w:rsidR="00157768" w:rsidRDefault="00157768" w:rsidP="007A6106">
                  <w:pPr>
                    <w:spacing w:line="360" w:lineRule="auto"/>
                    <w:rPr>
                      <w:rFonts w:ascii="黑体" w:eastAsia="黑体" w:hAnsi="宋体" w:cs="宋体-18030"/>
                      <w:b/>
                      <w:color w:val="FFFFFF"/>
                      <w:sz w:val="44"/>
                      <w:szCs w:val="44"/>
                    </w:rPr>
                  </w:pPr>
                  <w:r>
                    <w:rPr>
                      <w:rFonts w:ascii="黑体" w:eastAsia="黑体" w:hAnsi="宋体" w:cs="宋体-18030" w:hint="eastAsia"/>
                      <w:b/>
                      <w:color w:val="FFFFFF"/>
                      <w:sz w:val="44"/>
                      <w:szCs w:val="44"/>
                    </w:rPr>
                    <w:t>五星级基金</w:t>
                  </w:r>
                  <w:r w:rsidR="007A6106">
                    <w:rPr>
                      <w:rFonts w:ascii="黑体" w:eastAsia="黑体" w:hAnsi="宋体" w:cs="宋体-18030" w:hint="eastAsia"/>
                      <w:b/>
                      <w:color w:val="FFFFFF"/>
                      <w:sz w:val="44"/>
                      <w:szCs w:val="44"/>
                    </w:rPr>
                    <w:t>能给投资者带来好的回报吗？</w:t>
                  </w:r>
                </w:p>
                <w:p w:rsidR="00157768" w:rsidRPr="00C23472" w:rsidRDefault="00157768" w:rsidP="000C2CA6">
                  <w:pPr>
                    <w:spacing w:line="360" w:lineRule="auto"/>
                    <w:jc w:val="center"/>
                    <w:rPr>
                      <w:rFonts w:eastAsia="黑体"/>
                      <w:b/>
                      <w:color w:val="FFFFFF"/>
                      <w:sz w:val="28"/>
                      <w:szCs w:val="28"/>
                    </w:rPr>
                  </w:pPr>
                  <w:r>
                    <w:rPr>
                      <w:rFonts w:eastAsia="黑体" w:hint="eastAsia"/>
                      <w:b/>
                      <w:color w:val="FFFFFF"/>
                      <w:sz w:val="28"/>
                      <w:szCs w:val="28"/>
                    </w:rPr>
                    <w:t xml:space="preserve">                    </w:t>
                  </w:r>
                  <w:r w:rsidR="000E4496">
                    <w:rPr>
                      <w:rFonts w:eastAsia="黑体" w:hint="eastAsia"/>
                      <w:b/>
                      <w:color w:val="FFFFFF"/>
                      <w:sz w:val="28"/>
                      <w:szCs w:val="28"/>
                    </w:rPr>
                    <w:t>——上证星级基金研究系列之一</w:t>
                  </w:r>
                </w:p>
              </w:txbxContent>
            </v:textbox>
          </v:shape>
        </w:pict>
      </w:r>
      <w:r w:rsidR="00401122" w:rsidRPr="00394675">
        <w:rPr>
          <w:rFonts w:eastAsia="黑体"/>
          <w:b/>
          <w:color w:val="003366"/>
          <w:sz w:val="24"/>
        </w:rPr>
        <w:t>主要观点：</w:t>
      </w:r>
    </w:p>
    <w:p w:rsidR="00A75775" w:rsidRDefault="00A75775" w:rsidP="00D618F5">
      <w:pPr>
        <w:pStyle w:val="afa"/>
        <w:widowControl/>
        <w:ind w:left="425"/>
        <w:jc w:val="left"/>
        <w:rPr>
          <w:rFonts w:eastAsia="楷体_GB2312"/>
        </w:rPr>
      </w:pPr>
      <w:r>
        <w:rPr>
          <w:rFonts w:eastAsia="楷体_GB2312" w:hint="eastAsia"/>
        </w:rPr>
        <w:t>上海证券基金评价</w:t>
      </w:r>
      <w:r w:rsidR="00D618F5" w:rsidRPr="00D618F5">
        <w:rPr>
          <w:rFonts w:eastAsia="楷体_GB2312" w:hint="eastAsia"/>
        </w:rPr>
        <w:t>方法</w:t>
      </w:r>
      <w:r w:rsidR="00D618F5">
        <w:rPr>
          <w:rFonts w:eastAsia="楷体_GB2312" w:hint="eastAsia"/>
        </w:rPr>
        <w:t>着重考核基金的风险管理能力、证券选择能力和时机选择能力</w:t>
      </w:r>
      <w:r w:rsidR="002F5EFF">
        <w:rPr>
          <w:rFonts w:eastAsia="楷体_GB2312" w:hint="eastAsia"/>
        </w:rPr>
        <w:t>三个方面</w:t>
      </w:r>
      <w:r w:rsidR="001A12B4">
        <w:rPr>
          <w:rFonts w:eastAsia="楷体_GB2312" w:hint="eastAsia"/>
        </w:rPr>
        <w:t>，</w:t>
      </w:r>
      <w:r w:rsidR="001A12B4" w:rsidRPr="001A12B4">
        <w:rPr>
          <w:rFonts w:eastAsia="楷体_GB2312" w:hint="eastAsia"/>
        </w:rPr>
        <w:t>综合考虑风险与收益，</w:t>
      </w:r>
      <w:r w:rsidR="0010181C">
        <w:rPr>
          <w:rFonts w:eastAsia="楷体_GB2312" w:hint="eastAsia"/>
        </w:rPr>
        <w:t>并</w:t>
      </w:r>
      <w:r w:rsidR="001A12B4">
        <w:rPr>
          <w:rFonts w:eastAsia="楷体_GB2312" w:hint="eastAsia"/>
        </w:rPr>
        <w:t>强调</w:t>
      </w:r>
      <w:r w:rsidR="001A12B4" w:rsidRPr="001A12B4">
        <w:rPr>
          <w:rFonts w:eastAsia="楷体_GB2312" w:hint="eastAsia"/>
        </w:rPr>
        <w:t>有效</w:t>
      </w:r>
      <w:r w:rsidR="001A12B4">
        <w:rPr>
          <w:rFonts w:eastAsia="楷体_GB2312" w:hint="eastAsia"/>
        </w:rPr>
        <w:t>地</w:t>
      </w:r>
      <w:r w:rsidR="001A12B4" w:rsidRPr="001A12B4">
        <w:rPr>
          <w:rFonts w:eastAsia="楷体_GB2312" w:hint="eastAsia"/>
        </w:rPr>
        <w:t>区分运气与能力。</w:t>
      </w:r>
    </w:p>
    <w:p w:rsidR="002F5EFF" w:rsidRPr="002F5EFF" w:rsidRDefault="00E84D79" w:rsidP="002F5EFF">
      <w:pPr>
        <w:pStyle w:val="afa"/>
        <w:ind w:left="425"/>
        <w:rPr>
          <w:rFonts w:eastAsia="楷体_GB2312"/>
        </w:rPr>
      </w:pPr>
      <w:r>
        <w:rPr>
          <w:rFonts w:eastAsia="楷体_GB2312" w:hint="eastAsia"/>
        </w:rPr>
        <w:t>该</w:t>
      </w:r>
      <w:r w:rsidR="00AF0491" w:rsidRPr="00D618F5">
        <w:rPr>
          <w:rFonts w:eastAsia="楷体_GB2312" w:hint="eastAsia"/>
        </w:rPr>
        <w:t>方法</w:t>
      </w:r>
      <w:r w:rsidR="002F5EFF" w:rsidRPr="002F5EFF">
        <w:rPr>
          <w:rFonts w:eastAsia="楷体_GB2312" w:hint="eastAsia"/>
        </w:rPr>
        <w:t>的特点</w:t>
      </w:r>
      <w:r w:rsidR="00AF0491">
        <w:rPr>
          <w:rFonts w:eastAsia="楷体_GB2312" w:hint="eastAsia"/>
        </w:rPr>
        <w:t>是</w:t>
      </w:r>
      <w:r w:rsidR="002F5EFF" w:rsidRPr="002F5EFF">
        <w:rPr>
          <w:rFonts w:eastAsia="楷体_GB2312" w:hint="eastAsia"/>
        </w:rPr>
        <w:t>强调能力驱动的业绩</w:t>
      </w:r>
      <w:r w:rsidR="002F5EFF">
        <w:rPr>
          <w:rFonts w:eastAsia="楷体_GB2312" w:hint="eastAsia"/>
        </w:rPr>
        <w:t>，</w:t>
      </w:r>
      <w:r w:rsidR="00AF0491">
        <w:rPr>
          <w:rFonts w:eastAsia="楷体_GB2312" w:hint="eastAsia"/>
        </w:rPr>
        <w:t>因为只有</w:t>
      </w:r>
      <w:r w:rsidR="00AF0491" w:rsidRPr="00AF0491">
        <w:rPr>
          <w:rFonts w:eastAsia="楷体_GB2312" w:hint="eastAsia"/>
        </w:rPr>
        <w:t>能力驱动的业绩才是可持续的和稳定的</w:t>
      </w:r>
      <w:r w:rsidR="00AF0491">
        <w:rPr>
          <w:rFonts w:eastAsia="楷体_GB2312" w:hint="eastAsia"/>
        </w:rPr>
        <w:t>。</w:t>
      </w:r>
    </w:p>
    <w:p w:rsidR="002E3299" w:rsidRDefault="0072005B" w:rsidP="002E3299">
      <w:pPr>
        <w:pStyle w:val="afa"/>
        <w:widowControl/>
        <w:ind w:left="425"/>
        <w:jc w:val="left"/>
        <w:rPr>
          <w:rFonts w:eastAsia="楷体_GB2312"/>
        </w:rPr>
      </w:pPr>
      <w:r>
        <w:rPr>
          <w:rFonts w:eastAsia="楷体_GB2312" w:hint="eastAsia"/>
        </w:rPr>
        <w:t>本报告检验经上海证券基金评价方法遴选出的五星基金的表现。</w:t>
      </w:r>
      <w:r w:rsidR="0010181C">
        <w:rPr>
          <w:rFonts w:eastAsia="楷体_GB2312" w:hint="eastAsia"/>
        </w:rPr>
        <w:t>报告</w:t>
      </w:r>
      <w:r w:rsidR="002E3299">
        <w:rPr>
          <w:rFonts w:eastAsia="楷体_GB2312" w:hint="eastAsia"/>
        </w:rPr>
        <w:t>分析固定型五星基金组合和动态型五星基金组合在不同时间段内的表现。所谓的固定型五星基金组合是指经上海证券基金评价方法遴选出的</w:t>
      </w:r>
      <w:r w:rsidR="002E3299">
        <w:rPr>
          <w:rFonts w:eastAsia="楷体_GB2312" w:hint="eastAsia"/>
        </w:rPr>
        <w:t>2004.7-2007.6</w:t>
      </w:r>
      <w:r w:rsidR="002E3299">
        <w:rPr>
          <w:rFonts w:eastAsia="楷体_GB2312" w:hint="eastAsia"/>
        </w:rPr>
        <w:t>年间</w:t>
      </w:r>
      <w:r w:rsidR="002E3299">
        <w:rPr>
          <w:rFonts w:eastAsia="楷体_GB2312" w:hint="eastAsia"/>
        </w:rPr>
        <w:t>3</w:t>
      </w:r>
      <w:r w:rsidR="002E3299">
        <w:rPr>
          <w:rFonts w:eastAsia="楷体_GB2312" w:hint="eastAsia"/>
        </w:rPr>
        <w:t>年评级为</w:t>
      </w:r>
      <w:r w:rsidR="002E3299">
        <w:rPr>
          <w:rFonts w:eastAsia="楷体_GB2312" w:hint="eastAsia"/>
        </w:rPr>
        <w:t>5</w:t>
      </w:r>
      <w:r w:rsidR="002E3299">
        <w:rPr>
          <w:rFonts w:eastAsia="楷体_GB2312" w:hint="eastAsia"/>
        </w:rPr>
        <w:t>星的混合基金构建的组合，</w:t>
      </w:r>
      <w:r w:rsidR="009E05A6">
        <w:rPr>
          <w:rFonts w:eastAsia="楷体_GB2312" w:hint="eastAsia"/>
        </w:rPr>
        <w:t>检验</w:t>
      </w:r>
      <w:r w:rsidR="002E3299">
        <w:rPr>
          <w:rFonts w:eastAsia="楷体_GB2312" w:hint="eastAsia"/>
        </w:rPr>
        <w:t>这一组合在</w:t>
      </w:r>
      <w:r w:rsidR="002E3299">
        <w:rPr>
          <w:rFonts w:eastAsia="楷体_GB2312" w:hint="eastAsia"/>
        </w:rPr>
        <w:t>2007.7-2010.6</w:t>
      </w:r>
      <w:r w:rsidR="002E3299">
        <w:rPr>
          <w:rFonts w:eastAsia="楷体_GB2312" w:hint="eastAsia"/>
        </w:rPr>
        <w:t>年间的表现；所谓的动态型五星基金组合，是指根据</w:t>
      </w:r>
      <w:r w:rsidR="002E3299">
        <w:rPr>
          <w:rFonts w:eastAsia="楷体_GB2312" w:hint="eastAsia"/>
        </w:rPr>
        <w:t>2007.7-2010.6</w:t>
      </w:r>
      <w:r w:rsidR="002E3299">
        <w:rPr>
          <w:rFonts w:eastAsia="楷体_GB2312" w:hint="eastAsia"/>
        </w:rPr>
        <w:t>间每个季度的评级结果调整五星组合，调入新五星基金、调出降级的基金</w:t>
      </w:r>
      <w:r w:rsidR="009E05A6">
        <w:rPr>
          <w:rFonts w:eastAsia="楷体_GB2312" w:hint="eastAsia"/>
        </w:rPr>
        <w:t>，检验</w:t>
      </w:r>
      <w:r w:rsidR="002E3299">
        <w:rPr>
          <w:rFonts w:eastAsia="楷体_GB2312" w:hint="eastAsia"/>
        </w:rPr>
        <w:t>动态基金构成的组合在</w:t>
      </w:r>
      <w:r w:rsidR="002E3299">
        <w:rPr>
          <w:rFonts w:eastAsia="楷体_GB2312" w:hint="eastAsia"/>
        </w:rPr>
        <w:t>2007-2010</w:t>
      </w:r>
      <w:r w:rsidR="002E3299">
        <w:rPr>
          <w:rFonts w:eastAsia="楷体_GB2312" w:hint="eastAsia"/>
        </w:rPr>
        <w:t>年间的表现。</w:t>
      </w:r>
      <w:r w:rsidR="00D03EDE">
        <w:rPr>
          <w:rFonts w:eastAsia="楷体_GB2312" w:hint="eastAsia"/>
        </w:rPr>
        <w:t>以中证混合基金指数作为业绩基准</w:t>
      </w:r>
      <w:r w:rsidR="00E84D79">
        <w:rPr>
          <w:rFonts w:eastAsia="楷体_GB2312" w:hint="eastAsia"/>
        </w:rPr>
        <w:t>，赋予组合中基金相同的权重。</w:t>
      </w:r>
    </w:p>
    <w:p w:rsidR="0072005B" w:rsidRDefault="0072005B" w:rsidP="00A75775">
      <w:pPr>
        <w:pStyle w:val="afa"/>
        <w:widowControl/>
        <w:ind w:left="425"/>
        <w:jc w:val="left"/>
        <w:rPr>
          <w:rFonts w:eastAsia="楷体_GB2312"/>
        </w:rPr>
      </w:pPr>
      <w:r>
        <w:rPr>
          <w:rFonts w:eastAsia="楷体_GB2312" w:hint="eastAsia"/>
        </w:rPr>
        <w:t>我们</w:t>
      </w:r>
      <w:r w:rsidR="00BA2743">
        <w:rPr>
          <w:rFonts w:eastAsia="楷体_GB2312" w:hint="eastAsia"/>
        </w:rPr>
        <w:t>发现：</w:t>
      </w:r>
    </w:p>
    <w:p w:rsidR="00BA2743" w:rsidRDefault="0072005B" w:rsidP="00A75775">
      <w:pPr>
        <w:pStyle w:val="afa"/>
        <w:widowControl/>
        <w:ind w:left="425"/>
        <w:jc w:val="left"/>
        <w:rPr>
          <w:rFonts w:eastAsia="楷体_GB2312"/>
        </w:rPr>
      </w:pPr>
      <w:r>
        <w:rPr>
          <w:rFonts w:eastAsia="楷体_GB2312" w:hint="eastAsia"/>
        </w:rPr>
        <w:t>对于固定型五星</w:t>
      </w:r>
      <w:r w:rsidR="00BA2743">
        <w:rPr>
          <w:rFonts w:eastAsia="楷体_GB2312" w:hint="eastAsia"/>
        </w:rPr>
        <w:t>基金</w:t>
      </w:r>
      <w:r>
        <w:rPr>
          <w:rFonts w:eastAsia="楷体_GB2312" w:hint="eastAsia"/>
        </w:rPr>
        <w:t>组合，</w:t>
      </w:r>
      <w:r w:rsidR="00BA2743">
        <w:rPr>
          <w:rFonts w:eastAsia="楷体_GB2312" w:hint="eastAsia"/>
        </w:rPr>
        <w:t>在短期</w:t>
      </w:r>
      <w:r w:rsidR="004F01ED">
        <w:rPr>
          <w:rFonts w:eastAsia="楷体_GB2312" w:hint="eastAsia"/>
        </w:rPr>
        <w:t>内</w:t>
      </w:r>
      <w:r w:rsidR="00FE3836">
        <w:rPr>
          <w:rFonts w:eastAsia="楷体_GB2312" w:hint="eastAsia"/>
        </w:rPr>
        <w:t>业绩</w:t>
      </w:r>
      <w:r w:rsidR="00BA2743">
        <w:rPr>
          <w:rFonts w:eastAsia="楷体_GB2312" w:hint="eastAsia"/>
        </w:rPr>
        <w:t>与</w:t>
      </w:r>
      <w:r w:rsidR="00FE3836">
        <w:rPr>
          <w:rFonts w:eastAsia="楷体_GB2312" w:hint="eastAsia"/>
        </w:rPr>
        <w:t>比较基准无</w:t>
      </w:r>
      <w:r w:rsidR="00BA2743">
        <w:rPr>
          <w:rFonts w:eastAsia="楷体_GB2312" w:hint="eastAsia"/>
        </w:rPr>
        <w:t>差异，但是在一个相对较长的时间内，固定</w:t>
      </w:r>
      <w:r w:rsidR="004F01ED">
        <w:rPr>
          <w:rFonts w:eastAsia="楷体_GB2312" w:hint="eastAsia"/>
        </w:rPr>
        <w:t>型</w:t>
      </w:r>
      <w:r w:rsidR="00FE3836">
        <w:rPr>
          <w:rFonts w:eastAsia="楷体_GB2312" w:hint="eastAsia"/>
        </w:rPr>
        <w:t>五星</w:t>
      </w:r>
      <w:r w:rsidR="00BA2743">
        <w:rPr>
          <w:rFonts w:eastAsia="楷体_GB2312" w:hint="eastAsia"/>
        </w:rPr>
        <w:t>基金</w:t>
      </w:r>
      <w:r w:rsidR="004F01ED">
        <w:rPr>
          <w:rFonts w:eastAsia="楷体_GB2312" w:hint="eastAsia"/>
        </w:rPr>
        <w:t>组合</w:t>
      </w:r>
      <w:r w:rsidR="00BA2743">
        <w:rPr>
          <w:rFonts w:eastAsia="楷体_GB2312" w:hint="eastAsia"/>
        </w:rPr>
        <w:t>的业绩能够</w:t>
      </w:r>
      <w:r w:rsidR="00BA2743" w:rsidRPr="00745E5A">
        <w:rPr>
          <w:rFonts w:eastAsia="楷体_GB2312" w:hint="eastAsia"/>
          <w:b/>
          <w:u w:val="single"/>
        </w:rPr>
        <w:t>一定程度</w:t>
      </w:r>
      <w:r w:rsidR="00BA2743">
        <w:rPr>
          <w:rFonts w:eastAsia="楷体_GB2312" w:hint="eastAsia"/>
        </w:rPr>
        <w:t>的超越业绩比较基准。</w:t>
      </w:r>
      <w:r w:rsidR="00075309">
        <w:rPr>
          <w:rFonts w:eastAsia="楷体_GB2312" w:hint="eastAsia"/>
        </w:rPr>
        <w:t>在</w:t>
      </w:r>
      <w:r w:rsidR="00075309">
        <w:rPr>
          <w:rFonts w:eastAsia="楷体_GB2312" w:hint="eastAsia"/>
        </w:rPr>
        <w:t>2007.7-2010.6</w:t>
      </w:r>
      <w:r w:rsidR="00075309">
        <w:rPr>
          <w:rFonts w:eastAsia="楷体_GB2312" w:hint="eastAsia"/>
        </w:rPr>
        <w:t>间，固定型五星组合的累积收益为</w:t>
      </w:r>
      <w:r w:rsidR="00075309">
        <w:rPr>
          <w:rFonts w:eastAsia="楷体_GB2312" w:hint="eastAsia"/>
        </w:rPr>
        <w:t>2.06%</w:t>
      </w:r>
      <w:r w:rsidR="00075309">
        <w:rPr>
          <w:rFonts w:eastAsia="楷体_GB2312" w:hint="eastAsia"/>
        </w:rPr>
        <w:t>，中证混合基金指数的累积收益为</w:t>
      </w:r>
      <w:r w:rsidR="00075309">
        <w:rPr>
          <w:rFonts w:eastAsia="楷体_GB2312" w:hint="eastAsia"/>
        </w:rPr>
        <w:t>-5.09%</w:t>
      </w:r>
      <w:r w:rsidR="00075309">
        <w:rPr>
          <w:rFonts w:eastAsia="楷体_GB2312" w:hint="eastAsia"/>
        </w:rPr>
        <w:t>，而同期沪深</w:t>
      </w:r>
      <w:r w:rsidR="00075309">
        <w:rPr>
          <w:rFonts w:eastAsia="楷体_GB2312" w:hint="eastAsia"/>
        </w:rPr>
        <w:t>300</w:t>
      </w:r>
      <w:r w:rsidR="00075309">
        <w:rPr>
          <w:rFonts w:eastAsia="楷体_GB2312" w:hint="eastAsia"/>
        </w:rPr>
        <w:t>的累积收益为</w:t>
      </w:r>
      <w:r w:rsidR="00075309">
        <w:rPr>
          <w:rFonts w:eastAsia="楷体_GB2312" w:hint="eastAsia"/>
        </w:rPr>
        <w:t>-31.9%</w:t>
      </w:r>
      <w:r w:rsidR="00075309">
        <w:rPr>
          <w:rFonts w:eastAsia="楷体_GB2312" w:hint="eastAsia"/>
        </w:rPr>
        <w:t>。</w:t>
      </w:r>
    </w:p>
    <w:p w:rsidR="00BA2743" w:rsidRPr="00DC1841" w:rsidRDefault="0072005B" w:rsidP="00A75775">
      <w:pPr>
        <w:pStyle w:val="afa"/>
        <w:widowControl/>
        <w:ind w:left="425"/>
        <w:jc w:val="left"/>
        <w:rPr>
          <w:rFonts w:eastAsia="楷体_GB2312"/>
          <w:color w:val="000000"/>
          <w:kern w:val="0"/>
          <w:szCs w:val="21"/>
        </w:rPr>
      </w:pPr>
      <w:r>
        <w:rPr>
          <w:rFonts w:eastAsia="楷体_GB2312" w:hint="eastAsia"/>
        </w:rPr>
        <w:t>对于动态型五星基金组合，</w:t>
      </w:r>
      <w:r w:rsidR="00BA2743" w:rsidRPr="00DC1841">
        <w:rPr>
          <w:rFonts w:eastAsia="楷体_GB2312" w:hint="eastAsia"/>
        </w:rPr>
        <w:t>在短期内</w:t>
      </w:r>
      <w:r w:rsidR="004F01ED">
        <w:rPr>
          <w:rFonts w:eastAsia="楷体_GB2312" w:hint="eastAsia"/>
        </w:rPr>
        <w:t>业绩</w:t>
      </w:r>
      <w:r w:rsidR="00BA2743" w:rsidRPr="00DC1841">
        <w:rPr>
          <w:rFonts w:eastAsia="楷体_GB2312" w:hint="eastAsia"/>
        </w:rPr>
        <w:t>同样与</w:t>
      </w:r>
      <w:r w:rsidR="004F01ED">
        <w:rPr>
          <w:rFonts w:eastAsia="楷体_GB2312" w:hint="eastAsia"/>
        </w:rPr>
        <w:t>比较基准</w:t>
      </w:r>
      <w:r w:rsidR="00BA2743" w:rsidRPr="00DC1841">
        <w:rPr>
          <w:rFonts w:eastAsia="楷体_GB2312" w:hint="eastAsia"/>
        </w:rPr>
        <w:t>无差异，</w:t>
      </w:r>
      <w:r w:rsidR="00BA2743">
        <w:rPr>
          <w:rFonts w:eastAsia="楷体_GB2312" w:hint="eastAsia"/>
        </w:rPr>
        <w:t>但</w:t>
      </w:r>
      <w:r w:rsidR="00BA2743" w:rsidRPr="00DC1841">
        <w:rPr>
          <w:rFonts w:eastAsia="楷体_GB2312" w:hint="eastAsia"/>
        </w:rPr>
        <w:t>在长期内</w:t>
      </w:r>
      <w:r w:rsidR="00BA2743">
        <w:rPr>
          <w:rFonts w:eastAsia="楷体_GB2312" w:hint="eastAsia"/>
        </w:rPr>
        <w:t>动态</w:t>
      </w:r>
      <w:r w:rsidR="004F01ED">
        <w:rPr>
          <w:rFonts w:eastAsia="楷体_GB2312" w:hint="eastAsia"/>
        </w:rPr>
        <w:t>五星</w:t>
      </w:r>
      <w:r w:rsidR="00BA2743">
        <w:rPr>
          <w:rFonts w:eastAsia="楷体_GB2312" w:hint="eastAsia"/>
        </w:rPr>
        <w:t>组合业绩</w:t>
      </w:r>
      <w:r w:rsidR="00BA2743">
        <w:rPr>
          <w:rFonts w:eastAsia="楷体_GB2312" w:hint="eastAsia"/>
          <w:b/>
          <w:u w:val="single"/>
        </w:rPr>
        <w:t>显著地</w:t>
      </w:r>
      <w:r w:rsidR="00BA2743" w:rsidRPr="00DC1841">
        <w:rPr>
          <w:rFonts w:eastAsia="楷体_GB2312" w:hint="eastAsia"/>
        </w:rPr>
        <w:t>超越了比较基准</w:t>
      </w:r>
      <w:r w:rsidR="00FE3836">
        <w:rPr>
          <w:rFonts w:eastAsia="楷体_GB2312" w:hint="eastAsia"/>
        </w:rPr>
        <w:t>，也超越了固定型五星组合</w:t>
      </w:r>
      <w:r w:rsidR="00BA2743" w:rsidRPr="00DC1841">
        <w:rPr>
          <w:rFonts w:eastAsia="楷体_GB2312" w:hint="eastAsia"/>
        </w:rPr>
        <w:t>。</w:t>
      </w:r>
      <w:r w:rsidR="00075309">
        <w:rPr>
          <w:rFonts w:eastAsia="楷体_GB2312" w:hint="eastAsia"/>
        </w:rPr>
        <w:t>在</w:t>
      </w:r>
      <w:r w:rsidR="00075309">
        <w:rPr>
          <w:rFonts w:eastAsia="楷体_GB2312" w:hint="eastAsia"/>
        </w:rPr>
        <w:t>2007.7-2010.6</w:t>
      </w:r>
      <w:r w:rsidR="00075309">
        <w:rPr>
          <w:rFonts w:eastAsia="楷体_GB2312" w:hint="eastAsia"/>
        </w:rPr>
        <w:t>间，动态型五星组合的累积收益为</w:t>
      </w:r>
      <w:r w:rsidR="00075309">
        <w:rPr>
          <w:rFonts w:eastAsia="楷体_GB2312" w:hint="eastAsia"/>
        </w:rPr>
        <w:t>11.68%</w:t>
      </w:r>
      <w:r w:rsidR="00075309">
        <w:rPr>
          <w:rFonts w:eastAsia="楷体_GB2312" w:hint="eastAsia"/>
        </w:rPr>
        <w:t>，中证混合基金指数的累积收益为</w:t>
      </w:r>
      <w:r w:rsidR="00075309">
        <w:rPr>
          <w:rFonts w:eastAsia="楷体_GB2312" w:hint="eastAsia"/>
        </w:rPr>
        <w:t>-5.09%</w:t>
      </w:r>
      <w:r w:rsidR="00075309">
        <w:rPr>
          <w:rFonts w:eastAsia="楷体_GB2312" w:hint="eastAsia"/>
        </w:rPr>
        <w:t>，同期沪深</w:t>
      </w:r>
      <w:r w:rsidR="00075309">
        <w:rPr>
          <w:rFonts w:eastAsia="楷体_GB2312" w:hint="eastAsia"/>
        </w:rPr>
        <w:t>300</w:t>
      </w:r>
      <w:r w:rsidR="00075309">
        <w:rPr>
          <w:rFonts w:eastAsia="楷体_GB2312" w:hint="eastAsia"/>
        </w:rPr>
        <w:t>的累积收益为</w:t>
      </w:r>
      <w:r w:rsidR="00075309">
        <w:rPr>
          <w:rFonts w:eastAsia="楷体_GB2312" w:hint="eastAsia"/>
        </w:rPr>
        <w:t>-31.9%</w:t>
      </w:r>
      <w:r w:rsidR="00075309">
        <w:rPr>
          <w:rFonts w:eastAsia="楷体_GB2312" w:hint="eastAsia"/>
        </w:rPr>
        <w:t>。</w:t>
      </w:r>
    </w:p>
    <w:p w:rsidR="004F60B1" w:rsidRPr="00BA2743" w:rsidRDefault="004F60B1" w:rsidP="00BD452A">
      <w:pPr>
        <w:pStyle w:val="afa"/>
        <w:widowControl/>
        <w:spacing w:line="360" w:lineRule="auto"/>
        <w:ind w:left="425"/>
        <w:jc w:val="left"/>
        <w:rPr>
          <w:rFonts w:eastAsia="楷体_GB2312"/>
        </w:rPr>
      </w:pPr>
    </w:p>
    <w:p w:rsidR="004F60B1" w:rsidRPr="004F60B1" w:rsidRDefault="004F60B1" w:rsidP="004F60B1">
      <w:pPr>
        <w:pStyle w:val="afa"/>
        <w:widowControl/>
        <w:ind w:left="425" w:firstLineChars="0" w:firstLine="0"/>
        <w:jc w:val="left"/>
        <w:rPr>
          <w:rFonts w:eastAsia="楷体_GB2312"/>
          <w:color w:val="000000"/>
          <w:kern w:val="0"/>
          <w:szCs w:val="21"/>
        </w:rPr>
      </w:pPr>
    </w:p>
    <w:p w:rsidR="00F7746E" w:rsidRPr="0021259C" w:rsidRDefault="00F7746E" w:rsidP="00F7746E">
      <w:pPr>
        <w:ind w:firstLineChars="196" w:firstLine="412"/>
        <w:outlineLvl w:val="0"/>
        <w:rPr>
          <w:rFonts w:eastAsia="楷体_GB2312"/>
        </w:rPr>
      </w:pPr>
    </w:p>
    <w:p w:rsidR="00722668" w:rsidRPr="00394675" w:rsidRDefault="00722668">
      <w:pPr>
        <w:rPr>
          <w:sz w:val="18"/>
          <w:szCs w:val="18"/>
        </w:rPr>
        <w:sectPr w:rsidR="00722668" w:rsidRPr="00394675" w:rsidSect="00970BC2">
          <w:headerReference w:type="default" r:id="rId14"/>
          <w:footerReference w:type="even" r:id="rId15"/>
          <w:footerReference w:type="default" r:id="rId16"/>
          <w:pgSz w:w="11906" w:h="16838"/>
          <w:pgMar w:top="3402" w:right="1134" w:bottom="1418" w:left="4536" w:header="851" w:footer="992" w:gutter="0"/>
          <w:cols w:space="425"/>
          <w:docGrid w:type="lines" w:linePitch="312"/>
        </w:sectPr>
      </w:pPr>
    </w:p>
    <w:p w:rsidR="00A265AC" w:rsidRDefault="00A265AC" w:rsidP="00D5489A">
      <w:pPr>
        <w:widowControl/>
        <w:ind w:firstLineChars="200" w:firstLine="420"/>
        <w:jc w:val="left"/>
        <w:rPr>
          <w:rFonts w:eastAsia="楷体_GB2312"/>
        </w:rPr>
      </w:pPr>
      <w:r>
        <w:rPr>
          <w:rFonts w:eastAsia="楷体_GB2312" w:hint="eastAsia"/>
        </w:rPr>
        <w:lastRenderedPageBreak/>
        <w:t>2010</w:t>
      </w:r>
      <w:r>
        <w:rPr>
          <w:rFonts w:eastAsia="楷体_GB2312" w:hint="eastAsia"/>
        </w:rPr>
        <w:t>年</w:t>
      </w:r>
      <w:r>
        <w:rPr>
          <w:rFonts w:eastAsia="楷体_GB2312" w:hint="eastAsia"/>
        </w:rPr>
        <w:t>5</w:t>
      </w:r>
      <w:r>
        <w:rPr>
          <w:rFonts w:eastAsia="楷体_GB2312" w:hint="eastAsia"/>
        </w:rPr>
        <w:t>月，第一批基金评价机构名单出炉后，各家评级机构的星级报告已逐渐定期披露。投资者关心的是，那些被评为五星级的基金是否在未来会</w:t>
      </w:r>
      <w:r w:rsidR="00EF0FC6">
        <w:rPr>
          <w:rFonts w:eastAsia="楷体_GB2312" w:hint="eastAsia"/>
        </w:rPr>
        <w:t>持续</w:t>
      </w:r>
      <w:r>
        <w:rPr>
          <w:rFonts w:eastAsia="楷体_GB2312" w:hint="eastAsia"/>
        </w:rPr>
        <w:t>表现良好？能否参考星级来购买基金？本报告以上海证券基金评级系统为对象，从一个较长</w:t>
      </w:r>
      <w:r w:rsidR="00EF0FC6">
        <w:rPr>
          <w:rFonts w:eastAsia="楷体_GB2312" w:hint="eastAsia"/>
        </w:rPr>
        <w:t>的</w:t>
      </w:r>
      <w:r>
        <w:rPr>
          <w:rFonts w:eastAsia="楷体_GB2312" w:hint="eastAsia"/>
        </w:rPr>
        <w:t>时间来</w:t>
      </w:r>
      <w:r w:rsidR="00EF0FC6">
        <w:rPr>
          <w:rFonts w:eastAsia="楷体_GB2312" w:hint="eastAsia"/>
        </w:rPr>
        <w:t>考察那些在历史上被评为五星级</w:t>
      </w:r>
      <w:r>
        <w:rPr>
          <w:rFonts w:eastAsia="楷体_GB2312" w:hint="eastAsia"/>
        </w:rPr>
        <w:t>基金的业绩表现。</w:t>
      </w:r>
      <w:r w:rsidR="00630ACF">
        <w:rPr>
          <w:rFonts w:eastAsia="楷体_GB2312" w:hint="eastAsia"/>
        </w:rPr>
        <w:t>报告从两个角度来进行分析，一个角度是固定型五星基金组合的表现，即一个确定的五星基金组合在</w:t>
      </w:r>
      <w:r w:rsidR="00630ACF">
        <w:rPr>
          <w:rFonts w:eastAsia="楷体_GB2312" w:hint="eastAsia"/>
        </w:rPr>
        <w:t>2007</w:t>
      </w:r>
      <w:r w:rsidR="00F40B7D">
        <w:rPr>
          <w:rFonts w:eastAsia="楷体_GB2312" w:hint="eastAsia"/>
        </w:rPr>
        <w:t>.7</w:t>
      </w:r>
      <w:r w:rsidR="00F40B7D">
        <w:rPr>
          <w:rFonts w:eastAsia="楷体_GB2312" w:hint="eastAsia"/>
        </w:rPr>
        <w:t>月</w:t>
      </w:r>
      <w:r w:rsidR="00630ACF">
        <w:rPr>
          <w:rFonts w:eastAsia="楷体_GB2312" w:hint="eastAsia"/>
        </w:rPr>
        <w:t>—</w:t>
      </w:r>
      <w:r w:rsidR="00630ACF">
        <w:rPr>
          <w:rFonts w:eastAsia="楷体_GB2312" w:hint="eastAsia"/>
        </w:rPr>
        <w:t>2010</w:t>
      </w:r>
      <w:r w:rsidR="00F40B7D">
        <w:rPr>
          <w:rFonts w:eastAsia="楷体_GB2312" w:hint="eastAsia"/>
        </w:rPr>
        <w:t>.6</w:t>
      </w:r>
      <w:r w:rsidR="00F40B7D">
        <w:rPr>
          <w:rFonts w:eastAsia="楷体_GB2312" w:hint="eastAsia"/>
        </w:rPr>
        <w:t>月</w:t>
      </w:r>
      <w:r w:rsidR="00630ACF">
        <w:rPr>
          <w:rFonts w:eastAsia="楷体_GB2312" w:hint="eastAsia"/>
        </w:rPr>
        <w:t>3</w:t>
      </w:r>
      <w:r w:rsidR="00630ACF">
        <w:rPr>
          <w:rFonts w:eastAsia="楷体_GB2312" w:hint="eastAsia"/>
        </w:rPr>
        <w:t>年中的表现；另一个角度是动态型五星基金组合，即根据每个季度的评级结果调整组合，调入新五星基金、调出降级的基金，跟踪该动态组</w:t>
      </w:r>
      <w:r w:rsidR="00EF0FC6">
        <w:rPr>
          <w:rFonts w:eastAsia="楷体_GB2312" w:hint="eastAsia"/>
        </w:rPr>
        <w:t>合</w:t>
      </w:r>
      <w:r w:rsidR="00630ACF">
        <w:rPr>
          <w:rFonts w:eastAsia="楷体_GB2312" w:hint="eastAsia"/>
        </w:rPr>
        <w:t>在</w:t>
      </w:r>
      <w:r w:rsidR="00F40B7D">
        <w:rPr>
          <w:rFonts w:eastAsia="楷体_GB2312" w:hint="eastAsia"/>
        </w:rPr>
        <w:t>2007</w:t>
      </w:r>
      <w:r w:rsidR="00F40B7D">
        <w:rPr>
          <w:rFonts w:eastAsia="楷体_GB2312" w:hint="eastAsia"/>
        </w:rPr>
        <w:t>年</w:t>
      </w:r>
      <w:r w:rsidR="00F40B7D">
        <w:rPr>
          <w:rFonts w:eastAsia="楷体_GB2312" w:hint="eastAsia"/>
        </w:rPr>
        <w:t>7</w:t>
      </w:r>
      <w:r w:rsidR="00F40B7D">
        <w:rPr>
          <w:rFonts w:eastAsia="楷体_GB2312" w:hint="eastAsia"/>
        </w:rPr>
        <w:t>月</w:t>
      </w:r>
      <w:r w:rsidR="00630ACF">
        <w:rPr>
          <w:rFonts w:eastAsia="楷体_GB2312" w:hint="eastAsia"/>
        </w:rPr>
        <w:t>—</w:t>
      </w:r>
      <w:r w:rsidR="00630ACF">
        <w:rPr>
          <w:rFonts w:eastAsia="楷体_GB2312" w:hint="eastAsia"/>
        </w:rPr>
        <w:t>2010</w:t>
      </w:r>
      <w:r w:rsidR="00630ACF">
        <w:rPr>
          <w:rFonts w:eastAsia="楷体_GB2312" w:hint="eastAsia"/>
        </w:rPr>
        <w:t>年</w:t>
      </w:r>
      <w:r w:rsidR="00F40B7D">
        <w:rPr>
          <w:rFonts w:eastAsia="楷体_GB2312" w:hint="eastAsia"/>
        </w:rPr>
        <w:t>6</w:t>
      </w:r>
      <w:r w:rsidR="00F40B7D">
        <w:rPr>
          <w:rFonts w:eastAsia="楷体_GB2312" w:hint="eastAsia"/>
        </w:rPr>
        <w:t>月</w:t>
      </w:r>
      <w:r w:rsidR="00630ACF">
        <w:rPr>
          <w:rFonts w:eastAsia="楷体_GB2312" w:hint="eastAsia"/>
        </w:rPr>
        <w:t>3</w:t>
      </w:r>
      <w:r w:rsidR="00630ACF">
        <w:rPr>
          <w:rFonts w:eastAsia="楷体_GB2312" w:hint="eastAsia"/>
        </w:rPr>
        <w:t>年中的表现。</w:t>
      </w:r>
      <w:r>
        <w:rPr>
          <w:rFonts w:eastAsia="楷体_GB2312" w:hint="eastAsia"/>
        </w:rPr>
        <w:t>结果发现：虽然基金的星级反映的是基金的历史表现，但</w:t>
      </w:r>
      <w:r w:rsidR="00EF0FC6">
        <w:rPr>
          <w:rFonts w:eastAsia="楷体_GB2312" w:hint="eastAsia"/>
        </w:rPr>
        <w:t>在长期内</w:t>
      </w:r>
      <w:r>
        <w:rPr>
          <w:rFonts w:eastAsia="楷体_GB2312" w:hint="eastAsia"/>
        </w:rPr>
        <w:t>对投资者具有一定的参考作用</w:t>
      </w:r>
      <w:r w:rsidR="00334969">
        <w:rPr>
          <w:rFonts w:eastAsia="楷体_GB2312" w:hint="eastAsia"/>
        </w:rPr>
        <w:t>。</w:t>
      </w:r>
    </w:p>
    <w:p w:rsidR="00D5489A" w:rsidRDefault="00A14BF3" w:rsidP="00D5489A">
      <w:pPr>
        <w:pStyle w:val="afa"/>
        <w:widowControl/>
        <w:numPr>
          <w:ilvl w:val="0"/>
          <w:numId w:val="19"/>
        </w:numPr>
        <w:ind w:firstLineChars="0"/>
        <w:jc w:val="left"/>
        <w:rPr>
          <w:rFonts w:eastAsia="楷体_GB2312"/>
          <w:color w:val="000000"/>
          <w:kern w:val="0"/>
          <w:szCs w:val="21"/>
        </w:rPr>
      </w:pPr>
      <w:r>
        <w:rPr>
          <w:rFonts w:eastAsia="楷体_GB2312" w:hint="eastAsia"/>
        </w:rPr>
        <w:t>固定型五星基金组合，</w:t>
      </w:r>
      <w:r w:rsidR="00783710">
        <w:rPr>
          <w:rFonts w:eastAsia="楷体_GB2312" w:hint="eastAsia"/>
        </w:rPr>
        <w:t>在短期</w:t>
      </w:r>
      <w:r w:rsidR="00AD0C85">
        <w:rPr>
          <w:rFonts w:eastAsia="楷体_GB2312" w:hint="eastAsia"/>
        </w:rPr>
        <w:t>业绩</w:t>
      </w:r>
      <w:r w:rsidR="00783710">
        <w:rPr>
          <w:rFonts w:eastAsia="楷体_GB2312" w:hint="eastAsia"/>
        </w:rPr>
        <w:t>与</w:t>
      </w:r>
      <w:r w:rsidR="00EF0FC6">
        <w:rPr>
          <w:rFonts w:eastAsia="楷体_GB2312" w:hint="eastAsia"/>
        </w:rPr>
        <w:t>比较基准</w:t>
      </w:r>
      <w:r>
        <w:rPr>
          <w:rFonts w:eastAsia="楷体_GB2312" w:hint="eastAsia"/>
        </w:rPr>
        <w:t>无</w:t>
      </w:r>
      <w:r w:rsidR="00783710">
        <w:rPr>
          <w:rFonts w:eastAsia="楷体_GB2312" w:hint="eastAsia"/>
        </w:rPr>
        <w:t>差异</w:t>
      </w:r>
      <w:r w:rsidR="0042594C">
        <w:rPr>
          <w:rFonts w:eastAsia="楷体_GB2312" w:hint="eastAsia"/>
        </w:rPr>
        <w:t>，但是在一个相对较长的时间内，</w:t>
      </w:r>
      <w:r>
        <w:rPr>
          <w:rFonts w:eastAsia="楷体_GB2312" w:hint="eastAsia"/>
        </w:rPr>
        <w:t>固定型</w:t>
      </w:r>
      <w:r w:rsidR="0042594C">
        <w:rPr>
          <w:rFonts w:eastAsia="楷体_GB2312" w:hint="eastAsia"/>
        </w:rPr>
        <w:t>五星级</w:t>
      </w:r>
      <w:r>
        <w:rPr>
          <w:rFonts w:eastAsia="楷体_GB2312" w:hint="eastAsia"/>
        </w:rPr>
        <w:t>组合基金</w:t>
      </w:r>
      <w:r w:rsidR="0042594C">
        <w:rPr>
          <w:rFonts w:eastAsia="楷体_GB2312" w:hint="eastAsia"/>
        </w:rPr>
        <w:t>业绩</w:t>
      </w:r>
      <w:r>
        <w:rPr>
          <w:rFonts w:eastAsia="楷体_GB2312" w:hint="eastAsia"/>
        </w:rPr>
        <w:t>能够在</w:t>
      </w:r>
      <w:r w:rsidRPr="00844567">
        <w:rPr>
          <w:rFonts w:eastAsia="楷体_GB2312" w:hint="eastAsia"/>
          <w:b/>
          <w:u w:val="single"/>
        </w:rPr>
        <w:t>一定程度上</w:t>
      </w:r>
      <w:r w:rsidR="0042594C">
        <w:rPr>
          <w:rFonts w:eastAsia="楷体_GB2312" w:hint="eastAsia"/>
        </w:rPr>
        <w:t>超越</w:t>
      </w:r>
      <w:r w:rsidR="00DC1841">
        <w:rPr>
          <w:rFonts w:eastAsia="楷体_GB2312" w:hint="eastAsia"/>
        </w:rPr>
        <w:t>比较</w:t>
      </w:r>
      <w:r>
        <w:rPr>
          <w:rFonts w:eastAsia="楷体_GB2312" w:hint="eastAsia"/>
        </w:rPr>
        <w:t>基准</w:t>
      </w:r>
      <w:r w:rsidR="0042594C">
        <w:rPr>
          <w:rFonts w:eastAsia="楷体_GB2312" w:hint="eastAsia"/>
        </w:rPr>
        <w:t>。</w:t>
      </w:r>
    </w:p>
    <w:p w:rsidR="00783710" w:rsidRPr="00DC1841" w:rsidRDefault="00DC1841" w:rsidP="00D5489A">
      <w:pPr>
        <w:pStyle w:val="afa"/>
        <w:widowControl/>
        <w:numPr>
          <w:ilvl w:val="0"/>
          <w:numId w:val="19"/>
        </w:numPr>
        <w:ind w:firstLineChars="0"/>
        <w:jc w:val="left"/>
        <w:rPr>
          <w:rFonts w:eastAsia="楷体_GB2312"/>
          <w:color w:val="000000"/>
          <w:kern w:val="0"/>
          <w:szCs w:val="21"/>
        </w:rPr>
      </w:pPr>
      <w:r w:rsidRPr="00DC1841">
        <w:rPr>
          <w:rFonts w:eastAsia="楷体_GB2312" w:hint="eastAsia"/>
        </w:rPr>
        <w:t>动态型五星基金组合，在短期内</w:t>
      </w:r>
      <w:r w:rsidR="00AD0C85">
        <w:rPr>
          <w:rFonts w:eastAsia="楷体_GB2312" w:hint="eastAsia"/>
        </w:rPr>
        <w:t>业绩</w:t>
      </w:r>
      <w:r w:rsidRPr="00DC1841">
        <w:rPr>
          <w:rFonts w:eastAsia="楷体_GB2312" w:hint="eastAsia"/>
        </w:rPr>
        <w:t>同样与</w:t>
      </w:r>
      <w:r w:rsidR="00EF0FC6">
        <w:rPr>
          <w:rFonts w:eastAsia="楷体_GB2312" w:hint="eastAsia"/>
        </w:rPr>
        <w:t>比较基准</w:t>
      </w:r>
      <w:r w:rsidRPr="00DC1841">
        <w:rPr>
          <w:rFonts w:eastAsia="楷体_GB2312" w:hint="eastAsia"/>
        </w:rPr>
        <w:t>无差异，</w:t>
      </w:r>
      <w:r>
        <w:rPr>
          <w:rFonts w:eastAsia="楷体_GB2312" w:hint="eastAsia"/>
        </w:rPr>
        <w:t>但</w:t>
      </w:r>
      <w:r w:rsidR="00783710" w:rsidRPr="00DC1841">
        <w:rPr>
          <w:rFonts w:eastAsia="楷体_GB2312" w:hint="eastAsia"/>
        </w:rPr>
        <w:t>在长期内</w:t>
      </w:r>
      <w:r>
        <w:rPr>
          <w:rFonts w:eastAsia="楷体_GB2312" w:hint="eastAsia"/>
        </w:rPr>
        <w:t>动态组合业绩</w:t>
      </w:r>
      <w:r w:rsidR="00685651">
        <w:rPr>
          <w:rFonts w:eastAsia="楷体_GB2312" w:hint="eastAsia"/>
          <w:b/>
          <w:u w:val="single"/>
        </w:rPr>
        <w:t>显著地</w:t>
      </w:r>
      <w:r w:rsidR="00783710" w:rsidRPr="00DC1841">
        <w:rPr>
          <w:rFonts w:eastAsia="楷体_GB2312" w:hint="eastAsia"/>
        </w:rPr>
        <w:t>超越了比较基准。</w:t>
      </w:r>
    </w:p>
    <w:p w:rsidR="00FF5243" w:rsidRPr="00AD0C85" w:rsidRDefault="00FF5243" w:rsidP="00FF5243">
      <w:pPr>
        <w:pStyle w:val="afa"/>
        <w:widowControl/>
        <w:ind w:left="840" w:firstLineChars="0" w:firstLine="0"/>
        <w:jc w:val="left"/>
        <w:rPr>
          <w:rFonts w:eastAsia="楷体_GB2312"/>
          <w:color w:val="000000"/>
          <w:kern w:val="0"/>
          <w:szCs w:val="21"/>
        </w:rPr>
      </w:pPr>
    </w:p>
    <w:p w:rsidR="004833F1" w:rsidRDefault="004833F1" w:rsidP="004932D9">
      <w:pPr>
        <w:spacing w:line="0" w:lineRule="atLeast"/>
        <w:rPr>
          <w:rFonts w:eastAsia="楷体_GB2312"/>
          <w:b/>
          <w:color w:val="003366"/>
          <w:sz w:val="28"/>
          <w:szCs w:val="28"/>
        </w:rPr>
      </w:pPr>
      <w:r w:rsidRPr="0021259C">
        <w:rPr>
          <w:rFonts w:eastAsia="楷体_GB2312"/>
          <w:b/>
          <w:color w:val="003366"/>
          <w:sz w:val="28"/>
          <w:szCs w:val="28"/>
        </w:rPr>
        <w:t>一、</w:t>
      </w:r>
      <w:r w:rsidR="009D2C75">
        <w:rPr>
          <w:rFonts w:eastAsia="楷体_GB2312" w:hint="eastAsia"/>
          <w:b/>
          <w:color w:val="003366"/>
          <w:sz w:val="28"/>
          <w:szCs w:val="28"/>
        </w:rPr>
        <w:t>固定</w:t>
      </w:r>
      <w:r w:rsidR="00C90891">
        <w:rPr>
          <w:rFonts w:eastAsia="楷体_GB2312" w:hint="eastAsia"/>
          <w:b/>
          <w:color w:val="003366"/>
          <w:sz w:val="28"/>
          <w:szCs w:val="28"/>
        </w:rPr>
        <w:t>五星</w:t>
      </w:r>
      <w:r w:rsidR="00114638">
        <w:rPr>
          <w:rFonts w:eastAsia="楷体_GB2312" w:hint="eastAsia"/>
          <w:b/>
          <w:color w:val="003366"/>
          <w:sz w:val="28"/>
          <w:szCs w:val="28"/>
        </w:rPr>
        <w:t>基金</w:t>
      </w:r>
      <w:r w:rsidR="009D2C75">
        <w:rPr>
          <w:rFonts w:eastAsia="楷体_GB2312" w:hint="eastAsia"/>
          <w:b/>
          <w:color w:val="003366"/>
          <w:sz w:val="28"/>
          <w:szCs w:val="28"/>
        </w:rPr>
        <w:t>组合</w:t>
      </w:r>
      <w:r w:rsidR="000659A3">
        <w:rPr>
          <w:rFonts w:eastAsia="楷体_GB2312" w:hint="eastAsia"/>
          <w:b/>
          <w:color w:val="003366"/>
          <w:sz w:val="28"/>
          <w:szCs w:val="28"/>
        </w:rPr>
        <w:t>在长期内</w:t>
      </w:r>
      <w:r w:rsidR="000659A3" w:rsidRPr="00CF40C8">
        <w:rPr>
          <w:rFonts w:eastAsia="楷体_GB2312" w:hint="eastAsia"/>
          <w:b/>
          <w:color w:val="003366"/>
          <w:sz w:val="28"/>
          <w:szCs w:val="28"/>
          <w:u w:val="single"/>
        </w:rPr>
        <w:t>一定程度上</w:t>
      </w:r>
      <w:r w:rsidR="00114638">
        <w:rPr>
          <w:rFonts w:eastAsia="楷体_GB2312" w:hint="eastAsia"/>
          <w:b/>
          <w:color w:val="003366"/>
          <w:sz w:val="28"/>
          <w:szCs w:val="28"/>
        </w:rPr>
        <w:t>超过比较基准</w:t>
      </w:r>
    </w:p>
    <w:p w:rsidR="009A34FE" w:rsidRPr="009A34FE" w:rsidRDefault="00047A6F" w:rsidP="00DA6956">
      <w:pPr>
        <w:ind w:firstLine="435"/>
        <w:rPr>
          <w:rFonts w:eastAsia="楷体_GB2312"/>
        </w:rPr>
      </w:pPr>
      <w:r w:rsidRPr="00047A6F">
        <w:rPr>
          <w:rFonts w:eastAsia="楷体_GB2312" w:hint="eastAsia"/>
        </w:rPr>
        <w:t>我们</w:t>
      </w:r>
      <w:r w:rsidR="00157768">
        <w:rPr>
          <w:rFonts w:eastAsia="楷体_GB2312" w:hint="eastAsia"/>
        </w:rPr>
        <w:t>首先</w:t>
      </w:r>
      <w:r w:rsidRPr="00047A6F">
        <w:rPr>
          <w:rFonts w:eastAsia="楷体_GB2312" w:hint="eastAsia"/>
        </w:rPr>
        <w:t>关注</w:t>
      </w:r>
      <w:r>
        <w:rPr>
          <w:rFonts w:eastAsia="楷体_GB2312" w:hint="eastAsia"/>
        </w:rPr>
        <w:t>的问题是：那些在历史上被评为五星级的基金，在随后</w:t>
      </w:r>
      <w:r w:rsidR="00157768">
        <w:rPr>
          <w:rFonts w:eastAsia="楷体_GB2312" w:hint="eastAsia"/>
        </w:rPr>
        <w:t>的时间内</w:t>
      </w:r>
      <w:r>
        <w:rPr>
          <w:rFonts w:eastAsia="楷体_GB2312" w:hint="eastAsia"/>
        </w:rPr>
        <w:t>能否持续良好的表现？</w:t>
      </w:r>
      <w:r w:rsidR="009A34FE">
        <w:rPr>
          <w:rFonts w:eastAsia="楷体_GB2312" w:hint="eastAsia"/>
        </w:rPr>
        <w:t>选择在</w:t>
      </w:r>
      <w:r w:rsidR="009A34FE">
        <w:rPr>
          <w:rFonts w:eastAsia="楷体_GB2312" w:hint="eastAsia"/>
        </w:rPr>
        <w:t>2004</w:t>
      </w:r>
      <w:r w:rsidR="009A34FE">
        <w:rPr>
          <w:rFonts w:eastAsia="楷体_GB2312" w:hint="eastAsia"/>
        </w:rPr>
        <w:t>年</w:t>
      </w:r>
      <w:r w:rsidR="00C65653">
        <w:rPr>
          <w:rFonts w:eastAsia="楷体_GB2312" w:hint="eastAsia"/>
        </w:rPr>
        <w:t>7</w:t>
      </w:r>
      <w:r w:rsidR="009A34FE">
        <w:rPr>
          <w:rFonts w:eastAsia="楷体_GB2312" w:hint="eastAsia"/>
        </w:rPr>
        <w:t>月至</w:t>
      </w:r>
      <w:r w:rsidR="009A34FE">
        <w:rPr>
          <w:rFonts w:eastAsia="楷体_GB2312" w:hint="eastAsia"/>
        </w:rPr>
        <w:t>2007</w:t>
      </w:r>
      <w:r w:rsidR="009A34FE">
        <w:rPr>
          <w:rFonts w:eastAsia="楷体_GB2312" w:hint="eastAsia"/>
        </w:rPr>
        <w:t>年</w:t>
      </w:r>
      <w:r w:rsidR="009A34FE">
        <w:rPr>
          <w:rFonts w:eastAsia="楷体_GB2312" w:hint="eastAsia"/>
        </w:rPr>
        <w:t>6</w:t>
      </w:r>
      <w:r w:rsidR="009A34FE">
        <w:rPr>
          <w:rFonts w:eastAsia="楷体_GB2312" w:hint="eastAsia"/>
        </w:rPr>
        <w:t>月三年评级为五星级的混合型基金（以混合型基金为研究对象是因为这一类基金数量多且历史久）。在</w:t>
      </w:r>
      <w:r w:rsidR="000A6F39">
        <w:rPr>
          <w:rFonts w:eastAsia="楷体_GB2312" w:hint="eastAsia"/>
        </w:rPr>
        <w:t>该区间</w:t>
      </w:r>
      <w:r w:rsidR="009A34FE">
        <w:rPr>
          <w:rFonts w:eastAsia="楷体_GB2312" w:hint="eastAsia"/>
        </w:rPr>
        <w:t>被评为五星级的混合型基金共</w:t>
      </w:r>
      <w:r w:rsidR="00DA6956">
        <w:rPr>
          <w:rFonts w:eastAsia="楷体_GB2312" w:hint="eastAsia"/>
        </w:rPr>
        <w:t>8</w:t>
      </w:r>
      <w:r w:rsidR="009A34FE">
        <w:rPr>
          <w:rFonts w:eastAsia="楷体_GB2312" w:hint="eastAsia"/>
        </w:rPr>
        <w:t>只，分别是：</w:t>
      </w:r>
      <w:r w:rsidR="009A34FE" w:rsidRPr="009A34FE">
        <w:rPr>
          <w:rFonts w:eastAsia="楷体_GB2312"/>
        </w:rPr>
        <w:t>华夏红利</w:t>
      </w:r>
      <w:r w:rsidR="009A34FE">
        <w:rPr>
          <w:rFonts w:eastAsia="楷体_GB2312" w:hint="eastAsia"/>
        </w:rPr>
        <w:t>、兴业趋势、东方精选、海富通回报、华宝收益、交银稳健、工银平衡、华夏稳增</w:t>
      </w:r>
      <w:r w:rsidR="000A6F39">
        <w:rPr>
          <w:rFonts w:eastAsia="楷体_GB2312" w:hint="eastAsia"/>
        </w:rPr>
        <w:t>。</w:t>
      </w:r>
      <w:r w:rsidR="009D2C75">
        <w:rPr>
          <w:rFonts w:eastAsia="楷体_GB2312" w:hint="eastAsia"/>
        </w:rPr>
        <w:t>以这八只基金构建一个固定的基金组合，</w:t>
      </w:r>
      <w:r w:rsidR="000A6F39">
        <w:rPr>
          <w:rFonts w:eastAsia="楷体_GB2312" w:hint="eastAsia"/>
        </w:rPr>
        <w:t>权重相同，</w:t>
      </w:r>
      <w:r w:rsidR="009D2C75">
        <w:rPr>
          <w:rFonts w:eastAsia="楷体_GB2312" w:hint="eastAsia"/>
        </w:rPr>
        <w:t>并以</w:t>
      </w:r>
      <w:r w:rsidR="00672683">
        <w:rPr>
          <w:rFonts w:eastAsia="楷体_GB2312" w:hint="eastAsia"/>
        </w:rPr>
        <w:t>中证混合基金指数</w:t>
      </w:r>
      <w:r w:rsidR="000A6F39">
        <w:rPr>
          <w:rFonts w:eastAsia="楷体_GB2312" w:hint="eastAsia"/>
        </w:rPr>
        <w:t>作</w:t>
      </w:r>
      <w:r w:rsidR="00672683">
        <w:rPr>
          <w:rFonts w:eastAsia="楷体_GB2312" w:hint="eastAsia"/>
        </w:rPr>
        <w:t>为业绩比较基准。</w:t>
      </w:r>
    </w:p>
    <w:p w:rsidR="00124A1B" w:rsidRPr="00394675" w:rsidRDefault="007D20F4" w:rsidP="00124A1B">
      <w:pPr>
        <w:numPr>
          <w:ilvl w:val="0"/>
          <w:numId w:val="12"/>
        </w:numPr>
        <w:rPr>
          <w:rFonts w:eastAsia="楷体_GB2312"/>
          <w:b/>
          <w:color w:val="003366"/>
          <w:szCs w:val="21"/>
        </w:rPr>
      </w:pPr>
      <w:r>
        <w:rPr>
          <w:rFonts w:eastAsia="楷体_GB2312" w:hint="eastAsia"/>
          <w:b/>
          <w:color w:val="003366"/>
          <w:szCs w:val="21"/>
        </w:rPr>
        <w:t>短期内</w:t>
      </w:r>
      <w:r w:rsidR="00E47F76">
        <w:rPr>
          <w:rFonts w:eastAsia="楷体_GB2312" w:hint="eastAsia"/>
          <w:b/>
          <w:color w:val="003366"/>
          <w:szCs w:val="21"/>
        </w:rPr>
        <w:t>固定</w:t>
      </w:r>
      <w:r w:rsidR="00CF40C8">
        <w:rPr>
          <w:rFonts w:eastAsia="楷体_GB2312" w:hint="eastAsia"/>
          <w:b/>
          <w:color w:val="003366"/>
          <w:szCs w:val="21"/>
        </w:rPr>
        <w:t>五星</w:t>
      </w:r>
      <w:r w:rsidR="00E47F76">
        <w:rPr>
          <w:rFonts w:eastAsia="楷体_GB2312" w:hint="eastAsia"/>
          <w:b/>
          <w:color w:val="003366"/>
          <w:szCs w:val="21"/>
        </w:rPr>
        <w:t>组合</w:t>
      </w:r>
      <w:r>
        <w:rPr>
          <w:rFonts w:eastAsia="楷体_GB2312" w:hint="eastAsia"/>
          <w:b/>
          <w:color w:val="003366"/>
          <w:szCs w:val="21"/>
        </w:rPr>
        <w:t>的表现与基准</w:t>
      </w:r>
      <w:r w:rsidR="009C361E">
        <w:rPr>
          <w:rFonts w:eastAsia="楷体_GB2312" w:hint="eastAsia"/>
          <w:b/>
          <w:color w:val="003366"/>
          <w:szCs w:val="21"/>
        </w:rPr>
        <w:t>无差异</w:t>
      </w:r>
    </w:p>
    <w:p w:rsidR="00CF78B5" w:rsidRPr="00C61ACA" w:rsidRDefault="00C61ACA" w:rsidP="009A41E9">
      <w:pPr>
        <w:shd w:val="clear" w:color="auto" w:fill="FFFFFF"/>
        <w:ind w:firstLineChars="196" w:firstLine="412"/>
        <w:rPr>
          <w:rFonts w:eastAsia="楷体_GB2312"/>
        </w:rPr>
      </w:pPr>
      <w:r>
        <w:rPr>
          <w:rFonts w:eastAsia="楷体_GB2312" w:hint="eastAsia"/>
        </w:rPr>
        <w:t>对</w:t>
      </w:r>
      <w:r w:rsidRPr="00C61ACA">
        <w:rPr>
          <w:rFonts w:eastAsia="楷体_GB2312" w:hint="eastAsia"/>
        </w:rPr>
        <w:t>上述五星基金</w:t>
      </w:r>
      <w:r w:rsidR="007E3400">
        <w:rPr>
          <w:rFonts w:eastAsia="楷体_GB2312" w:hint="eastAsia"/>
        </w:rPr>
        <w:t>组合</w:t>
      </w:r>
      <w:r w:rsidRPr="00C61ACA">
        <w:rPr>
          <w:rFonts w:eastAsia="楷体_GB2312" w:hint="eastAsia"/>
        </w:rPr>
        <w:t>在</w:t>
      </w:r>
      <w:r w:rsidRPr="00C61ACA">
        <w:rPr>
          <w:rFonts w:eastAsia="楷体_GB2312" w:hint="eastAsia"/>
        </w:rPr>
        <w:t>2007</w:t>
      </w:r>
      <w:r w:rsidRPr="00C61ACA">
        <w:rPr>
          <w:rFonts w:eastAsia="楷体_GB2312" w:hint="eastAsia"/>
        </w:rPr>
        <w:t>年</w:t>
      </w:r>
      <w:r w:rsidRPr="00C61ACA">
        <w:rPr>
          <w:rFonts w:eastAsia="楷体_GB2312" w:hint="eastAsia"/>
        </w:rPr>
        <w:t>7</w:t>
      </w:r>
      <w:r w:rsidRPr="00C61ACA">
        <w:rPr>
          <w:rFonts w:eastAsia="楷体_GB2312" w:hint="eastAsia"/>
        </w:rPr>
        <w:t>月</w:t>
      </w:r>
      <w:r w:rsidRPr="00C61ACA">
        <w:rPr>
          <w:rFonts w:eastAsia="楷体_GB2312" w:hint="eastAsia"/>
        </w:rPr>
        <w:t>1</w:t>
      </w:r>
      <w:r w:rsidRPr="00C61ACA">
        <w:rPr>
          <w:rFonts w:eastAsia="楷体_GB2312" w:hint="eastAsia"/>
        </w:rPr>
        <w:t>日至</w:t>
      </w:r>
      <w:r w:rsidRPr="00C61ACA">
        <w:rPr>
          <w:rFonts w:eastAsia="楷体_GB2312" w:hint="eastAsia"/>
        </w:rPr>
        <w:t>2010</w:t>
      </w:r>
      <w:r w:rsidRPr="00C61ACA">
        <w:rPr>
          <w:rFonts w:eastAsia="楷体_GB2312" w:hint="eastAsia"/>
        </w:rPr>
        <w:t>年</w:t>
      </w:r>
      <w:r w:rsidRPr="00C61ACA">
        <w:rPr>
          <w:rFonts w:eastAsia="楷体_GB2312" w:hint="eastAsia"/>
        </w:rPr>
        <w:t>6</w:t>
      </w:r>
      <w:r w:rsidRPr="00C61ACA">
        <w:rPr>
          <w:rFonts w:eastAsia="楷体_GB2312" w:hint="eastAsia"/>
        </w:rPr>
        <w:t>月</w:t>
      </w:r>
      <w:r w:rsidRPr="00C61ACA">
        <w:rPr>
          <w:rFonts w:eastAsia="楷体_GB2312" w:hint="eastAsia"/>
        </w:rPr>
        <w:t>30</w:t>
      </w:r>
      <w:r w:rsidRPr="00C61ACA">
        <w:rPr>
          <w:rFonts w:eastAsia="楷体_GB2312" w:hint="eastAsia"/>
        </w:rPr>
        <w:t>日</w:t>
      </w:r>
      <w:r>
        <w:rPr>
          <w:rFonts w:eastAsia="楷体_GB2312" w:hint="eastAsia"/>
        </w:rPr>
        <w:t>的</w:t>
      </w:r>
      <w:r w:rsidR="00AF0648">
        <w:rPr>
          <w:rFonts w:eastAsia="楷体_GB2312" w:hint="eastAsia"/>
        </w:rPr>
        <w:t>月收益</w:t>
      </w:r>
      <w:r>
        <w:rPr>
          <w:rFonts w:eastAsia="楷体_GB2312" w:hint="eastAsia"/>
        </w:rPr>
        <w:t>统计表明，</w:t>
      </w:r>
      <w:r w:rsidR="007E3400">
        <w:rPr>
          <w:rFonts w:eastAsia="楷体_GB2312" w:hint="eastAsia"/>
        </w:rPr>
        <w:t>在一个较短的时间内（如一个月、一个季度），</w:t>
      </w:r>
      <w:r w:rsidR="009A41E9">
        <w:rPr>
          <w:rFonts w:eastAsia="楷体_GB2312" w:hint="eastAsia"/>
        </w:rPr>
        <w:t>固定五星</w:t>
      </w:r>
      <w:r w:rsidR="007E3400">
        <w:rPr>
          <w:rFonts w:eastAsia="楷体_GB2312" w:hint="eastAsia"/>
        </w:rPr>
        <w:t>组合的业绩与</w:t>
      </w:r>
      <w:r w:rsidR="009A41E9">
        <w:rPr>
          <w:rFonts w:eastAsia="楷体_GB2312" w:hint="eastAsia"/>
        </w:rPr>
        <w:t>基准相比无差异（图</w:t>
      </w:r>
      <w:r w:rsidR="007E3400">
        <w:rPr>
          <w:rFonts w:eastAsia="楷体_GB2312" w:hint="eastAsia"/>
        </w:rPr>
        <w:t>1</w:t>
      </w:r>
      <w:r w:rsidR="007E3400">
        <w:rPr>
          <w:rFonts w:eastAsia="楷体_GB2312" w:hint="eastAsia"/>
        </w:rPr>
        <w:t>）</w:t>
      </w:r>
      <w:r w:rsidR="003377EF">
        <w:rPr>
          <w:rFonts w:eastAsia="楷体_GB2312" w:hint="eastAsia"/>
        </w:rPr>
        <w:t>。</w:t>
      </w:r>
      <w:r w:rsidR="0065486F">
        <w:rPr>
          <w:rFonts w:eastAsia="楷体_GB2312" w:hint="eastAsia"/>
        </w:rPr>
        <w:t>这主要</w:t>
      </w:r>
      <w:r w:rsidR="009A41E9">
        <w:rPr>
          <w:rFonts w:eastAsia="楷体_GB2312" w:hint="eastAsia"/>
        </w:rPr>
        <w:t>是五星基金组合内的个别基金的表现差异</w:t>
      </w:r>
      <w:r w:rsidR="0065486F">
        <w:rPr>
          <w:rFonts w:eastAsia="楷体_GB2312" w:hint="eastAsia"/>
        </w:rPr>
        <w:t>很大，</w:t>
      </w:r>
      <w:r w:rsidR="009A41E9">
        <w:rPr>
          <w:rFonts w:eastAsia="楷体_GB2312" w:hint="eastAsia"/>
        </w:rPr>
        <w:t>相互</w:t>
      </w:r>
      <w:r w:rsidR="0065486F">
        <w:rPr>
          <w:rFonts w:eastAsia="楷体_GB2312" w:hint="eastAsia"/>
        </w:rPr>
        <w:t>平滑后</w:t>
      </w:r>
      <w:r w:rsidR="009A41E9">
        <w:rPr>
          <w:rFonts w:eastAsia="楷体_GB2312" w:hint="eastAsia"/>
        </w:rPr>
        <w:t>组合业绩表现</w:t>
      </w:r>
      <w:r w:rsidR="0065486F">
        <w:rPr>
          <w:rFonts w:eastAsia="楷体_GB2312" w:hint="eastAsia"/>
        </w:rPr>
        <w:t>不明显，</w:t>
      </w:r>
      <w:r w:rsidR="009A41E9">
        <w:rPr>
          <w:rFonts w:eastAsia="楷体_GB2312" w:hint="eastAsia"/>
        </w:rPr>
        <w:t>固定</w:t>
      </w:r>
      <w:r w:rsidR="0065486F">
        <w:rPr>
          <w:rFonts w:eastAsia="楷体_GB2312" w:hint="eastAsia"/>
        </w:rPr>
        <w:t>组合月度收益走势基本与基准相重合。</w:t>
      </w:r>
      <w:r w:rsidR="007E3400">
        <w:rPr>
          <w:rFonts w:eastAsia="楷体_GB2312" w:hint="eastAsia"/>
        </w:rPr>
        <w:t>因此，</w:t>
      </w:r>
      <w:r w:rsidR="009A41E9">
        <w:rPr>
          <w:rFonts w:eastAsia="楷体_GB2312" w:hint="eastAsia"/>
        </w:rPr>
        <w:t>在</w:t>
      </w:r>
      <w:r w:rsidR="007E3400">
        <w:rPr>
          <w:rFonts w:eastAsia="楷体_GB2312" w:hint="eastAsia"/>
        </w:rPr>
        <w:t>短期内，</w:t>
      </w:r>
      <w:r w:rsidR="00A4592A">
        <w:rPr>
          <w:rFonts w:eastAsia="楷体_GB2312" w:hint="eastAsia"/>
        </w:rPr>
        <w:t>如果投资者频繁的申赎，那么</w:t>
      </w:r>
      <w:r w:rsidR="007E3400">
        <w:rPr>
          <w:rFonts w:eastAsia="楷体_GB2312" w:hint="eastAsia"/>
        </w:rPr>
        <w:t>五星基金</w:t>
      </w:r>
      <w:r w:rsidR="00A4592A">
        <w:rPr>
          <w:rFonts w:eastAsia="楷体_GB2312" w:hint="eastAsia"/>
        </w:rPr>
        <w:t>的指导意义有限。</w:t>
      </w:r>
    </w:p>
    <w:p w:rsidR="00E51527" w:rsidRPr="00394675" w:rsidRDefault="00E51527" w:rsidP="00E51527">
      <w:pPr>
        <w:ind w:leftChars="-1628" w:left="-3419" w:firstLineChars="1997" w:firstLine="3595"/>
        <w:rPr>
          <w:rFonts w:eastAsia="楷体_GB2312"/>
          <w:color w:val="003366"/>
          <w:sz w:val="18"/>
          <w:szCs w:val="18"/>
        </w:rPr>
      </w:pPr>
      <w:r w:rsidRPr="008D703A">
        <w:rPr>
          <w:rFonts w:eastAsia="楷体_GB2312"/>
          <w:color w:val="003365"/>
          <w:kern w:val="0"/>
          <w:sz w:val="18"/>
          <w:szCs w:val="18"/>
        </w:rPr>
        <w:t>图</w:t>
      </w:r>
      <w:r>
        <w:rPr>
          <w:rFonts w:eastAsia="楷体_GB2312" w:hint="eastAsia"/>
          <w:color w:val="003365"/>
          <w:kern w:val="0"/>
          <w:sz w:val="18"/>
          <w:szCs w:val="18"/>
        </w:rPr>
        <w:t>1</w:t>
      </w:r>
      <w:r>
        <w:rPr>
          <w:rFonts w:eastAsia="楷体_GB2312" w:hint="eastAsia"/>
          <w:color w:val="003366"/>
          <w:sz w:val="18"/>
          <w:szCs w:val="18"/>
        </w:rPr>
        <w:t>：短期内</w:t>
      </w:r>
      <w:r w:rsidR="002C723F">
        <w:rPr>
          <w:rFonts w:eastAsia="楷体_GB2312" w:hint="eastAsia"/>
          <w:color w:val="003366"/>
          <w:sz w:val="18"/>
          <w:szCs w:val="18"/>
        </w:rPr>
        <w:t>固定</w:t>
      </w:r>
      <w:r>
        <w:rPr>
          <w:rFonts w:eastAsia="楷体_GB2312" w:hint="eastAsia"/>
          <w:color w:val="003366"/>
          <w:sz w:val="18"/>
          <w:szCs w:val="18"/>
        </w:rPr>
        <w:t>组合业绩与比较基准无差异</w:t>
      </w:r>
    </w:p>
    <w:p w:rsidR="00E51527" w:rsidRDefault="002C723F" w:rsidP="004B4690">
      <w:pPr>
        <w:jc w:val="right"/>
        <w:rPr>
          <w:rFonts w:eastAsia="楷体_GB2312"/>
          <w:i/>
          <w:color w:val="003366"/>
          <w:sz w:val="18"/>
          <w:szCs w:val="18"/>
        </w:rPr>
      </w:pPr>
      <w:r w:rsidRPr="002C723F">
        <w:rPr>
          <w:rFonts w:eastAsia="楷体_GB2312"/>
          <w:i/>
          <w:noProof/>
          <w:color w:val="003366"/>
          <w:sz w:val="18"/>
          <w:szCs w:val="18"/>
        </w:rPr>
        <w:drawing>
          <wp:inline distT="0" distB="0" distL="0" distR="0">
            <wp:extent cx="3467321" cy="1479954"/>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5A262C" w:rsidRPr="005A262C">
        <w:rPr>
          <w:rFonts w:eastAsia="楷体_GB2312"/>
          <w:noProof/>
          <w:szCs w:val="21"/>
        </w:rPr>
        <w:pict>
          <v:line id="_x0000_s1098" style="position:absolute;left:0;text-align:left;z-index:251727360;mso-position-horizontal-relative:text;mso-position-vertical-relative:text" from="7.3pt,0" to="322.3pt,0" strokecolor="red" strokeweight="1pt"/>
        </w:pict>
      </w:r>
    </w:p>
    <w:p w:rsidR="00E51527" w:rsidRDefault="005A262C" w:rsidP="004932D9">
      <w:pPr>
        <w:ind w:firstLineChars="250" w:firstLine="525"/>
        <w:rPr>
          <w:rFonts w:eastAsia="楷体_GB2312"/>
          <w:i/>
          <w:color w:val="003366"/>
          <w:sz w:val="18"/>
          <w:szCs w:val="18"/>
        </w:rPr>
      </w:pPr>
      <w:r w:rsidRPr="005A262C">
        <w:rPr>
          <w:rFonts w:eastAsia="楷体_GB2312"/>
          <w:noProof/>
          <w:szCs w:val="21"/>
        </w:rPr>
        <w:pict>
          <v:line id="_x0000_s1099" style="position:absolute;left:0;text-align:left;z-index:251728384" from="7.3pt,1.8pt" to="322.3pt,1.8pt" strokecolor="red" strokeweight="1pt"/>
        </w:pict>
      </w:r>
      <w:r w:rsidR="00E51527" w:rsidRPr="00394675">
        <w:rPr>
          <w:rFonts w:eastAsia="楷体_GB2312"/>
          <w:i/>
          <w:color w:val="003366"/>
          <w:sz w:val="18"/>
          <w:szCs w:val="18"/>
        </w:rPr>
        <w:t>数据来源：</w:t>
      </w:r>
      <w:r w:rsidR="00E51527" w:rsidRPr="00394675">
        <w:rPr>
          <w:rFonts w:eastAsia="楷体_GB2312"/>
          <w:i/>
          <w:color w:val="003366"/>
          <w:sz w:val="18"/>
          <w:szCs w:val="18"/>
        </w:rPr>
        <w:t>wind</w:t>
      </w:r>
      <w:r w:rsidR="00E51527" w:rsidRPr="00394675">
        <w:rPr>
          <w:rFonts w:eastAsia="楷体_GB2312"/>
          <w:i/>
          <w:color w:val="003366"/>
          <w:sz w:val="18"/>
          <w:szCs w:val="18"/>
        </w:rPr>
        <w:t>、上海证券基金评价研究中心</w:t>
      </w:r>
    </w:p>
    <w:p w:rsidR="004932D9" w:rsidRPr="005B48F7" w:rsidRDefault="004932D9" w:rsidP="004932D9">
      <w:pPr>
        <w:ind w:firstLineChars="250" w:firstLine="703"/>
        <w:rPr>
          <w:b/>
          <w:color w:val="003366"/>
          <w:sz w:val="28"/>
          <w:szCs w:val="28"/>
        </w:rPr>
      </w:pPr>
    </w:p>
    <w:p w:rsidR="003D3357" w:rsidRPr="00394675" w:rsidRDefault="000659A3" w:rsidP="003D3357">
      <w:pPr>
        <w:numPr>
          <w:ilvl w:val="0"/>
          <w:numId w:val="12"/>
        </w:numPr>
        <w:rPr>
          <w:rFonts w:eastAsia="楷体_GB2312"/>
          <w:b/>
          <w:color w:val="003366"/>
          <w:szCs w:val="21"/>
        </w:rPr>
      </w:pPr>
      <w:r>
        <w:rPr>
          <w:rFonts w:eastAsia="楷体_GB2312" w:hint="eastAsia"/>
          <w:b/>
          <w:color w:val="003366"/>
          <w:szCs w:val="21"/>
        </w:rPr>
        <w:lastRenderedPageBreak/>
        <w:t>长期内固定五星组合的业绩</w:t>
      </w:r>
      <w:r w:rsidRPr="003B7C78">
        <w:rPr>
          <w:rFonts w:eastAsia="楷体_GB2312" w:hint="eastAsia"/>
          <w:b/>
          <w:color w:val="003366"/>
          <w:szCs w:val="21"/>
          <w:u w:val="single"/>
        </w:rPr>
        <w:t>一定程度</w:t>
      </w:r>
      <w:r>
        <w:rPr>
          <w:rFonts w:eastAsia="楷体_GB2312" w:hint="eastAsia"/>
          <w:b/>
          <w:color w:val="003366"/>
          <w:szCs w:val="21"/>
        </w:rPr>
        <w:t>上</w:t>
      </w:r>
      <w:r w:rsidR="003D3357">
        <w:rPr>
          <w:rFonts w:eastAsia="楷体_GB2312" w:hint="eastAsia"/>
          <w:b/>
          <w:color w:val="003366"/>
          <w:szCs w:val="21"/>
        </w:rPr>
        <w:t>超越</w:t>
      </w:r>
      <w:r w:rsidR="003B7C78">
        <w:rPr>
          <w:rFonts w:eastAsia="楷体_GB2312" w:hint="eastAsia"/>
          <w:b/>
          <w:color w:val="003366"/>
          <w:szCs w:val="21"/>
        </w:rPr>
        <w:t>了</w:t>
      </w:r>
      <w:r w:rsidR="003D3357">
        <w:rPr>
          <w:rFonts w:eastAsia="楷体_GB2312" w:hint="eastAsia"/>
          <w:b/>
          <w:color w:val="003366"/>
          <w:szCs w:val="21"/>
        </w:rPr>
        <w:t>基准</w:t>
      </w:r>
    </w:p>
    <w:p w:rsidR="007F36F3" w:rsidRDefault="0078720D" w:rsidP="003B7C78">
      <w:pPr>
        <w:shd w:val="clear" w:color="auto" w:fill="FFFFFF"/>
        <w:ind w:firstLineChars="196" w:firstLine="412"/>
        <w:rPr>
          <w:rFonts w:eastAsia="楷体_GB2312"/>
        </w:rPr>
      </w:pPr>
      <w:r w:rsidRPr="002C7B37">
        <w:rPr>
          <w:rFonts w:eastAsia="楷体_GB2312" w:hint="eastAsia"/>
        </w:rPr>
        <w:t>但是，</w:t>
      </w:r>
      <w:r w:rsidR="000659A3">
        <w:rPr>
          <w:rFonts w:eastAsia="楷体_GB2312" w:hint="eastAsia"/>
        </w:rPr>
        <w:t>固定五星</w:t>
      </w:r>
      <w:r w:rsidR="007B4D9E">
        <w:rPr>
          <w:rFonts w:eastAsia="楷体_GB2312" w:hint="eastAsia"/>
        </w:rPr>
        <w:t>组合三年（</w:t>
      </w:r>
      <w:r w:rsidR="002C7B37" w:rsidRPr="00C61ACA">
        <w:rPr>
          <w:rFonts w:eastAsia="楷体_GB2312" w:hint="eastAsia"/>
        </w:rPr>
        <w:t>2007</w:t>
      </w:r>
      <w:r w:rsidR="002C7B37" w:rsidRPr="00C61ACA">
        <w:rPr>
          <w:rFonts w:eastAsia="楷体_GB2312" w:hint="eastAsia"/>
        </w:rPr>
        <w:t>年</w:t>
      </w:r>
      <w:r w:rsidR="002C7B37" w:rsidRPr="00C61ACA">
        <w:rPr>
          <w:rFonts w:eastAsia="楷体_GB2312" w:hint="eastAsia"/>
        </w:rPr>
        <w:t>7</w:t>
      </w:r>
      <w:r w:rsidR="002C7B37" w:rsidRPr="00C61ACA">
        <w:rPr>
          <w:rFonts w:eastAsia="楷体_GB2312" w:hint="eastAsia"/>
        </w:rPr>
        <w:t>月</w:t>
      </w:r>
      <w:r w:rsidR="002C7B37" w:rsidRPr="00C61ACA">
        <w:rPr>
          <w:rFonts w:eastAsia="楷体_GB2312" w:hint="eastAsia"/>
        </w:rPr>
        <w:t>1</w:t>
      </w:r>
      <w:r w:rsidR="002C7B37" w:rsidRPr="00C61ACA">
        <w:rPr>
          <w:rFonts w:eastAsia="楷体_GB2312" w:hint="eastAsia"/>
        </w:rPr>
        <w:t>日至</w:t>
      </w:r>
      <w:r w:rsidR="002C7B37" w:rsidRPr="00C61ACA">
        <w:rPr>
          <w:rFonts w:eastAsia="楷体_GB2312" w:hint="eastAsia"/>
        </w:rPr>
        <w:t>2010</w:t>
      </w:r>
      <w:r w:rsidR="002C7B37" w:rsidRPr="00C61ACA">
        <w:rPr>
          <w:rFonts w:eastAsia="楷体_GB2312" w:hint="eastAsia"/>
        </w:rPr>
        <w:t>年</w:t>
      </w:r>
      <w:r w:rsidR="002C7B37" w:rsidRPr="00C61ACA">
        <w:rPr>
          <w:rFonts w:eastAsia="楷体_GB2312" w:hint="eastAsia"/>
        </w:rPr>
        <w:t>6</w:t>
      </w:r>
      <w:r w:rsidR="002C7B37" w:rsidRPr="00C61ACA">
        <w:rPr>
          <w:rFonts w:eastAsia="楷体_GB2312" w:hint="eastAsia"/>
        </w:rPr>
        <w:t>月</w:t>
      </w:r>
      <w:r w:rsidR="002C7B37" w:rsidRPr="00C61ACA">
        <w:rPr>
          <w:rFonts w:eastAsia="楷体_GB2312" w:hint="eastAsia"/>
        </w:rPr>
        <w:t>30</w:t>
      </w:r>
      <w:r w:rsidR="002C7B37" w:rsidRPr="00C61ACA">
        <w:rPr>
          <w:rFonts w:eastAsia="楷体_GB2312" w:hint="eastAsia"/>
        </w:rPr>
        <w:t>日</w:t>
      </w:r>
      <w:r w:rsidR="007B4D9E">
        <w:rPr>
          <w:rFonts w:eastAsia="楷体_GB2312" w:hint="eastAsia"/>
        </w:rPr>
        <w:t>）的</w:t>
      </w:r>
      <w:r w:rsidR="002C7B37">
        <w:rPr>
          <w:rFonts w:eastAsia="楷体_GB2312" w:hint="eastAsia"/>
        </w:rPr>
        <w:t>累积收益率</w:t>
      </w:r>
      <w:r w:rsidR="003B7C78">
        <w:rPr>
          <w:rFonts w:eastAsia="楷体_GB2312" w:hint="eastAsia"/>
        </w:rPr>
        <w:t>在</w:t>
      </w:r>
      <w:r w:rsidR="000659A3">
        <w:rPr>
          <w:rFonts w:eastAsia="楷体_GB2312" w:hint="eastAsia"/>
        </w:rPr>
        <w:t>一定程度上</w:t>
      </w:r>
      <w:r w:rsidR="002C7B37">
        <w:rPr>
          <w:rFonts w:eastAsia="楷体_GB2312" w:hint="eastAsia"/>
        </w:rPr>
        <w:t>超越</w:t>
      </w:r>
      <w:r w:rsidR="003B7C78">
        <w:rPr>
          <w:rFonts w:eastAsia="楷体_GB2312" w:hint="eastAsia"/>
        </w:rPr>
        <w:t>了</w:t>
      </w:r>
      <w:r w:rsidR="002C7B37">
        <w:rPr>
          <w:rFonts w:eastAsia="楷体_GB2312" w:hint="eastAsia"/>
        </w:rPr>
        <w:t>业绩基准。</w:t>
      </w:r>
      <w:r w:rsidR="007B4D9E">
        <w:rPr>
          <w:rFonts w:eastAsia="楷体_GB2312" w:hint="eastAsia"/>
        </w:rPr>
        <w:t>虽然这八只五星基金，在另一</w:t>
      </w:r>
      <w:r w:rsidR="003B7C78">
        <w:rPr>
          <w:rFonts w:eastAsia="楷体_GB2312" w:hint="eastAsia"/>
        </w:rPr>
        <w:t>个</w:t>
      </w:r>
      <w:r w:rsidR="007B4D9E">
        <w:rPr>
          <w:rFonts w:eastAsia="楷体_GB2312" w:hint="eastAsia"/>
        </w:rPr>
        <w:t>三年</w:t>
      </w:r>
      <w:r w:rsidR="003B7C78">
        <w:rPr>
          <w:rFonts w:eastAsia="楷体_GB2312" w:hint="eastAsia"/>
        </w:rPr>
        <w:t>期</w:t>
      </w:r>
      <w:r w:rsidR="007B4D9E">
        <w:rPr>
          <w:rFonts w:eastAsia="楷体_GB2312" w:hint="eastAsia"/>
        </w:rPr>
        <w:t>评级中（</w:t>
      </w:r>
      <w:r w:rsidR="007B4D9E" w:rsidRPr="00C61ACA">
        <w:rPr>
          <w:rFonts w:eastAsia="楷体_GB2312" w:hint="eastAsia"/>
        </w:rPr>
        <w:t>2007</w:t>
      </w:r>
      <w:r w:rsidR="007B4D9E" w:rsidRPr="00C61ACA">
        <w:rPr>
          <w:rFonts w:eastAsia="楷体_GB2312" w:hint="eastAsia"/>
        </w:rPr>
        <w:t>年</w:t>
      </w:r>
      <w:r w:rsidR="007B4D9E" w:rsidRPr="00C61ACA">
        <w:rPr>
          <w:rFonts w:eastAsia="楷体_GB2312" w:hint="eastAsia"/>
        </w:rPr>
        <w:t>7</w:t>
      </w:r>
      <w:r w:rsidR="007B4D9E" w:rsidRPr="00C61ACA">
        <w:rPr>
          <w:rFonts w:eastAsia="楷体_GB2312" w:hint="eastAsia"/>
        </w:rPr>
        <w:t>月</w:t>
      </w:r>
      <w:r w:rsidR="007B4D9E" w:rsidRPr="00C61ACA">
        <w:rPr>
          <w:rFonts w:eastAsia="楷体_GB2312" w:hint="eastAsia"/>
        </w:rPr>
        <w:t>1</w:t>
      </w:r>
      <w:r w:rsidR="007B4D9E" w:rsidRPr="00C61ACA">
        <w:rPr>
          <w:rFonts w:eastAsia="楷体_GB2312" w:hint="eastAsia"/>
        </w:rPr>
        <w:t>日至</w:t>
      </w:r>
      <w:r w:rsidR="007B4D9E" w:rsidRPr="00C61ACA">
        <w:rPr>
          <w:rFonts w:eastAsia="楷体_GB2312" w:hint="eastAsia"/>
        </w:rPr>
        <w:t>2010</w:t>
      </w:r>
      <w:r w:rsidR="007B4D9E" w:rsidRPr="00C61ACA">
        <w:rPr>
          <w:rFonts w:eastAsia="楷体_GB2312" w:hint="eastAsia"/>
        </w:rPr>
        <w:t>年</w:t>
      </w:r>
      <w:r w:rsidR="007B4D9E" w:rsidRPr="00C61ACA">
        <w:rPr>
          <w:rFonts w:eastAsia="楷体_GB2312" w:hint="eastAsia"/>
        </w:rPr>
        <w:t>6</w:t>
      </w:r>
      <w:r w:rsidR="007B4D9E" w:rsidRPr="00C61ACA">
        <w:rPr>
          <w:rFonts w:eastAsia="楷体_GB2312" w:hint="eastAsia"/>
        </w:rPr>
        <w:t>月</w:t>
      </w:r>
      <w:r w:rsidR="007B4D9E" w:rsidRPr="00C61ACA">
        <w:rPr>
          <w:rFonts w:eastAsia="楷体_GB2312" w:hint="eastAsia"/>
        </w:rPr>
        <w:t>30</w:t>
      </w:r>
      <w:r w:rsidR="007B4D9E" w:rsidRPr="00C61ACA">
        <w:rPr>
          <w:rFonts w:eastAsia="楷体_GB2312" w:hint="eastAsia"/>
        </w:rPr>
        <w:t>日</w:t>
      </w:r>
      <w:r w:rsidR="007B4D9E">
        <w:rPr>
          <w:rFonts w:eastAsia="楷体_GB2312" w:hint="eastAsia"/>
        </w:rPr>
        <w:t>）出现了分化</w:t>
      </w:r>
      <w:r w:rsidR="000659A3">
        <w:rPr>
          <w:rFonts w:eastAsia="楷体_GB2312" w:hint="eastAsia"/>
        </w:rPr>
        <w:t>（见表</w:t>
      </w:r>
      <w:r w:rsidR="000659A3">
        <w:rPr>
          <w:rFonts w:eastAsia="楷体_GB2312" w:hint="eastAsia"/>
        </w:rPr>
        <w:t>1</w:t>
      </w:r>
      <w:r w:rsidR="000659A3">
        <w:rPr>
          <w:rFonts w:eastAsia="楷体_GB2312" w:hint="eastAsia"/>
        </w:rPr>
        <w:t>）</w:t>
      </w:r>
      <w:r w:rsidR="007B4D9E">
        <w:rPr>
          <w:rFonts w:eastAsia="楷体_GB2312" w:hint="eastAsia"/>
        </w:rPr>
        <w:t>，</w:t>
      </w:r>
      <w:r w:rsidR="00A57893">
        <w:rPr>
          <w:rFonts w:eastAsia="楷体_GB2312" w:hint="eastAsia"/>
        </w:rPr>
        <w:t>仅</w:t>
      </w:r>
      <w:r w:rsidR="007B4D9E">
        <w:rPr>
          <w:rFonts w:eastAsia="楷体_GB2312" w:hint="eastAsia"/>
        </w:rPr>
        <w:t>有</w:t>
      </w:r>
      <w:r w:rsidR="00A57893">
        <w:rPr>
          <w:rFonts w:eastAsia="楷体_GB2312" w:hint="eastAsia"/>
        </w:rPr>
        <w:t>2</w:t>
      </w:r>
      <w:r w:rsidR="00A57893">
        <w:rPr>
          <w:rFonts w:eastAsia="楷体_GB2312" w:hint="eastAsia"/>
        </w:rPr>
        <w:t>只继续评为</w:t>
      </w:r>
      <w:r w:rsidR="00A57893">
        <w:rPr>
          <w:rFonts w:eastAsia="楷体_GB2312" w:hint="eastAsia"/>
        </w:rPr>
        <w:t>5</w:t>
      </w:r>
      <w:r w:rsidR="00A57893">
        <w:rPr>
          <w:rFonts w:eastAsia="楷体_GB2312" w:hint="eastAsia"/>
        </w:rPr>
        <w:t>星，</w:t>
      </w:r>
      <w:r w:rsidR="00A57893">
        <w:rPr>
          <w:rFonts w:eastAsia="楷体_GB2312" w:hint="eastAsia"/>
        </w:rPr>
        <w:t>1</w:t>
      </w:r>
      <w:r w:rsidR="00A57893">
        <w:rPr>
          <w:rFonts w:eastAsia="楷体_GB2312" w:hint="eastAsia"/>
        </w:rPr>
        <w:t>只评为</w:t>
      </w:r>
      <w:r w:rsidR="00A57893">
        <w:rPr>
          <w:rFonts w:eastAsia="楷体_GB2312" w:hint="eastAsia"/>
        </w:rPr>
        <w:t>4</w:t>
      </w:r>
      <w:r w:rsidR="00A57893">
        <w:rPr>
          <w:rFonts w:eastAsia="楷体_GB2312" w:hint="eastAsia"/>
        </w:rPr>
        <w:t>星，</w:t>
      </w:r>
      <w:r w:rsidR="00A57893">
        <w:rPr>
          <w:rFonts w:eastAsia="楷体_GB2312" w:hint="eastAsia"/>
        </w:rPr>
        <w:t>3</w:t>
      </w:r>
      <w:r w:rsidR="00A57893">
        <w:rPr>
          <w:rFonts w:eastAsia="楷体_GB2312" w:hint="eastAsia"/>
        </w:rPr>
        <w:t>只评为</w:t>
      </w:r>
      <w:r w:rsidR="00A57893">
        <w:rPr>
          <w:rFonts w:eastAsia="楷体_GB2312" w:hint="eastAsia"/>
        </w:rPr>
        <w:t>3</w:t>
      </w:r>
      <w:r w:rsidR="00A57893">
        <w:rPr>
          <w:rFonts w:eastAsia="楷体_GB2312" w:hint="eastAsia"/>
        </w:rPr>
        <w:t>星，</w:t>
      </w:r>
      <w:r w:rsidR="000659A3">
        <w:rPr>
          <w:rFonts w:eastAsia="楷体_GB2312" w:hint="eastAsia"/>
        </w:rPr>
        <w:t>2</w:t>
      </w:r>
      <w:r w:rsidR="00A57893">
        <w:rPr>
          <w:rFonts w:eastAsia="楷体_GB2312" w:hint="eastAsia"/>
        </w:rPr>
        <w:t>星和</w:t>
      </w:r>
      <w:r w:rsidR="000659A3">
        <w:rPr>
          <w:rFonts w:eastAsia="楷体_GB2312" w:hint="eastAsia"/>
        </w:rPr>
        <w:t>1</w:t>
      </w:r>
      <w:r w:rsidR="00A57893">
        <w:rPr>
          <w:rFonts w:eastAsia="楷体_GB2312" w:hint="eastAsia"/>
        </w:rPr>
        <w:t>星各一只</w:t>
      </w:r>
      <w:r w:rsidR="007F36F3">
        <w:rPr>
          <w:rFonts w:eastAsia="楷体_GB2312" w:hint="eastAsia"/>
        </w:rPr>
        <w:t>。但</w:t>
      </w:r>
      <w:r w:rsidR="000659A3">
        <w:rPr>
          <w:rFonts w:eastAsia="楷体_GB2312" w:hint="eastAsia"/>
        </w:rPr>
        <w:t>该基金组合的三年</w:t>
      </w:r>
      <w:r w:rsidR="007F36F3">
        <w:rPr>
          <w:rFonts w:eastAsia="楷体_GB2312" w:hint="eastAsia"/>
        </w:rPr>
        <w:t>累计收益为</w:t>
      </w:r>
      <w:r w:rsidR="007F36F3">
        <w:rPr>
          <w:rFonts w:eastAsia="楷体_GB2312" w:hint="eastAsia"/>
        </w:rPr>
        <w:t xml:space="preserve"> </w:t>
      </w:r>
      <w:r w:rsidR="00E16A59">
        <w:rPr>
          <w:rFonts w:eastAsia="楷体_GB2312" w:hint="eastAsia"/>
        </w:rPr>
        <w:t>2.06</w:t>
      </w:r>
      <w:r w:rsidR="007F36F3">
        <w:rPr>
          <w:rFonts w:eastAsia="楷体_GB2312" w:hint="eastAsia"/>
        </w:rPr>
        <w:t>%</w:t>
      </w:r>
      <w:r w:rsidR="007F36F3">
        <w:rPr>
          <w:rFonts w:eastAsia="楷体_GB2312" w:hint="eastAsia"/>
        </w:rPr>
        <w:t>，同期比较基准的收益为</w:t>
      </w:r>
      <w:r w:rsidR="00E16A59">
        <w:rPr>
          <w:rFonts w:eastAsia="楷体_GB2312" w:hint="eastAsia"/>
        </w:rPr>
        <w:t>-5.09</w:t>
      </w:r>
      <w:r w:rsidR="007F36F3">
        <w:rPr>
          <w:rFonts w:eastAsia="楷体_GB2312" w:hint="eastAsia"/>
        </w:rPr>
        <w:t>%</w:t>
      </w:r>
      <w:r w:rsidR="007F36F3">
        <w:rPr>
          <w:rFonts w:eastAsia="楷体_GB2312" w:hint="eastAsia"/>
        </w:rPr>
        <w:t>，</w:t>
      </w:r>
      <w:r w:rsidR="000659A3">
        <w:rPr>
          <w:rFonts w:eastAsia="楷体_GB2312" w:hint="eastAsia"/>
        </w:rPr>
        <w:t>固定</w:t>
      </w:r>
      <w:r w:rsidR="007F36F3">
        <w:rPr>
          <w:rFonts w:eastAsia="楷体_GB2312" w:hint="eastAsia"/>
        </w:rPr>
        <w:t>基金</w:t>
      </w:r>
      <w:r w:rsidR="000659A3">
        <w:rPr>
          <w:rFonts w:eastAsia="楷体_GB2312" w:hint="eastAsia"/>
        </w:rPr>
        <w:t>组合</w:t>
      </w:r>
      <w:r w:rsidR="007F36F3">
        <w:rPr>
          <w:rFonts w:eastAsia="楷体_GB2312" w:hint="eastAsia"/>
        </w:rPr>
        <w:t>在一定程度上超越了基准</w:t>
      </w:r>
      <w:r w:rsidR="000659A3">
        <w:rPr>
          <w:rFonts w:eastAsia="楷体_GB2312" w:hint="eastAsia"/>
        </w:rPr>
        <w:t>（图</w:t>
      </w:r>
      <w:r w:rsidR="000659A3">
        <w:rPr>
          <w:rFonts w:eastAsia="楷体_GB2312" w:hint="eastAsia"/>
        </w:rPr>
        <w:t>2</w:t>
      </w:r>
      <w:r w:rsidR="000659A3">
        <w:rPr>
          <w:rFonts w:eastAsia="楷体_GB2312" w:hint="eastAsia"/>
        </w:rPr>
        <w:t>）</w:t>
      </w:r>
      <w:r w:rsidR="007F36F3">
        <w:rPr>
          <w:rFonts w:eastAsia="楷体_GB2312" w:hint="eastAsia"/>
        </w:rPr>
        <w:t>。可以看出，在一个较长的时间内，</w:t>
      </w:r>
      <w:r w:rsidR="00191993">
        <w:rPr>
          <w:rFonts w:eastAsia="楷体_GB2312" w:hint="eastAsia"/>
        </w:rPr>
        <w:t>虽然基金的分化严重，但</w:t>
      </w:r>
      <w:r w:rsidR="007F36F3">
        <w:rPr>
          <w:rFonts w:eastAsia="楷体_GB2312" w:hint="eastAsia"/>
        </w:rPr>
        <w:t>五星基金</w:t>
      </w:r>
      <w:r w:rsidR="00191993">
        <w:rPr>
          <w:rFonts w:eastAsia="楷体_GB2312" w:hint="eastAsia"/>
        </w:rPr>
        <w:t>组合</w:t>
      </w:r>
      <w:r w:rsidR="007F36F3">
        <w:rPr>
          <w:rFonts w:eastAsia="楷体_GB2312" w:hint="eastAsia"/>
        </w:rPr>
        <w:t>对于基金投资具有一定的指导意义。</w:t>
      </w:r>
    </w:p>
    <w:p w:rsidR="002E01F6" w:rsidRPr="00FB2FB1" w:rsidRDefault="002E01F6" w:rsidP="002E01F6">
      <w:pPr>
        <w:ind w:leftChars="-1628" w:left="-3419" w:firstLineChars="2246" w:firstLine="4043"/>
        <w:rPr>
          <w:rFonts w:eastAsia="楷体_GB2312"/>
          <w:color w:val="003366"/>
          <w:sz w:val="18"/>
          <w:szCs w:val="18"/>
        </w:rPr>
      </w:pPr>
      <w:r w:rsidRPr="00FB2FB1">
        <w:rPr>
          <w:rFonts w:eastAsia="楷体_GB2312" w:hint="eastAsia"/>
          <w:color w:val="003366"/>
          <w:sz w:val="18"/>
          <w:szCs w:val="18"/>
        </w:rPr>
        <w:t>表</w:t>
      </w:r>
      <w:r w:rsidRPr="00FB2FB1">
        <w:rPr>
          <w:rFonts w:eastAsia="楷体_GB2312" w:hint="eastAsia"/>
          <w:color w:val="003366"/>
          <w:sz w:val="18"/>
          <w:szCs w:val="18"/>
        </w:rPr>
        <w:t>1</w:t>
      </w:r>
      <w:r w:rsidRPr="00FB2FB1">
        <w:rPr>
          <w:rFonts w:eastAsia="楷体_GB2312" w:hint="eastAsia"/>
          <w:color w:val="003366"/>
          <w:sz w:val="18"/>
          <w:szCs w:val="18"/>
        </w:rPr>
        <w:t>：</w:t>
      </w:r>
      <w:r w:rsidR="00414343">
        <w:rPr>
          <w:rFonts w:eastAsia="楷体_GB2312" w:hint="eastAsia"/>
          <w:color w:val="003366"/>
          <w:sz w:val="18"/>
          <w:szCs w:val="18"/>
        </w:rPr>
        <w:t>固定基金组合两个区间内</w:t>
      </w:r>
      <w:r w:rsidR="00AC51C5">
        <w:rPr>
          <w:rFonts w:eastAsia="楷体_GB2312" w:hint="eastAsia"/>
          <w:color w:val="003366"/>
          <w:sz w:val="18"/>
          <w:szCs w:val="18"/>
        </w:rPr>
        <w:t>评级分化严重</w:t>
      </w:r>
    </w:p>
    <w:tbl>
      <w:tblPr>
        <w:tblStyle w:val="-2"/>
        <w:tblW w:w="0" w:type="auto"/>
        <w:jc w:val="center"/>
        <w:tblLook w:val="04A0"/>
      </w:tblPr>
      <w:tblGrid>
        <w:gridCol w:w="1584"/>
        <w:gridCol w:w="1677"/>
        <w:gridCol w:w="1676"/>
      </w:tblGrid>
      <w:tr w:rsidR="002E01F6" w:rsidRPr="00394675" w:rsidTr="00157768">
        <w:trPr>
          <w:cnfStyle w:val="100000000000"/>
          <w:jc w:val="center"/>
        </w:trPr>
        <w:tc>
          <w:tcPr>
            <w:cnfStyle w:val="001000000000"/>
            <w:tcW w:w="1584" w:type="dxa"/>
          </w:tcPr>
          <w:p w:rsidR="002E01F6" w:rsidRPr="00394675" w:rsidRDefault="002E01F6" w:rsidP="00157768">
            <w:pPr>
              <w:widowControl/>
              <w:spacing w:before="100" w:beforeAutospacing="1" w:after="100" w:afterAutospacing="1"/>
              <w:jc w:val="left"/>
              <w:rPr>
                <w:b w:val="0"/>
                <w:bCs w:val="0"/>
                <w:color w:val="000000"/>
                <w:kern w:val="0"/>
                <w:sz w:val="18"/>
                <w:szCs w:val="18"/>
              </w:rPr>
            </w:pPr>
            <w:r w:rsidRPr="00394675">
              <w:rPr>
                <w:b w:val="0"/>
                <w:bCs w:val="0"/>
                <w:color w:val="000000"/>
                <w:kern w:val="0"/>
                <w:sz w:val="18"/>
                <w:szCs w:val="18"/>
              </w:rPr>
              <w:t>资产类别</w:t>
            </w:r>
          </w:p>
        </w:tc>
        <w:tc>
          <w:tcPr>
            <w:tcW w:w="1677" w:type="dxa"/>
          </w:tcPr>
          <w:p w:rsidR="002E01F6" w:rsidRPr="00394675" w:rsidRDefault="00D925AF" w:rsidP="00157768">
            <w:pPr>
              <w:widowControl/>
              <w:spacing w:before="100" w:beforeAutospacing="1" w:after="100" w:afterAutospacing="1"/>
              <w:jc w:val="left"/>
              <w:cnfStyle w:val="100000000000"/>
              <w:rPr>
                <w:b w:val="0"/>
                <w:bCs w:val="0"/>
                <w:color w:val="000000"/>
                <w:kern w:val="0"/>
                <w:sz w:val="18"/>
                <w:szCs w:val="18"/>
              </w:rPr>
            </w:pPr>
            <w:r>
              <w:rPr>
                <w:rFonts w:hint="eastAsia"/>
                <w:b w:val="0"/>
                <w:bCs w:val="0"/>
                <w:color w:val="000000"/>
                <w:kern w:val="0"/>
                <w:sz w:val="18"/>
                <w:szCs w:val="18"/>
              </w:rPr>
              <w:t>2004</w:t>
            </w:r>
            <w:r w:rsidR="00E16A59">
              <w:rPr>
                <w:rFonts w:hint="eastAsia"/>
                <w:b w:val="0"/>
                <w:bCs w:val="0"/>
                <w:color w:val="000000"/>
                <w:kern w:val="0"/>
                <w:sz w:val="18"/>
                <w:szCs w:val="18"/>
              </w:rPr>
              <w:t>.7</w:t>
            </w:r>
            <w:r>
              <w:rPr>
                <w:rFonts w:hint="eastAsia"/>
                <w:b w:val="0"/>
                <w:bCs w:val="0"/>
                <w:color w:val="000000"/>
                <w:kern w:val="0"/>
                <w:sz w:val="18"/>
                <w:szCs w:val="18"/>
              </w:rPr>
              <w:t>-2007</w:t>
            </w:r>
            <w:r w:rsidR="00E16A59">
              <w:rPr>
                <w:rFonts w:hint="eastAsia"/>
                <w:b w:val="0"/>
                <w:bCs w:val="0"/>
                <w:color w:val="000000"/>
                <w:kern w:val="0"/>
                <w:sz w:val="18"/>
                <w:szCs w:val="18"/>
              </w:rPr>
              <w:t>.6</w:t>
            </w:r>
          </w:p>
        </w:tc>
        <w:tc>
          <w:tcPr>
            <w:tcW w:w="1676" w:type="dxa"/>
          </w:tcPr>
          <w:p w:rsidR="002E01F6" w:rsidRPr="00394675" w:rsidRDefault="00D925AF" w:rsidP="00157768">
            <w:pPr>
              <w:widowControl/>
              <w:spacing w:before="100" w:beforeAutospacing="1" w:after="100" w:afterAutospacing="1" w:line="288" w:lineRule="auto"/>
              <w:jc w:val="left"/>
              <w:cnfStyle w:val="100000000000"/>
              <w:rPr>
                <w:b w:val="0"/>
                <w:bCs w:val="0"/>
                <w:color w:val="000000"/>
                <w:kern w:val="0"/>
                <w:sz w:val="18"/>
                <w:szCs w:val="18"/>
              </w:rPr>
            </w:pPr>
            <w:r>
              <w:rPr>
                <w:rFonts w:hint="eastAsia"/>
                <w:b w:val="0"/>
                <w:bCs w:val="0"/>
                <w:color w:val="000000"/>
                <w:kern w:val="0"/>
                <w:sz w:val="18"/>
                <w:szCs w:val="18"/>
              </w:rPr>
              <w:t>2007</w:t>
            </w:r>
            <w:r w:rsidR="00E16A59">
              <w:rPr>
                <w:rFonts w:hint="eastAsia"/>
                <w:b w:val="0"/>
                <w:bCs w:val="0"/>
                <w:color w:val="000000"/>
                <w:kern w:val="0"/>
                <w:sz w:val="18"/>
                <w:szCs w:val="18"/>
              </w:rPr>
              <w:t>.7</w:t>
            </w:r>
            <w:r>
              <w:rPr>
                <w:rFonts w:hint="eastAsia"/>
                <w:b w:val="0"/>
                <w:bCs w:val="0"/>
                <w:color w:val="000000"/>
                <w:kern w:val="0"/>
                <w:sz w:val="18"/>
                <w:szCs w:val="18"/>
              </w:rPr>
              <w:t>-2010</w:t>
            </w:r>
            <w:r w:rsidR="00E16A59">
              <w:rPr>
                <w:rFonts w:hint="eastAsia"/>
                <w:b w:val="0"/>
                <w:bCs w:val="0"/>
                <w:color w:val="000000"/>
                <w:kern w:val="0"/>
                <w:sz w:val="18"/>
                <w:szCs w:val="18"/>
              </w:rPr>
              <w:t>.6</w:t>
            </w:r>
          </w:p>
        </w:tc>
      </w:tr>
      <w:tr w:rsidR="002E01F6" w:rsidRPr="00394675" w:rsidTr="00157768">
        <w:trPr>
          <w:cnfStyle w:val="000000100000"/>
          <w:jc w:val="center"/>
        </w:trPr>
        <w:tc>
          <w:tcPr>
            <w:cnfStyle w:val="001000000000"/>
            <w:tcW w:w="1584" w:type="dxa"/>
          </w:tcPr>
          <w:p w:rsidR="002E01F6" w:rsidRPr="003B7C78" w:rsidRDefault="002E01F6" w:rsidP="00157768">
            <w:pPr>
              <w:rPr>
                <w:b w:val="0"/>
                <w:color w:val="000000"/>
                <w:kern w:val="0"/>
                <w:sz w:val="18"/>
                <w:szCs w:val="18"/>
              </w:rPr>
            </w:pPr>
            <w:r w:rsidRPr="003B7C78">
              <w:rPr>
                <w:b w:val="0"/>
                <w:color w:val="000000"/>
                <w:kern w:val="0"/>
                <w:sz w:val="18"/>
                <w:szCs w:val="18"/>
              </w:rPr>
              <w:t>华夏红利</w:t>
            </w:r>
          </w:p>
        </w:tc>
        <w:tc>
          <w:tcPr>
            <w:tcW w:w="1677" w:type="dxa"/>
          </w:tcPr>
          <w:p w:rsidR="002E01F6" w:rsidRPr="003B7C78" w:rsidRDefault="00A565F3" w:rsidP="00157768">
            <w:pPr>
              <w:widowControl/>
              <w:spacing w:before="100" w:beforeAutospacing="1" w:after="100" w:afterAutospacing="1"/>
              <w:jc w:val="left"/>
              <w:cnfStyle w:val="0000001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widowControl/>
              <w:spacing w:before="100" w:beforeAutospacing="1" w:after="100" w:afterAutospacing="1"/>
              <w:jc w:val="left"/>
              <w:cnfStyle w:val="0000001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兴业趋势</w:t>
            </w:r>
          </w:p>
        </w:tc>
        <w:tc>
          <w:tcPr>
            <w:tcW w:w="1677" w:type="dxa"/>
          </w:tcPr>
          <w:p w:rsidR="002E01F6" w:rsidRPr="003B7C78" w:rsidRDefault="00A565F3"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cnfStyle w:val="000000100000"/>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东方精选</w:t>
            </w:r>
          </w:p>
        </w:tc>
        <w:tc>
          <w:tcPr>
            <w:tcW w:w="1677" w:type="dxa"/>
          </w:tcPr>
          <w:p w:rsidR="002E01F6" w:rsidRPr="003B7C78" w:rsidRDefault="00A565F3" w:rsidP="00157768">
            <w:pPr>
              <w:cnfStyle w:val="0000001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1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海富通回报</w:t>
            </w:r>
          </w:p>
        </w:tc>
        <w:tc>
          <w:tcPr>
            <w:tcW w:w="1677" w:type="dxa"/>
          </w:tcPr>
          <w:p w:rsidR="002E01F6" w:rsidRPr="003B7C78" w:rsidRDefault="00A565F3"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cnfStyle w:val="000000100000"/>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华宝收益</w:t>
            </w:r>
          </w:p>
        </w:tc>
        <w:tc>
          <w:tcPr>
            <w:tcW w:w="1677" w:type="dxa"/>
          </w:tcPr>
          <w:p w:rsidR="002E01F6" w:rsidRPr="003B7C78" w:rsidRDefault="00A565F3" w:rsidP="00157768">
            <w:pPr>
              <w:cnfStyle w:val="0000001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1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交银稳健</w:t>
            </w:r>
          </w:p>
        </w:tc>
        <w:tc>
          <w:tcPr>
            <w:tcW w:w="1677" w:type="dxa"/>
          </w:tcPr>
          <w:p w:rsidR="002E01F6" w:rsidRPr="003B7C78" w:rsidRDefault="00A565F3"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cnfStyle w:val="000000100000"/>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工银平衡</w:t>
            </w:r>
          </w:p>
        </w:tc>
        <w:tc>
          <w:tcPr>
            <w:tcW w:w="1677" w:type="dxa"/>
          </w:tcPr>
          <w:p w:rsidR="002E01F6" w:rsidRPr="003B7C78" w:rsidRDefault="00A565F3" w:rsidP="00157768">
            <w:pPr>
              <w:cnfStyle w:val="0000001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100000"/>
              <w:rPr>
                <w:color w:val="000000"/>
                <w:kern w:val="0"/>
                <w:sz w:val="18"/>
                <w:szCs w:val="18"/>
              </w:rPr>
            </w:pPr>
            <w:r w:rsidRPr="003B7C78">
              <w:rPr>
                <w:rFonts w:ascii="宋体" w:eastAsia="宋体" w:hAnsi="宋体" w:cs="宋体" w:hint="eastAsia"/>
                <w:color w:val="000000"/>
                <w:sz w:val="15"/>
                <w:szCs w:val="15"/>
              </w:rPr>
              <w:t>★★</w:t>
            </w:r>
          </w:p>
        </w:tc>
      </w:tr>
      <w:tr w:rsidR="002E01F6" w:rsidRPr="00394675" w:rsidTr="00157768">
        <w:trPr>
          <w:jc w:val="center"/>
        </w:trPr>
        <w:tc>
          <w:tcPr>
            <w:cnfStyle w:val="001000000000"/>
            <w:tcW w:w="1584" w:type="dxa"/>
          </w:tcPr>
          <w:p w:rsidR="002E01F6" w:rsidRPr="003B7C78" w:rsidRDefault="002E01F6" w:rsidP="00157768">
            <w:pPr>
              <w:rPr>
                <w:b w:val="0"/>
                <w:color w:val="000000"/>
                <w:kern w:val="0"/>
                <w:sz w:val="18"/>
                <w:szCs w:val="18"/>
              </w:rPr>
            </w:pPr>
            <w:r w:rsidRPr="003B7C78">
              <w:rPr>
                <w:rFonts w:hint="eastAsia"/>
                <w:b w:val="0"/>
                <w:color w:val="000000"/>
                <w:kern w:val="0"/>
                <w:sz w:val="18"/>
                <w:szCs w:val="18"/>
              </w:rPr>
              <w:t>华夏稳增</w:t>
            </w:r>
          </w:p>
        </w:tc>
        <w:tc>
          <w:tcPr>
            <w:tcW w:w="1677" w:type="dxa"/>
          </w:tcPr>
          <w:p w:rsidR="002E01F6" w:rsidRPr="003B7C78" w:rsidRDefault="00A565F3"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c>
          <w:tcPr>
            <w:tcW w:w="1676" w:type="dxa"/>
          </w:tcPr>
          <w:p w:rsidR="002E01F6" w:rsidRPr="003B7C78" w:rsidRDefault="00031354" w:rsidP="00157768">
            <w:pPr>
              <w:cnfStyle w:val="000000000000"/>
              <w:rPr>
                <w:color w:val="000000"/>
                <w:kern w:val="0"/>
                <w:sz w:val="18"/>
                <w:szCs w:val="18"/>
              </w:rPr>
            </w:pPr>
            <w:r w:rsidRPr="003B7C78">
              <w:rPr>
                <w:rFonts w:ascii="宋体" w:eastAsia="宋体" w:hAnsi="宋体" w:cs="宋体" w:hint="eastAsia"/>
                <w:color w:val="000000"/>
                <w:sz w:val="15"/>
                <w:szCs w:val="15"/>
              </w:rPr>
              <w:t>★★★</w:t>
            </w:r>
          </w:p>
        </w:tc>
      </w:tr>
    </w:tbl>
    <w:p w:rsidR="00AE022F" w:rsidRPr="005B48F7" w:rsidRDefault="00AE022F" w:rsidP="00AE022F">
      <w:pPr>
        <w:ind w:leftChars="-1628" w:left="-3419" w:firstLineChars="2247" w:firstLine="4045"/>
        <w:rPr>
          <w:b/>
          <w:color w:val="003366"/>
          <w:sz w:val="28"/>
          <w:szCs w:val="28"/>
        </w:rPr>
      </w:pPr>
      <w:r w:rsidRPr="00394675">
        <w:rPr>
          <w:rFonts w:eastAsia="楷体_GB2312"/>
          <w:i/>
          <w:color w:val="003366"/>
          <w:sz w:val="18"/>
          <w:szCs w:val="18"/>
        </w:rPr>
        <w:t>数据来源：</w:t>
      </w:r>
      <w:r w:rsidRPr="00394675">
        <w:rPr>
          <w:rFonts w:eastAsia="楷体_GB2312"/>
          <w:i/>
          <w:color w:val="003366"/>
          <w:sz w:val="18"/>
          <w:szCs w:val="18"/>
        </w:rPr>
        <w:t>wind</w:t>
      </w:r>
      <w:r w:rsidRPr="00394675">
        <w:rPr>
          <w:rFonts w:eastAsia="楷体_GB2312"/>
          <w:i/>
          <w:color w:val="003366"/>
          <w:sz w:val="18"/>
          <w:szCs w:val="18"/>
        </w:rPr>
        <w:t>、上海证券基金评价研究中心</w:t>
      </w:r>
    </w:p>
    <w:p w:rsidR="002C7B37" w:rsidRPr="00394675" w:rsidRDefault="002C7B37" w:rsidP="002C7B37">
      <w:pPr>
        <w:ind w:leftChars="-1628" w:left="-3419" w:firstLineChars="1997" w:firstLine="3595"/>
        <w:rPr>
          <w:rFonts w:eastAsia="楷体_GB2312"/>
          <w:color w:val="003366"/>
          <w:sz w:val="18"/>
          <w:szCs w:val="18"/>
        </w:rPr>
      </w:pPr>
      <w:r w:rsidRPr="008D703A">
        <w:rPr>
          <w:rFonts w:eastAsia="楷体_GB2312"/>
          <w:color w:val="003365"/>
          <w:kern w:val="0"/>
          <w:sz w:val="18"/>
          <w:szCs w:val="18"/>
        </w:rPr>
        <w:t>图</w:t>
      </w:r>
      <w:r>
        <w:rPr>
          <w:rFonts w:eastAsia="楷体_GB2312" w:hint="eastAsia"/>
          <w:color w:val="003365"/>
          <w:kern w:val="0"/>
          <w:sz w:val="18"/>
          <w:szCs w:val="18"/>
        </w:rPr>
        <w:t>2</w:t>
      </w:r>
      <w:r>
        <w:rPr>
          <w:rFonts w:eastAsia="楷体_GB2312" w:hint="eastAsia"/>
          <w:color w:val="003366"/>
          <w:sz w:val="18"/>
          <w:szCs w:val="18"/>
        </w:rPr>
        <w:t>：</w:t>
      </w:r>
      <w:r w:rsidR="00E16A59">
        <w:rPr>
          <w:rFonts w:eastAsia="楷体_GB2312" w:hint="eastAsia"/>
          <w:color w:val="003366"/>
          <w:sz w:val="18"/>
          <w:szCs w:val="18"/>
        </w:rPr>
        <w:t>固定</w:t>
      </w:r>
      <w:r>
        <w:rPr>
          <w:rFonts w:eastAsia="楷体_GB2312" w:hint="eastAsia"/>
          <w:color w:val="003366"/>
          <w:sz w:val="18"/>
          <w:szCs w:val="18"/>
        </w:rPr>
        <w:t>组合</w:t>
      </w:r>
      <w:r w:rsidR="00E16A59">
        <w:rPr>
          <w:rFonts w:eastAsia="楷体_GB2312" w:hint="eastAsia"/>
          <w:color w:val="003366"/>
          <w:sz w:val="18"/>
          <w:szCs w:val="18"/>
        </w:rPr>
        <w:t>累积收益</w:t>
      </w:r>
      <w:r w:rsidR="005E2852">
        <w:rPr>
          <w:rFonts w:eastAsia="楷体_GB2312" w:hint="eastAsia"/>
          <w:color w:val="003366"/>
          <w:sz w:val="18"/>
          <w:szCs w:val="18"/>
        </w:rPr>
        <w:t>一定程度上</w:t>
      </w:r>
      <w:r w:rsidR="00B24BB8">
        <w:rPr>
          <w:rFonts w:eastAsia="楷体_GB2312" w:hint="eastAsia"/>
          <w:color w:val="003366"/>
          <w:sz w:val="18"/>
          <w:szCs w:val="18"/>
        </w:rPr>
        <w:t>超越了</w:t>
      </w:r>
      <w:r w:rsidR="00572B36">
        <w:rPr>
          <w:rFonts w:eastAsia="楷体_GB2312" w:hint="eastAsia"/>
          <w:color w:val="003366"/>
          <w:sz w:val="18"/>
          <w:szCs w:val="18"/>
        </w:rPr>
        <w:t>比较</w:t>
      </w:r>
      <w:r w:rsidR="00B24BB8">
        <w:rPr>
          <w:rFonts w:eastAsia="楷体_GB2312" w:hint="eastAsia"/>
          <w:color w:val="003366"/>
          <w:sz w:val="18"/>
          <w:szCs w:val="18"/>
        </w:rPr>
        <w:t>基准</w:t>
      </w:r>
    </w:p>
    <w:p w:rsidR="0088305D" w:rsidRDefault="005A262C" w:rsidP="0088305D">
      <w:pPr>
        <w:wordWrap w:val="0"/>
        <w:jc w:val="right"/>
        <w:rPr>
          <w:rFonts w:eastAsia="楷体_GB2312"/>
          <w:i/>
          <w:color w:val="003366"/>
          <w:sz w:val="18"/>
          <w:szCs w:val="18"/>
        </w:rPr>
      </w:pPr>
      <w:r w:rsidRPr="005A262C">
        <w:rPr>
          <w:rFonts w:eastAsia="楷体_GB2312"/>
          <w:noProof/>
          <w:szCs w:val="21"/>
        </w:rPr>
        <w:pict>
          <v:line id="_x0000_s1097" style="position:absolute;left:0;text-align:left;z-index:251725312" from="5.15pt,158.35pt" to="320.15pt,158.35pt" strokecolor="red" strokeweight="1pt"/>
        </w:pict>
      </w:r>
      <w:r w:rsidRPr="005A262C">
        <w:rPr>
          <w:rFonts w:eastAsia="楷体_GB2312"/>
          <w:noProof/>
          <w:szCs w:val="21"/>
        </w:rPr>
        <w:pict>
          <v:line id="_x0000_s1096" style="position:absolute;left:0;text-align:left;z-index:251724288" from="7.3pt,0" to="322.3pt,0" strokecolor="red" strokeweight="1pt"/>
        </w:pict>
      </w:r>
      <w:r w:rsidR="00E16A59" w:rsidRPr="00E16A59">
        <w:rPr>
          <w:noProof/>
        </w:rPr>
        <w:drawing>
          <wp:inline distT="0" distB="0" distL="0" distR="0">
            <wp:extent cx="3829050" cy="1981199"/>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C7B37" w:rsidRPr="005B48F7" w:rsidRDefault="002C7B37" w:rsidP="0088305D">
      <w:pPr>
        <w:jc w:val="left"/>
        <w:rPr>
          <w:b/>
          <w:color w:val="003366"/>
          <w:sz w:val="28"/>
          <w:szCs w:val="28"/>
        </w:rPr>
      </w:pPr>
      <w:r w:rsidRPr="00394675">
        <w:rPr>
          <w:rFonts w:eastAsia="楷体_GB2312"/>
          <w:i/>
          <w:color w:val="003366"/>
          <w:sz w:val="18"/>
          <w:szCs w:val="18"/>
        </w:rPr>
        <w:t>数据来源：</w:t>
      </w:r>
      <w:r w:rsidRPr="00394675">
        <w:rPr>
          <w:rFonts w:eastAsia="楷体_GB2312"/>
          <w:i/>
          <w:color w:val="003366"/>
          <w:sz w:val="18"/>
          <w:szCs w:val="18"/>
        </w:rPr>
        <w:t>wind</w:t>
      </w:r>
      <w:r w:rsidRPr="00394675">
        <w:rPr>
          <w:rFonts w:eastAsia="楷体_GB2312"/>
          <w:i/>
          <w:color w:val="003366"/>
          <w:sz w:val="18"/>
          <w:szCs w:val="18"/>
        </w:rPr>
        <w:t>、上海证券基金评价研究中心</w:t>
      </w:r>
    </w:p>
    <w:p w:rsidR="00C90891" w:rsidRDefault="00C90891" w:rsidP="004932D9">
      <w:pPr>
        <w:spacing w:line="0" w:lineRule="atLeast"/>
        <w:rPr>
          <w:rFonts w:eastAsia="楷体_GB2312"/>
          <w:b/>
          <w:color w:val="003366"/>
          <w:sz w:val="28"/>
          <w:szCs w:val="28"/>
        </w:rPr>
      </w:pPr>
      <w:r>
        <w:rPr>
          <w:rFonts w:eastAsia="楷体_GB2312" w:hint="eastAsia"/>
          <w:b/>
          <w:color w:val="003366"/>
          <w:sz w:val="28"/>
          <w:szCs w:val="28"/>
        </w:rPr>
        <w:t>二</w:t>
      </w:r>
      <w:r w:rsidRPr="0021259C">
        <w:rPr>
          <w:rFonts w:eastAsia="楷体_GB2312"/>
          <w:b/>
          <w:color w:val="003366"/>
          <w:sz w:val="28"/>
          <w:szCs w:val="28"/>
        </w:rPr>
        <w:t>、</w:t>
      </w:r>
      <w:r>
        <w:rPr>
          <w:rFonts w:eastAsia="楷体_GB2312" w:hint="eastAsia"/>
          <w:b/>
          <w:color w:val="003366"/>
          <w:sz w:val="28"/>
          <w:szCs w:val="28"/>
        </w:rPr>
        <w:t>动态五星组合在长期内的表现</w:t>
      </w:r>
      <w:r w:rsidR="000D2DB1" w:rsidRPr="005E2852">
        <w:rPr>
          <w:rFonts w:eastAsia="楷体_GB2312" w:hint="eastAsia"/>
          <w:b/>
          <w:color w:val="003366"/>
          <w:sz w:val="28"/>
          <w:szCs w:val="28"/>
          <w:u w:val="single"/>
        </w:rPr>
        <w:t>显著超越</w:t>
      </w:r>
      <w:r>
        <w:rPr>
          <w:rFonts w:eastAsia="楷体_GB2312" w:hint="eastAsia"/>
          <w:b/>
          <w:color w:val="003366"/>
          <w:sz w:val="28"/>
          <w:szCs w:val="28"/>
        </w:rPr>
        <w:t>比较基准</w:t>
      </w:r>
    </w:p>
    <w:p w:rsidR="00C349E6" w:rsidRDefault="00C349E6" w:rsidP="00C349E6">
      <w:pPr>
        <w:ind w:firstLine="435"/>
        <w:rPr>
          <w:rFonts w:eastAsia="楷体_GB2312"/>
        </w:rPr>
      </w:pPr>
      <w:r w:rsidRPr="00047A6F">
        <w:rPr>
          <w:rFonts w:eastAsia="楷体_GB2312" w:hint="eastAsia"/>
        </w:rPr>
        <w:t>我们关注</w:t>
      </w:r>
      <w:r>
        <w:rPr>
          <w:rFonts w:eastAsia="楷体_GB2312" w:hint="eastAsia"/>
        </w:rPr>
        <w:t>的第二个问题是：</w:t>
      </w:r>
      <w:r w:rsidR="002C762F">
        <w:rPr>
          <w:rFonts w:eastAsia="楷体_GB2312" w:hint="eastAsia"/>
        </w:rPr>
        <w:t>动态五星基金组合在一个较长的时间内会有怎样的表现？动态是指</w:t>
      </w:r>
      <w:r>
        <w:rPr>
          <w:rFonts w:eastAsia="楷体_GB2312" w:hint="eastAsia"/>
        </w:rPr>
        <w:t>根据季度基金评级来调整五星基金组合，即加入新的五星基金，剔除降级的基金</w:t>
      </w:r>
      <w:r w:rsidR="002C762F">
        <w:rPr>
          <w:rFonts w:eastAsia="楷体_GB2312" w:hint="eastAsia"/>
        </w:rPr>
        <w:t>，赋予组合中基金相同的权重</w:t>
      </w:r>
      <w:r w:rsidR="009C4010">
        <w:rPr>
          <w:rFonts w:eastAsia="楷体_GB2312" w:hint="eastAsia"/>
        </w:rPr>
        <w:t>，同样以中证混合基金指数为业绩比较基准。</w:t>
      </w:r>
    </w:p>
    <w:p w:rsidR="00BA5152" w:rsidRPr="00394675" w:rsidRDefault="0091146F" w:rsidP="00BA5152">
      <w:pPr>
        <w:numPr>
          <w:ilvl w:val="0"/>
          <w:numId w:val="12"/>
        </w:numPr>
        <w:rPr>
          <w:rFonts w:eastAsia="楷体_GB2312"/>
          <w:b/>
          <w:color w:val="003366"/>
          <w:szCs w:val="21"/>
        </w:rPr>
      </w:pPr>
      <w:r>
        <w:rPr>
          <w:rFonts w:eastAsia="楷体_GB2312" w:hint="eastAsia"/>
          <w:b/>
          <w:color w:val="003366"/>
          <w:szCs w:val="21"/>
        </w:rPr>
        <w:t>基金组合</w:t>
      </w:r>
      <w:r w:rsidR="006946B8">
        <w:rPr>
          <w:rFonts w:eastAsia="楷体_GB2312" w:hint="eastAsia"/>
          <w:b/>
          <w:color w:val="003366"/>
          <w:szCs w:val="21"/>
        </w:rPr>
        <w:t>调整过程</w:t>
      </w:r>
    </w:p>
    <w:p w:rsidR="00C349E6" w:rsidRPr="00BA5152" w:rsidRDefault="00BA5152" w:rsidP="00C349E6">
      <w:pPr>
        <w:ind w:firstLine="435"/>
        <w:rPr>
          <w:rFonts w:eastAsia="楷体_GB2312"/>
        </w:rPr>
      </w:pPr>
      <w:r>
        <w:rPr>
          <w:rFonts w:eastAsia="楷体_GB2312" w:hint="eastAsia"/>
        </w:rPr>
        <w:t>以第一部分的五星基金组合作为起始组合，随后在每个季度进行调整，</w:t>
      </w:r>
      <w:r w:rsidR="009C4010">
        <w:rPr>
          <w:rFonts w:eastAsia="楷体_GB2312" w:hint="eastAsia"/>
        </w:rPr>
        <w:t>各期组合中五星基金数在</w:t>
      </w:r>
      <w:r w:rsidR="009C4010">
        <w:rPr>
          <w:rFonts w:eastAsia="楷体_GB2312" w:hint="eastAsia"/>
        </w:rPr>
        <w:t>8</w:t>
      </w:r>
      <w:r w:rsidR="009C4010">
        <w:rPr>
          <w:rFonts w:eastAsia="楷体_GB2312" w:hint="eastAsia"/>
        </w:rPr>
        <w:t>—</w:t>
      </w:r>
      <w:r w:rsidR="009C4010">
        <w:rPr>
          <w:rFonts w:eastAsia="楷体_GB2312" w:hint="eastAsia"/>
        </w:rPr>
        <w:t>12</w:t>
      </w:r>
      <w:r w:rsidR="009C4010">
        <w:rPr>
          <w:rFonts w:eastAsia="楷体_GB2312" w:hint="eastAsia"/>
        </w:rPr>
        <w:t>只不等。</w:t>
      </w:r>
      <w:r>
        <w:rPr>
          <w:rFonts w:eastAsia="楷体_GB2312" w:hint="eastAsia"/>
        </w:rPr>
        <w:t>在</w:t>
      </w:r>
      <w:r w:rsidRPr="00C61ACA">
        <w:rPr>
          <w:rFonts w:eastAsia="楷体_GB2312" w:hint="eastAsia"/>
        </w:rPr>
        <w:t>2007</w:t>
      </w:r>
      <w:r w:rsidRPr="00C61ACA">
        <w:rPr>
          <w:rFonts w:eastAsia="楷体_GB2312" w:hint="eastAsia"/>
        </w:rPr>
        <w:t>年</w:t>
      </w:r>
      <w:r w:rsidRPr="00C61ACA">
        <w:rPr>
          <w:rFonts w:eastAsia="楷体_GB2312" w:hint="eastAsia"/>
        </w:rPr>
        <w:t>7</w:t>
      </w:r>
      <w:r w:rsidRPr="00C61ACA">
        <w:rPr>
          <w:rFonts w:eastAsia="楷体_GB2312" w:hint="eastAsia"/>
        </w:rPr>
        <w:t>月</w:t>
      </w:r>
      <w:r w:rsidRPr="00C61ACA">
        <w:rPr>
          <w:rFonts w:eastAsia="楷体_GB2312" w:hint="eastAsia"/>
        </w:rPr>
        <w:t>1</w:t>
      </w:r>
      <w:r w:rsidRPr="00C61ACA">
        <w:rPr>
          <w:rFonts w:eastAsia="楷体_GB2312" w:hint="eastAsia"/>
        </w:rPr>
        <w:t>日至</w:t>
      </w:r>
      <w:r w:rsidRPr="00C61ACA">
        <w:rPr>
          <w:rFonts w:eastAsia="楷体_GB2312" w:hint="eastAsia"/>
        </w:rPr>
        <w:t>2010</w:t>
      </w:r>
      <w:r w:rsidRPr="00C61ACA">
        <w:rPr>
          <w:rFonts w:eastAsia="楷体_GB2312" w:hint="eastAsia"/>
        </w:rPr>
        <w:t>年</w:t>
      </w:r>
      <w:r w:rsidRPr="00C61ACA">
        <w:rPr>
          <w:rFonts w:eastAsia="楷体_GB2312" w:hint="eastAsia"/>
        </w:rPr>
        <w:t>6</w:t>
      </w:r>
      <w:r w:rsidRPr="00C61ACA">
        <w:rPr>
          <w:rFonts w:eastAsia="楷体_GB2312" w:hint="eastAsia"/>
        </w:rPr>
        <w:t>月</w:t>
      </w:r>
      <w:r w:rsidRPr="00C61ACA">
        <w:rPr>
          <w:rFonts w:eastAsia="楷体_GB2312" w:hint="eastAsia"/>
        </w:rPr>
        <w:t>30</w:t>
      </w:r>
      <w:r w:rsidRPr="00C61ACA">
        <w:rPr>
          <w:rFonts w:eastAsia="楷体_GB2312" w:hint="eastAsia"/>
        </w:rPr>
        <w:t>日</w:t>
      </w:r>
      <w:r>
        <w:rPr>
          <w:rFonts w:eastAsia="楷体_GB2312" w:hint="eastAsia"/>
        </w:rPr>
        <w:t>具体调整的记录</w:t>
      </w:r>
      <w:r w:rsidR="00FB2641">
        <w:rPr>
          <w:rFonts w:eastAsia="楷体_GB2312" w:hint="eastAsia"/>
        </w:rPr>
        <w:t>如下</w:t>
      </w:r>
      <w:r>
        <w:rPr>
          <w:rFonts w:eastAsia="楷体_GB2312" w:hint="eastAsia"/>
        </w:rPr>
        <w:t>：</w:t>
      </w:r>
    </w:p>
    <w:p w:rsidR="00EF6A94" w:rsidRPr="00EF6A94" w:rsidRDefault="00EF6A94" w:rsidP="00EF6A94">
      <w:pPr>
        <w:pStyle w:val="afa"/>
        <w:numPr>
          <w:ilvl w:val="0"/>
          <w:numId w:val="19"/>
        </w:numPr>
        <w:ind w:firstLineChars="0"/>
        <w:rPr>
          <w:rFonts w:eastAsia="楷体_GB2312"/>
        </w:rPr>
      </w:pPr>
      <w:r w:rsidRPr="00EF6A94">
        <w:rPr>
          <w:rFonts w:eastAsia="楷体_GB2312" w:hint="eastAsia"/>
        </w:rPr>
        <w:t>2007</w:t>
      </w:r>
      <w:r w:rsidRPr="00EF6A94">
        <w:rPr>
          <w:rFonts w:eastAsia="楷体_GB2312" w:hint="eastAsia"/>
        </w:rPr>
        <w:t>年</w:t>
      </w:r>
      <w:r w:rsidRPr="00EF6A94">
        <w:rPr>
          <w:rFonts w:eastAsia="楷体_GB2312" w:hint="eastAsia"/>
        </w:rPr>
        <w:t>4</w:t>
      </w:r>
      <w:r w:rsidR="009C4010">
        <w:rPr>
          <w:rFonts w:eastAsia="楷体_GB2312" w:hint="eastAsia"/>
        </w:rPr>
        <w:t>季度末，保持上期配置不动。</w:t>
      </w:r>
    </w:p>
    <w:p w:rsidR="00EF6A94" w:rsidRDefault="00EF6A94" w:rsidP="00EF6A94">
      <w:pPr>
        <w:pStyle w:val="afa"/>
        <w:numPr>
          <w:ilvl w:val="0"/>
          <w:numId w:val="19"/>
        </w:numPr>
        <w:ind w:firstLineChars="0"/>
        <w:rPr>
          <w:rFonts w:eastAsia="楷体_GB2312"/>
        </w:rPr>
      </w:pPr>
      <w:r w:rsidRPr="00EF6A94">
        <w:rPr>
          <w:rFonts w:eastAsia="楷体_GB2312" w:hint="eastAsia"/>
        </w:rPr>
        <w:lastRenderedPageBreak/>
        <w:t>2008</w:t>
      </w:r>
      <w:r w:rsidRPr="00EF6A94">
        <w:rPr>
          <w:rFonts w:eastAsia="楷体_GB2312" w:hint="eastAsia"/>
        </w:rPr>
        <w:t>年</w:t>
      </w:r>
      <w:r w:rsidRPr="00EF6A94">
        <w:rPr>
          <w:rFonts w:eastAsia="楷体_GB2312" w:hint="eastAsia"/>
        </w:rPr>
        <w:t>1</w:t>
      </w:r>
      <w:r w:rsidRPr="00EF6A94">
        <w:rPr>
          <w:rFonts w:eastAsia="楷体_GB2312" w:hint="eastAsia"/>
        </w:rPr>
        <w:t>季度末，增加华夏大盘、宝康配置、华安宝利、国投融华、银河收益、上投优势</w:t>
      </w:r>
      <w:r w:rsidR="00FB2641">
        <w:rPr>
          <w:rFonts w:eastAsia="楷体_GB2312" w:hint="eastAsia"/>
        </w:rPr>
        <w:t>，</w:t>
      </w:r>
      <w:r w:rsidRPr="00EF6A94">
        <w:rPr>
          <w:rFonts w:eastAsia="楷体_GB2312" w:hint="eastAsia"/>
        </w:rPr>
        <w:t>剔除信诚四季红、东方精选、海富通回报、交银稳健、工银平衡。</w:t>
      </w:r>
    </w:p>
    <w:p w:rsidR="00EF6A94" w:rsidRDefault="00EF6A94" w:rsidP="00EF6A94">
      <w:pPr>
        <w:pStyle w:val="afa"/>
        <w:numPr>
          <w:ilvl w:val="0"/>
          <w:numId w:val="19"/>
        </w:numPr>
        <w:ind w:firstLineChars="0"/>
        <w:rPr>
          <w:rFonts w:eastAsia="楷体_GB2312"/>
        </w:rPr>
      </w:pPr>
      <w:r w:rsidRPr="00EF6A94">
        <w:rPr>
          <w:rFonts w:eastAsia="楷体_GB2312" w:hint="eastAsia"/>
        </w:rPr>
        <w:t>2008</w:t>
      </w:r>
      <w:r w:rsidRPr="00EF6A94">
        <w:rPr>
          <w:rFonts w:eastAsia="楷体_GB2312" w:hint="eastAsia"/>
        </w:rPr>
        <w:t>年</w:t>
      </w:r>
      <w:r w:rsidRPr="00EF6A94">
        <w:rPr>
          <w:rFonts w:eastAsia="楷体_GB2312" w:hint="eastAsia"/>
        </w:rPr>
        <w:t>2</w:t>
      </w:r>
      <w:r w:rsidRPr="00EF6A94">
        <w:rPr>
          <w:rFonts w:eastAsia="楷体_GB2312" w:hint="eastAsia"/>
        </w:rPr>
        <w:t>季度末，增加华夏回报、银华优势、华宝策略</w:t>
      </w:r>
      <w:r w:rsidR="00FB2641">
        <w:rPr>
          <w:rFonts w:eastAsia="楷体_GB2312" w:hint="eastAsia"/>
        </w:rPr>
        <w:t>，</w:t>
      </w:r>
      <w:r w:rsidRPr="00EF6A94">
        <w:rPr>
          <w:rFonts w:eastAsia="楷体_GB2312" w:hint="eastAsia"/>
        </w:rPr>
        <w:t>剔除上投摩根双息平衡、华宝收益、华夏稳增、国投融华、上投优势。</w:t>
      </w:r>
    </w:p>
    <w:p w:rsidR="00EF6A94" w:rsidRDefault="00EF6A94" w:rsidP="00EF6A94">
      <w:pPr>
        <w:pStyle w:val="afa"/>
        <w:numPr>
          <w:ilvl w:val="0"/>
          <w:numId w:val="19"/>
        </w:numPr>
        <w:ind w:firstLineChars="0"/>
        <w:rPr>
          <w:rFonts w:eastAsia="楷体_GB2312"/>
        </w:rPr>
      </w:pPr>
      <w:r w:rsidRPr="00EF6A94">
        <w:rPr>
          <w:rFonts w:eastAsia="楷体_GB2312" w:hint="eastAsia"/>
        </w:rPr>
        <w:t>2008</w:t>
      </w:r>
      <w:r w:rsidRPr="00EF6A94">
        <w:rPr>
          <w:rFonts w:eastAsia="楷体_GB2312" w:hint="eastAsia"/>
        </w:rPr>
        <w:t>年</w:t>
      </w:r>
      <w:r>
        <w:rPr>
          <w:rFonts w:eastAsia="楷体_GB2312" w:hint="eastAsia"/>
        </w:rPr>
        <w:t>3</w:t>
      </w:r>
      <w:r w:rsidRPr="00EF6A94">
        <w:rPr>
          <w:rFonts w:eastAsia="楷体_GB2312" w:hint="eastAsia"/>
        </w:rPr>
        <w:t>度末</w:t>
      </w:r>
      <w:r>
        <w:rPr>
          <w:rFonts w:eastAsia="楷体_GB2312" w:hint="eastAsia"/>
        </w:rPr>
        <w:t>，保持上期配置不动。</w:t>
      </w:r>
    </w:p>
    <w:p w:rsidR="00EF6A94" w:rsidRDefault="00EF6A94" w:rsidP="00EF6A94">
      <w:pPr>
        <w:pStyle w:val="afa"/>
        <w:numPr>
          <w:ilvl w:val="0"/>
          <w:numId w:val="19"/>
        </w:numPr>
        <w:ind w:firstLineChars="0"/>
        <w:rPr>
          <w:rFonts w:eastAsia="楷体_GB2312"/>
        </w:rPr>
      </w:pPr>
      <w:r w:rsidRPr="00EF6A94">
        <w:rPr>
          <w:rFonts w:eastAsia="楷体_GB2312" w:hint="eastAsia"/>
        </w:rPr>
        <w:t>2008</w:t>
      </w:r>
      <w:r w:rsidRPr="00EF6A94">
        <w:rPr>
          <w:rFonts w:eastAsia="楷体_GB2312" w:hint="eastAsia"/>
        </w:rPr>
        <w:t>年</w:t>
      </w:r>
      <w:r w:rsidRPr="00EF6A94">
        <w:rPr>
          <w:rFonts w:eastAsia="楷体_GB2312" w:hint="eastAsia"/>
        </w:rPr>
        <w:t>4</w:t>
      </w:r>
      <w:r w:rsidRPr="00EF6A94">
        <w:rPr>
          <w:rFonts w:eastAsia="楷体_GB2312" w:hint="eastAsia"/>
        </w:rPr>
        <w:t>季度末，增加中银中国、银河稳健</w:t>
      </w:r>
      <w:r w:rsidR="00FB2641">
        <w:rPr>
          <w:rFonts w:eastAsia="楷体_GB2312" w:hint="eastAsia"/>
        </w:rPr>
        <w:t>，</w:t>
      </w:r>
      <w:r w:rsidRPr="00EF6A94">
        <w:rPr>
          <w:rFonts w:eastAsia="楷体_GB2312" w:hint="eastAsia"/>
        </w:rPr>
        <w:t>剔除宝康配置、华安宝利。</w:t>
      </w:r>
    </w:p>
    <w:p w:rsidR="00EF6A94" w:rsidRDefault="00EF6A94" w:rsidP="00EF6A94">
      <w:pPr>
        <w:pStyle w:val="afa"/>
        <w:numPr>
          <w:ilvl w:val="0"/>
          <w:numId w:val="19"/>
        </w:numPr>
        <w:ind w:firstLineChars="0"/>
        <w:rPr>
          <w:rFonts w:eastAsia="楷体_GB2312"/>
        </w:rPr>
      </w:pPr>
      <w:r w:rsidRPr="00EF6A94">
        <w:rPr>
          <w:rFonts w:eastAsia="楷体_GB2312" w:hint="eastAsia"/>
        </w:rPr>
        <w:t>2009</w:t>
      </w:r>
      <w:r w:rsidRPr="00EF6A94">
        <w:rPr>
          <w:rFonts w:eastAsia="楷体_GB2312" w:hint="eastAsia"/>
        </w:rPr>
        <w:t>年</w:t>
      </w:r>
      <w:r w:rsidRPr="00EF6A94">
        <w:rPr>
          <w:rFonts w:eastAsia="楷体_GB2312" w:hint="eastAsia"/>
        </w:rPr>
        <w:t>1</w:t>
      </w:r>
      <w:r w:rsidRPr="00EF6A94">
        <w:rPr>
          <w:rFonts w:eastAsia="楷体_GB2312" w:hint="eastAsia"/>
        </w:rPr>
        <w:t>季度末，增加国投融华、华夏经典</w:t>
      </w:r>
      <w:r w:rsidR="00FB2641">
        <w:rPr>
          <w:rFonts w:eastAsia="楷体_GB2312" w:hint="eastAsia"/>
        </w:rPr>
        <w:t>，</w:t>
      </w:r>
      <w:r w:rsidRPr="00EF6A94">
        <w:rPr>
          <w:rFonts w:eastAsia="楷体_GB2312" w:hint="eastAsia"/>
        </w:rPr>
        <w:t>剔除中银中国。</w:t>
      </w:r>
    </w:p>
    <w:p w:rsidR="00EF6A94" w:rsidRDefault="00EF6A94" w:rsidP="00EF6A94">
      <w:pPr>
        <w:pStyle w:val="afa"/>
        <w:numPr>
          <w:ilvl w:val="0"/>
          <w:numId w:val="19"/>
        </w:numPr>
        <w:ind w:firstLineChars="0"/>
        <w:rPr>
          <w:rFonts w:eastAsia="楷体_GB2312"/>
        </w:rPr>
      </w:pPr>
      <w:r w:rsidRPr="00EF6A94">
        <w:rPr>
          <w:rFonts w:eastAsia="楷体_GB2312" w:hint="eastAsia"/>
        </w:rPr>
        <w:t>2009</w:t>
      </w:r>
      <w:r w:rsidRPr="00EF6A94">
        <w:rPr>
          <w:rFonts w:eastAsia="楷体_GB2312" w:hint="eastAsia"/>
        </w:rPr>
        <w:t>年</w:t>
      </w:r>
      <w:r w:rsidRPr="00EF6A94">
        <w:rPr>
          <w:rFonts w:eastAsia="楷体_GB2312" w:hint="eastAsia"/>
        </w:rPr>
        <w:t>2</w:t>
      </w:r>
      <w:r w:rsidRPr="00EF6A94">
        <w:rPr>
          <w:rFonts w:eastAsia="楷体_GB2312" w:hint="eastAsia"/>
        </w:rPr>
        <w:t>季度末，剔除华宝策略。</w:t>
      </w:r>
    </w:p>
    <w:p w:rsidR="00EF6A94" w:rsidRDefault="00EF6A94" w:rsidP="00EF6A94">
      <w:pPr>
        <w:pStyle w:val="afa"/>
        <w:numPr>
          <w:ilvl w:val="0"/>
          <w:numId w:val="19"/>
        </w:numPr>
        <w:ind w:firstLineChars="0"/>
        <w:rPr>
          <w:rFonts w:eastAsia="楷体_GB2312"/>
        </w:rPr>
      </w:pPr>
      <w:r w:rsidRPr="00EF6A94">
        <w:rPr>
          <w:rFonts w:eastAsia="楷体_GB2312" w:hint="eastAsia"/>
        </w:rPr>
        <w:t>2009</w:t>
      </w:r>
      <w:r w:rsidRPr="00EF6A94">
        <w:rPr>
          <w:rFonts w:eastAsia="楷体_GB2312" w:hint="eastAsia"/>
        </w:rPr>
        <w:t>年</w:t>
      </w:r>
      <w:r w:rsidRPr="00EF6A94">
        <w:rPr>
          <w:rFonts w:eastAsia="楷体_GB2312" w:hint="eastAsia"/>
        </w:rPr>
        <w:t>3</w:t>
      </w:r>
      <w:r w:rsidRPr="00EF6A94">
        <w:rPr>
          <w:rFonts w:eastAsia="楷体_GB2312" w:hint="eastAsia"/>
        </w:rPr>
        <w:t>季度末，增加大摩资源。</w:t>
      </w:r>
    </w:p>
    <w:p w:rsidR="00EF6A94" w:rsidRDefault="00EF6A94" w:rsidP="00EF6A94">
      <w:pPr>
        <w:pStyle w:val="afa"/>
        <w:numPr>
          <w:ilvl w:val="0"/>
          <w:numId w:val="19"/>
        </w:numPr>
        <w:ind w:firstLineChars="0"/>
        <w:rPr>
          <w:rFonts w:eastAsia="楷体_GB2312"/>
        </w:rPr>
      </w:pPr>
      <w:r w:rsidRPr="00EF6A94">
        <w:rPr>
          <w:rFonts w:eastAsia="楷体_GB2312" w:hint="eastAsia"/>
        </w:rPr>
        <w:t>2009</w:t>
      </w:r>
      <w:r w:rsidRPr="00EF6A94">
        <w:rPr>
          <w:rFonts w:eastAsia="楷体_GB2312" w:hint="eastAsia"/>
        </w:rPr>
        <w:t>年</w:t>
      </w:r>
      <w:r w:rsidRPr="00EF6A94">
        <w:rPr>
          <w:rFonts w:eastAsia="楷体_GB2312" w:hint="eastAsia"/>
        </w:rPr>
        <w:t>4</w:t>
      </w:r>
      <w:r w:rsidRPr="00EF6A94">
        <w:rPr>
          <w:rFonts w:eastAsia="楷体_GB2312" w:hint="eastAsia"/>
        </w:rPr>
        <w:t>季度末，增加华宝收益、中银中国</w:t>
      </w:r>
      <w:r w:rsidRPr="00EF6A94">
        <w:rPr>
          <w:rFonts w:eastAsia="楷体_GB2312" w:hint="eastAsia"/>
        </w:rPr>
        <w:t xml:space="preserve"> </w:t>
      </w:r>
      <w:r w:rsidR="00FB2641">
        <w:rPr>
          <w:rFonts w:eastAsia="楷体_GB2312" w:hint="eastAsia"/>
        </w:rPr>
        <w:t>，</w:t>
      </w:r>
      <w:r w:rsidRPr="00EF6A94">
        <w:rPr>
          <w:rFonts w:eastAsia="楷体_GB2312" w:hint="eastAsia"/>
        </w:rPr>
        <w:t>剔除华夏经典。</w:t>
      </w:r>
    </w:p>
    <w:p w:rsidR="00EF6A94" w:rsidRDefault="00EF6A94" w:rsidP="00EF6A94">
      <w:pPr>
        <w:pStyle w:val="afa"/>
        <w:numPr>
          <w:ilvl w:val="0"/>
          <w:numId w:val="19"/>
        </w:numPr>
        <w:ind w:firstLineChars="0"/>
        <w:rPr>
          <w:rFonts w:eastAsia="楷体_GB2312"/>
        </w:rPr>
      </w:pPr>
      <w:r w:rsidRPr="00EF6A94">
        <w:rPr>
          <w:rFonts w:eastAsia="楷体_GB2312" w:hint="eastAsia"/>
        </w:rPr>
        <w:t>2010</w:t>
      </w:r>
      <w:r w:rsidRPr="00EF6A94">
        <w:rPr>
          <w:rFonts w:eastAsia="楷体_GB2312" w:hint="eastAsia"/>
        </w:rPr>
        <w:t>年</w:t>
      </w:r>
      <w:r w:rsidRPr="00EF6A94">
        <w:rPr>
          <w:rFonts w:eastAsia="楷体_GB2312" w:hint="eastAsia"/>
        </w:rPr>
        <w:t>1</w:t>
      </w:r>
      <w:r w:rsidRPr="00EF6A94">
        <w:rPr>
          <w:rFonts w:eastAsia="楷体_GB2312" w:hint="eastAsia"/>
        </w:rPr>
        <w:t>季度末，增加华宝策略、国泰金鹏</w:t>
      </w:r>
      <w:r w:rsidRPr="00EF6A94">
        <w:rPr>
          <w:rFonts w:eastAsia="楷体_GB2312" w:hint="eastAsia"/>
        </w:rPr>
        <w:t xml:space="preserve"> </w:t>
      </w:r>
      <w:r w:rsidR="00FB2641">
        <w:rPr>
          <w:rFonts w:eastAsia="楷体_GB2312" w:hint="eastAsia"/>
        </w:rPr>
        <w:t>，</w:t>
      </w:r>
      <w:r w:rsidRPr="00EF6A94">
        <w:rPr>
          <w:rFonts w:eastAsia="楷体_GB2312" w:hint="eastAsia"/>
        </w:rPr>
        <w:t>剔除银河收益。</w:t>
      </w:r>
    </w:p>
    <w:p w:rsidR="00EF6A94" w:rsidRPr="00EF6A94" w:rsidRDefault="00EF6A94" w:rsidP="00EF6A94">
      <w:pPr>
        <w:pStyle w:val="afa"/>
        <w:numPr>
          <w:ilvl w:val="0"/>
          <w:numId w:val="19"/>
        </w:numPr>
        <w:ind w:firstLineChars="0"/>
        <w:rPr>
          <w:rFonts w:eastAsia="楷体_GB2312"/>
        </w:rPr>
      </w:pPr>
      <w:r w:rsidRPr="00EF6A94">
        <w:rPr>
          <w:rFonts w:eastAsia="楷体_GB2312" w:hint="eastAsia"/>
        </w:rPr>
        <w:t>2010</w:t>
      </w:r>
      <w:r w:rsidRPr="00EF6A94">
        <w:rPr>
          <w:rFonts w:eastAsia="楷体_GB2312" w:hint="eastAsia"/>
        </w:rPr>
        <w:t>年</w:t>
      </w:r>
      <w:r w:rsidRPr="00EF6A94">
        <w:rPr>
          <w:rFonts w:eastAsia="楷体_GB2312" w:hint="eastAsia"/>
        </w:rPr>
        <w:t>2</w:t>
      </w:r>
      <w:r w:rsidRPr="00EF6A94">
        <w:rPr>
          <w:rFonts w:eastAsia="楷体_GB2312" w:hint="eastAsia"/>
        </w:rPr>
        <w:t>季度末，增加宝康消费、嘉实增长、嘉实策略、鹏华</w:t>
      </w:r>
      <w:r w:rsidRPr="00EF6A94">
        <w:rPr>
          <w:rFonts w:eastAsia="楷体_GB2312" w:hint="eastAsia"/>
        </w:rPr>
        <w:t>50</w:t>
      </w:r>
      <w:r w:rsidR="00FB2641">
        <w:rPr>
          <w:rFonts w:eastAsia="楷体_GB2312" w:hint="eastAsia"/>
        </w:rPr>
        <w:t>，</w:t>
      </w:r>
      <w:r w:rsidRPr="00EF6A94">
        <w:rPr>
          <w:rFonts w:eastAsia="楷体_GB2312" w:hint="eastAsia"/>
        </w:rPr>
        <w:t>剔除华夏回报、国投融华、华宝收益、国泰金鹏。</w:t>
      </w:r>
    </w:p>
    <w:p w:rsidR="003679C7" w:rsidRPr="00394675" w:rsidRDefault="00D25403" w:rsidP="003679C7">
      <w:pPr>
        <w:numPr>
          <w:ilvl w:val="0"/>
          <w:numId w:val="12"/>
        </w:numPr>
        <w:rPr>
          <w:rFonts w:eastAsia="楷体_GB2312"/>
          <w:b/>
          <w:color w:val="003366"/>
          <w:szCs w:val="21"/>
        </w:rPr>
      </w:pPr>
      <w:r>
        <w:rPr>
          <w:rFonts w:eastAsia="楷体_GB2312" w:hint="eastAsia"/>
          <w:b/>
          <w:color w:val="003366"/>
          <w:szCs w:val="21"/>
        </w:rPr>
        <w:t>与固定组合相似，</w:t>
      </w:r>
      <w:r w:rsidR="003679C7">
        <w:rPr>
          <w:rFonts w:eastAsia="楷体_GB2312" w:hint="eastAsia"/>
          <w:b/>
          <w:color w:val="003366"/>
          <w:szCs w:val="21"/>
        </w:rPr>
        <w:t>短期内</w:t>
      </w:r>
      <w:r w:rsidR="003F0E42">
        <w:rPr>
          <w:rFonts w:eastAsia="楷体_GB2312" w:hint="eastAsia"/>
          <w:b/>
          <w:color w:val="003366"/>
          <w:szCs w:val="21"/>
        </w:rPr>
        <w:t>动态</w:t>
      </w:r>
      <w:r w:rsidR="003679C7">
        <w:rPr>
          <w:rFonts w:eastAsia="楷体_GB2312" w:hint="eastAsia"/>
          <w:b/>
          <w:color w:val="003366"/>
          <w:szCs w:val="21"/>
        </w:rPr>
        <w:t>五星</w:t>
      </w:r>
      <w:r>
        <w:rPr>
          <w:rFonts w:eastAsia="楷体_GB2312" w:hint="eastAsia"/>
          <w:b/>
          <w:color w:val="003366"/>
          <w:szCs w:val="21"/>
        </w:rPr>
        <w:t>组合</w:t>
      </w:r>
      <w:r w:rsidR="003679C7">
        <w:rPr>
          <w:rFonts w:eastAsia="楷体_GB2312" w:hint="eastAsia"/>
          <w:b/>
          <w:color w:val="003366"/>
          <w:szCs w:val="21"/>
        </w:rPr>
        <w:t>的表现与基准无</w:t>
      </w:r>
      <w:r w:rsidR="003F0E42">
        <w:rPr>
          <w:rFonts w:eastAsia="楷体_GB2312" w:hint="eastAsia"/>
          <w:b/>
          <w:color w:val="003366"/>
          <w:szCs w:val="21"/>
        </w:rPr>
        <w:t>显著</w:t>
      </w:r>
      <w:r w:rsidR="003679C7">
        <w:rPr>
          <w:rFonts w:eastAsia="楷体_GB2312" w:hint="eastAsia"/>
          <w:b/>
          <w:color w:val="003366"/>
          <w:szCs w:val="21"/>
        </w:rPr>
        <w:t>差异</w:t>
      </w:r>
    </w:p>
    <w:p w:rsidR="003679C7" w:rsidRPr="00C61ACA" w:rsidRDefault="003679C7" w:rsidP="003679C7">
      <w:pPr>
        <w:shd w:val="clear" w:color="auto" w:fill="FFFFFF"/>
        <w:ind w:firstLineChars="196" w:firstLine="412"/>
        <w:rPr>
          <w:rFonts w:eastAsia="楷体_GB2312"/>
        </w:rPr>
      </w:pPr>
      <w:r>
        <w:rPr>
          <w:rFonts w:eastAsia="楷体_GB2312" w:hint="eastAsia"/>
        </w:rPr>
        <w:t>对</w:t>
      </w:r>
      <w:r w:rsidR="00D25403">
        <w:rPr>
          <w:rFonts w:eastAsia="楷体_GB2312" w:hint="eastAsia"/>
        </w:rPr>
        <w:t>动态</w:t>
      </w:r>
      <w:r w:rsidRPr="00C61ACA">
        <w:rPr>
          <w:rFonts w:eastAsia="楷体_GB2312" w:hint="eastAsia"/>
        </w:rPr>
        <w:t>五星基金</w:t>
      </w:r>
      <w:r>
        <w:rPr>
          <w:rFonts w:eastAsia="楷体_GB2312" w:hint="eastAsia"/>
        </w:rPr>
        <w:t>组合</w:t>
      </w:r>
      <w:r w:rsidRPr="00C61ACA">
        <w:rPr>
          <w:rFonts w:eastAsia="楷体_GB2312" w:hint="eastAsia"/>
        </w:rPr>
        <w:t>在</w:t>
      </w:r>
      <w:r w:rsidRPr="00C61ACA">
        <w:rPr>
          <w:rFonts w:eastAsia="楷体_GB2312" w:hint="eastAsia"/>
        </w:rPr>
        <w:t>2007</w:t>
      </w:r>
      <w:r w:rsidRPr="00C61ACA">
        <w:rPr>
          <w:rFonts w:eastAsia="楷体_GB2312" w:hint="eastAsia"/>
        </w:rPr>
        <w:t>年</w:t>
      </w:r>
      <w:r w:rsidRPr="00C61ACA">
        <w:rPr>
          <w:rFonts w:eastAsia="楷体_GB2312" w:hint="eastAsia"/>
        </w:rPr>
        <w:t>7</w:t>
      </w:r>
      <w:r w:rsidRPr="00C61ACA">
        <w:rPr>
          <w:rFonts w:eastAsia="楷体_GB2312" w:hint="eastAsia"/>
        </w:rPr>
        <w:t>月</w:t>
      </w:r>
      <w:r w:rsidRPr="00C61ACA">
        <w:rPr>
          <w:rFonts w:eastAsia="楷体_GB2312" w:hint="eastAsia"/>
        </w:rPr>
        <w:t>1</w:t>
      </w:r>
      <w:r w:rsidRPr="00C61ACA">
        <w:rPr>
          <w:rFonts w:eastAsia="楷体_GB2312" w:hint="eastAsia"/>
        </w:rPr>
        <w:t>日至</w:t>
      </w:r>
      <w:r w:rsidRPr="00C61ACA">
        <w:rPr>
          <w:rFonts w:eastAsia="楷体_GB2312" w:hint="eastAsia"/>
        </w:rPr>
        <w:t>2010</w:t>
      </w:r>
      <w:r w:rsidRPr="00C61ACA">
        <w:rPr>
          <w:rFonts w:eastAsia="楷体_GB2312" w:hint="eastAsia"/>
        </w:rPr>
        <w:t>年</w:t>
      </w:r>
      <w:r w:rsidRPr="00C61ACA">
        <w:rPr>
          <w:rFonts w:eastAsia="楷体_GB2312" w:hint="eastAsia"/>
        </w:rPr>
        <w:t>6</w:t>
      </w:r>
      <w:r w:rsidRPr="00C61ACA">
        <w:rPr>
          <w:rFonts w:eastAsia="楷体_GB2312" w:hint="eastAsia"/>
        </w:rPr>
        <w:t>月</w:t>
      </w:r>
      <w:r w:rsidRPr="00C61ACA">
        <w:rPr>
          <w:rFonts w:eastAsia="楷体_GB2312" w:hint="eastAsia"/>
        </w:rPr>
        <w:t>30</w:t>
      </w:r>
      <w:r w:rsidRPr="00C61ACA">
        <w:rPr>
          <w:rFonts w:eastAsia="楷体_GB2312" w:hint="eastAsia"/>
        </w:rPr>
        <w:t>日</w:t>
      </w:r>
      <w:r>
        <w:rPr>
          <w:rFonts w:eastAsia="楷体_GB2312" w:hint="eastAsia"/>
        </w:rPr>
        <w:t>的月收益统计表明，在一个较短的时间内，</w:t>
      </w:r>
      <w:r w:rsidR="00D25403">
        <w:rPr>
          <w:rFonts w:eastAsia="楷体_GB2312" w:hint="eastAsia"/>
        </w:rPr>
        <w:t>动态</w:t>
      </w:r>
      <w:r>
        <w:rPr>
          <w:rFonts w:eastAsia="楷体_GB2312" w:hint="eastAsia"/>
        </w:rPr>
        <w:t>五星基金组合的业绩与基金无差异</w:t>
      </w:r>
      <w:r w:rsidR="003F0E42">
        <w:rPr>
          <w:rFonts w:eastAsia="楷体_GB2312" w:hint="eastAsia"/>
        </w:rPr>
        <w:t>，动态</w:t>
      </w:r>
      <w:r>
        <w:rPr>
          <w:rFonts w:eastAsia="楷体_GB2312" w:hint="eastAsia"/>
        </w:rPr>
        <w:t>组合月度收益走势基本与基准相重合</w:t>
      </w:r>
      <w:r w:rsidR="00D25403">
        <w:rPr>
          <w:rFonts w:eastAsia="楷体_GB2312" w:hint="eastAsia"/>
        </w:rPr>
        <w:t>（图</w:t>
      </w:r>
      <w:r w:rsidR="00D25403">
        <w:rPr>
          <w:rFonts w:eastAsia="楷体_GB2312" w:hint="eastAsia"/>
        </w:rPr>
        <w:t>3</w:t>
      </w:r>
      <w:r w:rsidR="00D25403">
        <w:rPr>
          <w:rFonts w:eastAsia="楷体_GB2312" w:hint="eastAsia"/>
        </w:rPr>
        <w:t>）</w:t>
      </w:r>
      <w:r>
        <w:rPr>
          <w:rFonts w:eastAsia="楷体_GB2312" w:hint="eastAsia"/>
        </w:rPr>
        <w:t>。</w:t>
      </w:r>
    </w:p>
    <w:p w:rsidR="003679C7" w:rsidRPr="00394675" w:rsidRDefault="003679C7" w:rsidP="003679C7">
      <w:pPr>
        <w:ind w:leftChars="-1628" w:left="-3419" w:firstLineChars="1997" w:firstLine="3595"/>
        <w:rPr>
          <w:rFonts w:eastAsia="楷体_GB2312"/>
          <w:color w:val="003366"/>
          <w:sz w:val="18"/>
          <w:szCs w:val="18"/>
        </w:rPr>
      </w:pPr>
      <w:r w:rsidRPr="008D703A">
        <w:rPr>
          <w:rFonts w:eastAsia="楷体_GB2312"/>
          <w:color w:val="003365"/>
          <w:kern w:val="0"/>
          <w:sz w:val="18"/>
          <w:szCs w:val="18"/>
        </w:rPr>
        <w:t>图</w:t>
      </w:r>
      <w:r w:rsidR="00D25403">
        <w:rPr>
          <w:rFonts w:eastAsia="楷体_GB2312" w:hint="eastAsia"/>
          <w:color w:val="003365"/>
          <w:kern w:val="0"/>
          <w:sz w:val="18"/>
          <w:szCs w:val="18"/>
        </w:rPr>
        <w:t>3</w:t>
      </w:r>
      <w:r>
        <w:rPr>
          <w:rFonts w:eastAsia="楷体_GB2312" w:hint="eastAsia"/>
          <w:color w:val="003366"/>
          <w:sz w:val="18"/>
          <w:szCs w:val="18"/>
        </w:rPr>
        <w:t>：短期内</w:t>
      </w:r>
      <w:r w:rsidR="00FD65F8">
        <w:rPr>
          <w:rFonts w:eastAsia="楷体_GB2312" w:hint="eastAsia"/>
          <w:color w:val="003366"/>
          <w:sz w:val="18"/>
          <w:szCs w:val="18"/>
        </w:rPr>
        <w:t>动态五星</w:t>
      </w:r>
      <w:r>
        <w:rPr>
          <w:rFonts w:eastAsia="楷体_GB2312" w:hint="eastAsia"/>
          <w:color w:val="003366"/>
          <w:sz w:val="18"/>
          <w:szCs w:val="18"/>
        </w:rPr>
        <w:t>组合业绩与比较基准业绩无差异</w:t>
      </w:r>
    </w:p>
    <w:p w:rsidR="003679C7" w:rsidRDefault="005A262C" w:rsidP="003679C7">
      <w:pPr>
        <w:jc w:val="right"/>
        <w:rPr>
          <w:rFonts w:eastAsia="楷体_GB2312"/>
          <w:i/>
          <w:color w:val="003366"/>
          <w:sz w:val="18"/>
          <w:szCs w:val="18"/>
        </w:rPr>
      </w:pPr>
      <w:r w:rsidRPr="005A262C">
        <w:rPr>
          <w:rFonts w:eastAsia="楷体_GB2312"/>
          <w:noProof/>
          <w:szCs w:val="21"/>
        </w:rPr>
        <w:pict>
          <v:line id="_x0000_s1103" style="position:absolute;left:0;text-align:left;z-index:251733504" from="5.15pt,154.35pt" to="320.15pt,154.35pt" strokecolor="red" strokeweight="1pt"/>
        </w:pict>
      </w:r>
      <w:r w:rsidR="003679C7" w:rsidRPr="004B4690">
        <w:rPr>
          <w:rFonts w:eastAsia="楷体_GB2312"/>
          <w:i/>
          <w:noProof/>
          <w:color w:val="003366"/>
          <w:sz w:val="18"/>
          <w:szCs w:val="18"/>
        </w:rPr>
        <w:drawing>
          <wp:inline distT="0" distB="0" distL="0" distR="0">
            <wp:extent cx="3888828" cy="1881352"/>
            <wp:effectExtent l="0" t="0" r="0" b="0"/>
            <wp:docPr id="5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A262C">
        <w:rPr>
          <w:rFonts w:eastAsia="楷体_GB2312"/>
          <w:noProof/>
          <w:szCs w:val="21"/>
        </w:rPr>
        <w:pict>
          <v:line id="_x0000_s1102" style="position:absolute;left:0;text-align:left;z-index:251732480;mso-position-horizontal-relative:text;mso-position-vertical-relative:text" from="7.3pt,0" to="322.3pt,0" strokecolor="red" strokeweight="1pt"/>
        </w:pict>
      </w:r>
    </w:p>
    <w:p w:rsidR="003679C7" w:rsidRDefault="003679C7" w:rsidP="003679C7">
      <w:pPr>
        <w:ind w:leftChars="-1628" w:left="-3419" w:firstLineChars="2097" w:firstLine="3775"/>
        <w:rPr>
          <w:rFonts w:eastAsia="楷体_GB2312"/>
          <w:i/>
          <w:color w:val="003366"/>
          <w:sz w:val="18"/>
          <w:szCs w:val="18"/>
        </w:rPr>
      </w:pPr>
      <w:r w:rsidRPr="00394675">
        <w:rPr>
          <w:rFonts w:eastAsia="楷体_GB2312"/>
          <w:i/>
          <w:color w:val="003366"/>
          <w:sz w:val="18"/>
          <w:szCs w:val="18"/>
        </w:rPr>
        <w:t>数据来源：</w:t>
      </w:r>
      <w:r w:rsidRPr="00394675">
        <w:rPr>
          <w:rFonts w:eastAsia="楷体_GB2312"/>
          <w:i/>
          <w:color w:val="003366"/>
          <w:sz w:val="18"/>
          <w:szCs w:val="18"/>
        </w:rPr>
        <w:t>wind</w:t>
      </w:r>
      <w:r w:rsidRPr="00394675">
        <w:rPr>
          <w:rFonts w:eastAsia="楷体_GB2312"/>
          <w:i/>
          <w:color w:val="003366"/>
          <w:sz w:val="18"/>
          <w:szCs w:val="18"/>
        </w:rPr>
        <w:t>、上海证券基金评价研究中心</w:t>
      </w:r>
    </w:p>
    <w:p w:rsidR="004932D9" w:rsidRPr="005B48F7" w:rsidRDefault="004932D9" w:rsidP="004932D9">
      <w:pPr>
        <w:ind w:leftChars="-1628" w:left="-3419" w:firstLineChars="2097" w:firstLine="5895"/>
        <w:rPr>
          <w:b/>
          <w:color w:val="003366"/>
          <w:sz w:val="28"/>
          <w:szCs w:val="28"/>
        </w:rPr>
      </w:pPr>
    </w:p>
    <w:p w:rsidR="003679C7" w:rsidRPr="00394675" w:rsidRDefault="003679C7" w:rsidP="003679C7">
      <w:pPr>
        <w:numPr>
          <w:ilvl w:val="0"/>
          <w:numId w:val="12"/>
        </w:numPr>
        <w:rPr>
          <w:rFonts w:eastAsia="楷体_GB2312"/>
          <w:b/>
          <w:color w:val="003366"/>
          <w:szCs w:val="21"/>
        </w:rPr>
      </w:pPr>
      <w:r>
        <w:rPr>
          <w:rFonts w:eastAsia="楷体_GB2312" w:hint="eastAsia"/>
          <w:b/>
          <w:color w:val="003366"/>
          <w:szCs w:val="21"/>
        </w:rPr>
        <w:t>长期内五星级基金组合的业绩</w:t>
      </w:r>
      <w:r w:rsidR="00E50828" w:rsidRPr="00312E94">
        <w:rPr>
          <w:rFonts w:eastAsia="楷体_GB2312" w:hint="eastAsia"/>
          <w:b/>
          <w:color w:val="003366"/>
          <w:szCs w:val="21"/>
          <w:u w:val="single"/>
        </w:rPr>
        <w:t>显著</w:t>
      </w:r>
      <w:r w:rsidRPr="00312E94">
        <w:rPr>
          <w:rFonts w:eastAsia="楷体_GB2312" w:hint="eastAsia"/>
          <w:b/>
          <w:color w:val="003366"/>
          <w:szCs w:val="21"/>
          <w:u w:val="single"/>
        </w:rPr>
        <w:t>超越</w:t>
      </w:r>
      <w:r>
        <w:rPr>
          <w:rFonts w:eastAsia="楷体_GB2312" w:hint="eastAsia"/>
          <w:b/>
          <w:color w:val="003366"/>
          <w:szCs w:val="21"/>
        </w:rPr>
        <w:t>基准</w:t>
      </w:r>
    </w:p>
    <w:p w:rsidR="003679C7" w:rsidRPr="005B48F7" w:rsidRDefault="00E50828" w:rsidP="00953403">
      <w:pPr>
        <w:shd w:val="clear" w:color="auto" w:fill="FFFFFF"/>
        <w:ind w:firstLineChars="196" w:firstLine="412"/>
        <w:rPr>
          <w:b/>
          <w:color w:val="003366"/>
          <w:sz w:val="28"/>
          <w:szCs w:val="28"/>
        </w:rPr>
      </w:pPr>
      <w:r>
        <w:rPr>
          <w:rFonts w:eastAsia="楷体_GB2312" w:hint="eastAsia"/>
        </w:rPr>
        <w:t>动态</w:t>
      </w:r>
      <w:r w:rsidR="003679C7" w:rsidRPr="002C7B37">
        <w:rPr>
          <w:rFonts w:eastAsia="楷体_GB2312" w:hint="eastAsia"/>
        </w:rPr>
        <w:t>五星基金</w:t>
      </w:r>
      <w:r w:rsidR="003679C7">
        <w:rPr>
          <w:rFonts w:eastAsia="楷体_GB2312" w:hint="eastAsia"/>
        </w:rPr>
        <w:t>组合三年（</w:t>
      </w:r>
      <w:r w:rsidR="003679C7" w:rsidRPr="00C61ACA">
        <w:rPr>
          <w:rFonts w:eastAsia="楷体_GB2312" w:hint="eastAsia"/>
        </w:rPr>
        <w:t>2007</w:t>
      </w:r>
      <w:r w:rsidR="003679C7" w:rsidRPr="00C61ACA">
        <w:rPr>
          <w:rFonts w:eastAsia="楷体_GB2312" w:hint="eastAsia"/>
        </w:rPr>
        <w:t>年</w:t>
      </w:r>
      <w:r w:rsidR="003679C7" w:rsidRPr="00C61ACA">
        <w:rPr>
          <w:rFonts w:eastAsia="楷体_GB2312" w:hint="eastAsia"/>
        </w:rPr>
        <w:t>7</w:t>
      </w:r>
      <w:r w:rsidR="003679C7" w:rsidRPr="00C61ACA">
        <w:rPr>
          <w:rFonts w:eastAsia="楷体_GB2312" w:hint="eastAsia"/>
        </w:rPr>
        <w:t>月</w:t>
      </w:r>
      <w:r w:rsidR="003679C7" w:rsidRPr="00C61ACA">
        <w:rPr>
          <w:rFonts w:eastAsia="楷体_GB2312" w:hint="eastAsia"/>
        </w:rPr>
        <w:t>1</w:t>
      </w:r>
      <w:r w:rsidR="003679C7" w:rsidRPr="00C61ACA">
        <w:rPr>
          <w:rFonts w:eastAsia="楷体_GB2312" w:hint="eastAsia"/>
        </w:rPr>
        <w:t>日至</w:t>
      </w:r>
      <w:r w:rsidR="003679C7" w:rsidRPr="00C61ACA">
        <w:rPr>
          <w:rFonts w:eastAsia="楷体_GB2312" w:hint="eastAsia"/>
        </w:rPr>
        <w:t>2010</w:t>
      </w:r>
      <w:r w:rsidR="003679C7" w:rsidRPr="00C61ACA">
        <w:rPr>
          <w:rFonts w:eastAsia="楷体_GB2312" w:hint="eastAsia"/>
        </w:rPr>
        <w:t>年</w:t>
      </w:r>
      <w:r w:rsidR="003679C7" w:rsidRPr="00C61ACA">
        <w:rPr>
          <w:rFonts w:eastAsia="楷体_GB2312" w:hint="eastAsia"/>
        </w:rPr>
        <w:t>6</w:t>
      </w:r>
      <w:r w:rsidR="003679C7" w:rsidRPr="00C61ACA">
        <w:rPr>
          <w:rFonts w:eastAsia="楷体_GB2312" w:hint="eastAsia"/>
        </w:rPr>
        <w:t>月</w:t>
      </w:r>
      <w:r w:rsidR="003679C7" w:rsidRPr="00C61ACA">
        <w:rPr>
          <w:rFonts w:eastAsia="楷体_GB2312" w:hint="eastAsia"/>
        </w:rPr>
        <w:t>30</w:t>
      </w:r>
      <w:r w:rsidR="003679C7" w:rsidRPr="00C61ACA">
        <w:rPr>
          <w:rFonts w:eastAsia="楷体_GB2312" w:hint="eastAsia"/>
        </w:rPr>
        <w:t>日</w:t>
      </w:r>
      <w:r w:rsidR="003679C7">
        <w:rPr>
          <w:rFonts w:eastAsia="楷体_GB2312" w:hint="eastAsia"/>
        </w:rPr>
        <w:t>）的累积收益率</w:t>
      </w:r>
      <w:r>
        <w:rPr>
          <w:rFonts w:eastAsia="楷体_GB2312" w:hint="eastAsia"/>
        </w:rPr>
        <w:t>显著</w:t>
      </w:r>
      <w:r w:rsidR="003679C7">
        <w:rPr>
          <w:rFonts w:eastAsia="楷体_GB2312" w:hint="eastAsia"/>
        </w:rPr>
        <w:t>超越业绩基准（见图</w:t>
      </w:r>
      <w:r>
        <w:rPr>
          <w:rFonts w:eastAsia="楷体_GB2312" w:hint="eastAsia"/>
        </w:rPr>
        <w:t>4</w:t>
      </w:r>
      <w:r w:rsidR="003679C7">
        <w:rPr>
          <w:rFonts w:eastAsia="楷体_GB2312" w:hint="eastAsia"/>
        </w:rPr>
        <w:t>）。</w:t>
      </w:r>
      <w:r>
        <w:rPr>
          <w:rFonts w:eastAsia="楷体_GB2312" w:hint="eastAsia"/>
        </w:rPr>
        <w:t>动态</w:t>
      </w:r>
      <w:r w:rsidR="001066C5">
        <w:rPr>
          <w:rFonts w:eastAsia="楷体_GB2312" w:hint="eastAsia"/>
        </w:rPr>
        <w:t>基金组合</w:t>
      </w:r>
      <w:r w:rsidR="003679C7">
        <w:rPr>
          <w:rFonts w:eastAsia="楷体_GB2312" w:hint="eastAsia"/>
        </w:rPr>
        <w:t>三年的累计收益为</w:t>
      </w:r>
      <w:r>
        <w:rPr>
          <w:rFonts w:eastAsia="楷体_GB2312" w:hint="eastAsia"/>
        </w:rPr>
        <w:t>11.68</w:t>
      </w:r>
      <w:r w:rsidR="003679C7">
        <w:rPr>
          <w:rFonts w:eastAsia="楷体_GB2312" w:hint="eastAsia"/>
        </w:rPr>
        <w:t>%</w:t>
      </w:r>
      <w:r w:rsidR="003679C7">
        <w:rPr>
          <w:rFonts w:eastAsia="楷体_GB2312" w:hint="eastAsia"/>
        </w:rPr>
        <w:t>，同期比较基准的收益为</w:t>
      </w:r>
      <w:r w:rsidR="00046608">
        <w:rPr>
          <w:rFonts w:eastAsia="楷体_GB2312" w:hint="eastAsia"/>
        </w:rPr>
        <w:t>-5.09</w:t>
      </w:r>
      <w:r w:rsidR="003679C7">
        <w:rPr>
          <w:rFonts w:eastAsia="楷体_GB2312" w:hint="eastAsia"/>
        </w:rPr>
        <w:t>%</w:t>
      </w:r>
      <w:r w:rsidR="003679C7">
        <w:rPr>
          <w:rFonts w:eastAsia="楷体_GB2312" w:hint="eastAsia"/>
        </w:rPr>
        <w:t>，</w:t>
      </w:r>
      <w:r w:rsidR="009D1259">
        <w:rPr>
          <w:rFonts w:eastAsia="楷体_GB2312" w:hint="eastAsia"/>
        </w:rPr>
        <w:t>沪深</w:t>
      </w:r>
      <w:r w:rsidR="009D1259">
        <w:rPr>
          <w:rFonts w:eastAsia="楷体_GB2312" w:hint="eastAsia"/>
        </w:rPr>
        <w:t>300</w:t>
      </w:r>
      <w:r w:rsidR="009D1259">
        <w:rPr>
          <w:rFonts w:eastAsia="楷体_GB2312" w:hint="eastAsia"/>
        </w:rPr>
        <w:t>收益为</w:t>
      </w:r>
      <w:r w:rsidR="009D1259">
        <w:rPr>
          <w:rFonts w:eastAsia="楷体_GB2312" w:hint="eastAsia"/>
        </w:rPr>
        <w:t>-31.9%</w:t>
      </w:r>
      <w:r w:rsidR="009D1259">
        <w:rPr>
          <w:rFonts w:eastAsia="楷体_GB2312" w:hint="eastAsia"/>
        </w:rPr>
        <w:t>，</w:t>
      </w:r>
      <w:r>
        <w:rPr>
          <w:rFonts w:eastAsia="楷体_GB2312" w:hint="eastAsia"/>
        </w:rPr>
        <w:t>动态</w:t>
      </w:r>
      <w:r w:rsidR="003679C7">
        <w:rPr>
          <w:rFonts w:eastAsia="楷体_GB2312" w:hint="eastAsia"/>
        </w:rPr>
        <w:t>基金</w:t>
      </w:r>
      <w:r>
        <w:rPr>
          <w:rFonts w:eastAsia="楷体_GB2312" w:hint="eastAsia"/>
        </w:rPr>
        <w:t>组合</w:t>
      </w:r>
      <w:r w:rsidR="00046608">
        <w:rPr>
          <w:rFonts w:eastAsia="楷体_GB2312" w:hint="eastAsia"/>
        </w:rPr>
        <w:t>显著地</w:t>
      </w:r>
      <w:r w:rsidR="003679C7">
        <w:rPr>
          <w:rFonts w:eastAsia="楷体_GB2312" w:hint="eastAsia"/>
        </w:rPr>
        <w:t>超越了基准。</w:t>
      </w:r>
      <w:r>
        <w:rPr>
          <w:rFonts w:eastAsia="楷体_GB2312" w:hint="eastAsia"/>
        </w:rPr>
        <w:t>因此，</w:t>
      </w:r>
      <w:r w:rsidR="003679C7">
        <w:rPr>
          <w:rFonts w:eastAsia="楷体_GB2312" w:hint="eastAsia"/>
        </w:rPr>
        <w:t>在一个较长的时间内，</w:t>
      </w:r>
      <w:r>
        <w:rPr>
          <w:rFonts w:eastAsia="楷体_GB2312" w:hint="eastAsia"/>
        </w:rPr>
        <w:t>投资动态五星基金组合能获得一个较好的收益。</w:t>
      </w:r>
    </w:p>
    <w:p w:rsidR="00953403" w:rsidRDefault="00953403" w:rsidP="003679C7">
      <w:pPr>
        <w:ind w:leftChars="-1628" w:left="-3419" w:firstLineChars="1997" w:firstLine="3595"/>
        <w:rPr>
          <w:rFonts w:eastAsia="楷体_GB2312"/>
          <w:color w:val="003365"/>
          <w:kern w:val="0"/>
          <w:sz w:val="18"/>
          <w:szCs w:val="18"/>
        </w:rPr>
      </w:pPr>
    </w:p>
    <w:p w:rsidR="00312E94" w:rsidRDefault="00312E94" w:rsidP="003679C7">
      <w:pPr>
        <w:ind w:leftChars="-1628" w:left="-3419" w:firstLineChars="1997" w:firstLine="3595"/>
        <w:rPr>
          <w:rFonts w:eastAsia="楷体_GB2312"/>
          <w:color w:val="003365"/>
          <w:kern w:val="0"/>
          <w:sz w:val="18"/>
          <w:szCs w:val="18"/>
        </w:rPr>
      </w:pPr>
    </w:p>
    <w:p w:rsidR="003679C7" w:rsidRPr="00394675" w:rsidRDefault="003679C7" w:rsidP="003679C7">
      <w:pPr>
        <w:ind w:leftChars="-1628" w:left="-3419" w:firstLineChars="1997" w:firstLine="3595"/>
        <w:rPr>
          <w:rFonts w:eastAsia="楷体_GB2312"/>
          <w:color w:val="003366"/>
          <w:sz w:val="18"/>
          <w:szCs w:val="18"/>
        </w:rPr>
      </w:pPr>
      <w:r w:rsidRPr="008D703A">
        <w:rPr>
          <w:rFonts w:eastAsia="楷体_GB2312"/>
          <w:color w:val="003365"/>
          <w:kern w:val="0"/>
          <w:sz w:val="18"/>
          <w:szCs w:val="18"/>
        </w:rPr>
        <w:lastRenderedPageBreak/>
        <w:t>图</w:t>
      </w:r>
      <w:r w:rsidR="00E50828">
        <w:rPr>
          <w:rFonts w:eastAsia="楷体_GB2312" w:hint="eastAsia"/>
          <w:color w:val="003365"/>
          <w:kern w:val="0"/>
          <w:sz w:val="18"/>
          <w:szCs w:val="18"/>
        </w:rPr>
        <w:t>4</w:t>
      </w:r>
      <w:r>
        <w:rPr>
          <w:rFonts w:eastAsia="楷体_GB2312" w:hint="eastAsia"/>
          <w:color w:val="003366"/>
          <w:sz w:val="18"/>
          <w:szCs w:val="18"/>
        </w:rPr>
        <w:t>：组合业绩明显超越了比较基准</w:t>
      </w:r>
    </w:p>
    <w:p w:rsidR="003679C7" w:rsidRPr="00A019D6" w:rsidRDefault="005A262C" w:rsidP="003679C7">
      <w:pPr>
        <w:wordWrap w:val="0"/>
        <w:jc w:val="right"/>
      </w:pPr>
      <w:r w:rsidRPr="005A262C">
        <w:rPr>
          <w:rFonts w:eastAsia="楷体_GB2312"/>
          <w:noProof/>
          <w:szCs w:val="21"/>
        </w:rPr>
        <w:pict>
          <v:line id="_x0000_s1101" style="position:absolute;left:0;text-align:left;z-index:251731456" from="5.15pt,167.75pt" to="320.15pt,167.75pt" strokecolor="red" strokeweight="1pt"/>
        </w:pict>
      </w:r>
      <w:r w:rsidRPr="005A262C">
        <w:rPr>
          <w:rFonts w:eastAsia="楷体_GB2312"/>
          <w:noProof/>
          <w:szCs w:val="21"/>
        </w:rPr>
        <w:pict>
          <v:line id="_x0000_s1100" style="position:absolute;left:0;text-align:left;z-index:251730432" from="7.3pt,0" to="322.3pt,0" strokecolor="red" strokeweight="1pt"/>
        </w:pict>
      </w:r>
      <w:r w:rsidR="00DF5601" w:rsidRPr="00DF5601">
        <w:rPr>
          <w:noProof/>
        </w:rPr>
        <w:drawing>
          <wp:inline distT="0" distB="0" distL="0" distR="0">
            <wp:extent cx="3826738" cy="2103648"/>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79C7" w:rsidRPr="005B48F7" w:rsidRDefault="003679C7" w:rsidP="003679C7">
      <w:pPr>
        <w:ind w:leftChars="-1628" w:left="-3419" w:firstLineChars="2097" w:firstLine="3775"/>
        <w:rPr>
          <w:b/>
          <w:color w:val="003366"/>
          <w:sz w:val="28"/>
          <w:szCs w:val="28"/>
        </w:rPr>
      </w:pPr>
      <w:r w:rsidRPr="00394675">
        <w:rPr>
          <w:rFonts w:eastAsia="楷体_GB2312"/>
          <w:i/>
          <w:color w:val="003366"/>
          <w:sz w:val="18"/>
          <w:szCs w:val="18"/>
        </w:rPr>
        <w:t>数据来源：</w:t>
      </w:r>
      <w:r w:rsidRPr="00394675">
        <w:rPr>
          <w:rFonts w:eastAsia="楷体_GB2312"/>
          <w:i/>
          <w:color w:val="003366"/>
          <w:sz w:val="18"/>
          <w:szCs w:val="18"/>
        </w:rPr>
        <w:t>wind</w:t>
      </w:r>
      <w:r w:rsidRPr="00394675">
        <w:rPr>
          <w:rFonts w:eastAsia="楷体_GB2312"/>
          <w:i/>
          <w:color w:val="003366"/>
          <w:sz w:val="18"/>
          <w:szCs w:val="18"/>
        </w:rPr>
        <w:t>、上海证券基金评价研究中心</w:t>
      </w:r>
    </w:p>
    <w:p w:rsidR="00FE71EC" w:rsidRDefault="00FE71EC" w:rsidP="00FE71EC">
      <w:pPr>
        <w:rPr>
          <w:rFonts w:eastAsia="楷体_GB2312"/>
          <w:b/>
          <w:color w:val="003366"/>
          <w:sz w:val="28"/>
          <w:szCs w:val="28"/>
        </w:rPr>
      </w:pPr>
      <w:r>
        <w:rPr>
          <w:rFonts w:eastAsia="楷体_GB2312" w:hint="eastAsia"/>
          <w:b/>
          <w:color w:val="003366"/>
          <w:sz w:val="28"/>
          <w:szCs w:val="28"/>
        </w:rPr>
        <w:t>三</w:t>
      </w:r>
      <w:r w:rsidRPr="0021259C">
        <w:rPr>
          <w:rFonts w:eastAsia="楷体_GB2312"/>
          <w:b/>
          <w:color w:val="003366"/>
          <w:sz w:val="28"/>
          <w:szCs w:val="28"/>
        </w:rPr>
        <w:t>、</w:t>
      </w:r>
      <w:r>
        <w:rPr>
          <w:rFonts w:eastAsia="楷体_GB2312" w:hint="eastAsia"/>
          <w:b/>
          <w:color w:val="003366"/>
          <w:sz w:val="28"/>
          <w:szCs w:val="28"/>
        </w:rPr>
        <w:t>结论</w:t>
      </w:r>
    </w:p>
    <w:p w:rsidR="00536A2C" w:rsidRPr="00100645" w:rsidRDefault="00100645" w:rsidP="00100645">
      <w:pPr>
        <w:ind w:firstLineChars="200" w:firstLine="420"/>
        <w:rPr>
          <w:rFonts w:eastAsia="楷体_GB2312"/>
        </w:rPr>
        <w:sectPr w:rsidR="00536A2C" w:rsidRPr="00100645" w:rsidSect="00970BC2">
          <w:headerReference w:type="default" r:id="rId21"/>
          <w:footerReference w:type="default" r:id="rId22"/>
          <w:pgSz w:w="11906" w:h="16838"/>
          <w:pgMar w:top="1418" w:right="1134" w:bottom="1418" w:left="4536" w:header="851" w:footer="992" w:gutter="0"/>
          <w:cols w:space="425"/>
          <w:docGrid w:type="lines" w:linePitch="312"/>
        </w:sectPr>
      </w:pPr>
      <w:r w:rsidRPr="00100645">
        <w:rPr>
          <w:rFonts w:eastAsia="楷体_GB2312" w:hint="eastAsia"/>
        </w:rPr>
        <w:t>上海证券基金评价方法</w:t>
      </w:r>
      <w:r>
        <w:rPr>
          <w:rFonts w:eastAsia="楷体_GB2312" w:hint="eastAsia"/>
        </w:rPr>
        <w:t>能有效的甄别基金</w:t>
      </w:r>
      <w:r w:rsidR="006747A4">
        <w:rPr>
          <w:rFonts w:eastAsia="楷体_GB2312" w:hint="eastAsia"/>
        </w:rPr>
        <w:t>风险</w:t>
      </w:r>
      <w:r>
        <w:rPr>
          <w:rFonts w:eastAsia="楷体_GB2312" w:hint="eastAsia"/>
        </w:rPr>
        <w:t>控制、</w:t>
      </w:r>
      <w:r w:rsidR="006747A4">
        <w:rPr>
          <w:rFonts w:eastAsia="楷体_GB2312" w:hint="eastAsia"/>
        </w:rPr>
        <w:t>证券</w:t>
      </w:r>
      <w:r>
        <w:rPr>
          <w:rFonts w:eastAsia="楷体_GB2312" w:hint="eastAsia"/>
        </w:rPr>
        <w:t>选择和</w:t>
      </w:r>
      <w:r w:rsidR="006747A4">
        <w:rPr>
          <w:rFonts w:eastAsia="楷体_GB2312" w:hint="eastAsia"/>
        </w:rPr>
        <w:t>时间</w:t>
      </w:r>
      <w:r>
        <w:rPr>
          <w:rFonts w:eastAsia="楷体_GB2312" w:hint="eastAsia"/>
        </w:rPr>
        <w:t>选择的能力</w:t>
      </w:r>
      <w:r w:rsidR="006747A4">
        <w:rPr>
          <w:rFonts w:eastAsia="楷体_GB2312" w:hint="eastAsia"/>
        </w:rPr>
        <w:t>。经该方法遴选</w:t>
      </w:r>
      <w:r>
        <w:rPr>
          <w:rFonts w:eastAsia="楷体_GB2312" w:hint="eastAsia"/>
        </w:rPr>
        <w:t>出的五星基金，</w:t>
      </w:r>
      <w:r w:rsidR="006747A4">
        <w:rPr>
          <w:rFonts w:eastAsia="楷体_GB2312" w:hint="eastAsia"/>
        </w:rPr>
        <w:t>短期内业绩不明显，但是在一个相对较长的时间内（</w:t>
      </w:r>
      <w:r w:rsidR="006747A4">
        <w:rPr>
          <w:rFonts w:eastAsia="楷体_GB2312" w:hint="eastAsia"/>
        </w:rPr>
        <w:t>3</w:t>
      </w:r>
      <w:r w:rsidR="006747A4">
        <w:rPr>
          <w:rFonts w:eastAsia="楷体_GB2312" w:hint="eastAsia"/>
        </w:rPr>
        <w:t>年），五星基金组合的业绩能显著超越基准，</w:t>
      </w:r>
      <w:r>
        <w:rPr>
          <w:rFonts w:eastAsia="楷体_GB2312" w:hint="eastAsia"/>
        </w:rPr>
        <w:t>表现出了可持续性和稳定性</w:t>
      </w:r>
      <w:r w:rsidR="00505727">
        <w:rPr>
          <w:rFonts w:eastAsia="楷体_GB2312" w:hint="eastAsia"/>
        </w:rPr>
        <w:t>。</w:t>
      </w:r>
    </w:p>
    <w:p w:rsidR="00B75DD0" w:rsidRPr="00394675" w:rsidRDefault="00B75DD0" w:rsidP="00B75DD0">
      <w:pPr>
        <w:pageBreakBefore/>
        <w:spacing w:line="400" w:lineRule="exact"/>
        <w:jc w:val="left"/>
        <w:rPr>
          <w:rFonts w:eastAsia="楷体_GB2312"/>
          <w:b/>
          <w:bCs/>
          <w:color w:val="003366"/>
          <w:szCs w:val="21"/>
        </w:rPr>
      </w:pPr>
      <w:r w:rsidRPr="00394675">
        <w:rPr>
          <w:rFonts w:eastAsia="楷体_GB2312"/>
          <w:b/>
          <w:bCs/>
          <w:color w:val="003366"/>
          <w:szCs w:val="21"/>
        </w:rPr>
        <w:lastRenderedPageBreak/>
        <w:t>分析师承诺</w:t>
      </w:r>
    </w:p>
    <w:p w:rsidR="00C952B4" w:rsidRPr="00394675" w:rsidRDefault="00C952B4" w:rsidP="000E4496">
      <w:pPr>
        <w:spacing w:beforeLines="50"/>
        <w:rPr>
          <w:rFonts w:eastAsia="楷体_GB2312"/>
          <w:sz w:val="18"/>
          <w:szCs w:val="18"/>
        </w:rPr>
      </w:pPr>
      <w:r w:rsidRPr="00394675">
        <w:rPr>
          <w:rFonts w:eastAsia="楷体_GB2312"/>
          <w:sz w:val="18"/>
          <w:szCs w:val="18"/>
        </w:rPr>
        <w:t>分析师</w:t>
      </w:r>
      <w:r w:rsidR="003B0D05" w:rsidRPr="00394675">
        <w:rPr>
          <w:rFonts w:eastAsia="楷体_GB2312"/>
          <w:sz w:val="18"/>
          <w:szCs w:val="18"/>
        </w:rPr>
        <w:t xml:space="preserve"> </w:t>
      </w:r>
      <w:r w:rsidR="005C688A">
        <w:rPr>
          <w:rFonts w:eastAsia="楷体_GB2312" w:hint="eastAsia"/>
          <w:sz w:val="18"/>
          <w:szCs w:val="18"/>
        </w:rPr>
        <w:t xml:space="preserve"> </w:t>
      </w:r>
      <w:r w:rsidR="005C688A">
        <w:rPr>
          <w:rFonts w:eastAsia="楷体_GB2312" w:hint="eastAsia"/>
          <w:sz w:val="18"/>
          <w:szCs w:val="18"/>
        </w:rPr>
        <w:t>王毅</w:t>
      </w:r>
      <w:r w:rsidR="005C688A">
        <w:rPr>
          <w:rFonts w:eastAsia="楷体_GB2312" w:hint="eastAsia"/>
          <w:sz w:val="18"/>
          <w:szCs w:val="18"/>
        </w:rPr>
        <w:t xml:space="preserve"> </w:t>
      </w:r>
      <w:r w:rsidR="005C688A">
        <w:rPr>
          <w:rFonts w:eastAsia="楷体_GB2312" w:hint="eastAsia"/>
          <w:sz w:val="18"/>
          <w:szCs w:val="18"/>
        </w:rPr>
        <w:t>代宏坤</w:t>
      </w:r>
    </w:p>
    <w:p w:rsidR="00C952B4" w:rsidRPr="00394675" w:rsidRDefault="00C952B4" w:rsidP="00C952B4">
      <w:pPr>
        <w:spacing w:line="300" w:lineRule="atLeast"/>
        <w:rPr>
          <w:rFonts w:eastAsia="楷体_GB2312"/>
          <w:sz w:val="18"/>
          <w:szCs w:val="18"/>
        </w:rPr>
      </w:pPr>
      <w:r w:rsidRPr="00394675">
        <w:rPr>
          <w:rFonts w:eastAsia="楷体_GB2312"/>
          <w:sz w:val="18"/>
          <w:szCs w:val="18"/>
        </w:rPr>
        <w:t>本人以勤勉尽责的职业态度，独立、客观地出具本报告。本报告依据公开的信息来源，力求清晰、准确地反映分析师的研究观点。此外，本人薪酬的任何部分过去不曾与、现在不与、未来也将不会与本报告中的具体推荐意见或观点直接或间接相关。</w:t>
      </w:r>
    </w:p>
    <w:p w:rsidR="00C952B4" w:rsidRPr="00394675" w:rsidRDefault="00C952B4" w:rsidP="00C952B4">
      <w:pPr>
        <w:spacing w:line="500" w:lineRule="exact"/>
        <w:rPr>
          <w:rFonts w:eastAsia="楷体_GB2312"/>
          <w:sz w:val="18"/>
          <w:szCs w:val="18"/>
        </w:rPr>
      </w:pPr>
    </w:p>
    <w:p w:rsidR="00C952B4" w:rsidRPr="00394675" w:rsidRDefault="00C952B4" w:rsidP="000E4496">
      <w:pPr>
        <w:spacing w:beforeLines="50" w:afterLines="50" w:line="400" w:lineRule="exact"/>
        <w:jc w:val="left"/>
        <w:rPr>
          <w:rFonts w:eastAsia="楷体_GB2312"/>
          <w:b/>
          <w:bCs/>
          <w:color w:val="003366"/>
          <w:szCs w:val="21"/>
        </w:rPr>
      </w:pPr>
      <w:r w:rsidRPr="00394675">
        <w:rPr>
          <w:rFonts w:eastAsia="楷体_GB2312"/>
          <w:b/>
          <w:bCs/>
          <w:color w:val="003366"/>
          <w:szCs w:val="21"/>
        </w:rPr>
        <w:t>投资评级体系与评级定义</w:t>
      </w:r>
    </w:p>
    <w:p w:rsidR="00C952B4" w:rsidRPr="00394675" w:rsidRDefault="00C952B4" w:rsidP="000E4496">
      <w:pPr>
        <w:spacing w:beforeLines="50"/>
        <w:rPr>
          <w:rFonts w:eastAsia="楷体_GB2312"/>
          <w:sz w:val="18"/>
          <w:szCs w:val="18"/>
        </w:rPr>
      </w:pPr>
      <w:r w:rsidRPr="00394675">
        <w:rPr>
          <w:rFonts w:eastAsia="楷体_GB2312"/>
          <w:sz w:val="18"/>
          <w:szCs w:val="18"/>
        </w:rPr>
        <w:t>股票投资评级：</w:t>
      </w:r>
    </w:p>
    <w:p w:rsidR="00C952B4" w:rsidRPr="00394675" w:rsidRDefault="00C952B4" w:rsidP="00C952B4">
      <w:pPr>
        <w:autoSpaceDE w:val="0"/>
        <w:autoSpaceDN w:val="0"/>
        <w:adjustRightInd w:val="0"/>
        <w:spacing w:line="300" w:lineRule="exact"/>
        <w:jc w:val="left"/>
        <w:rPr>
          <w:rFonts w:eastAsia="楷体_GB2312"/>
          <w:kern w:val="0"/>
          <w:sz w:val="18"/>
          <w:szCs w:val="18"/>
        </w:rPr>
      </w:pPr>
      <w:r w:rsidRPr="00394675">
        <w:rPr>
          <w:rFonts w:eastAsia="楷体_GB2312"/>
          <w:kern w:val="0"/>
          <w:sz w:val="18"/>
          <w:szCs w:val="18"/>
        </w:rPr>
        <w:t>分析师给出下列评级中的其中一项代表其根据公司基本面及（或）估值预期以报告日起</w:t>
      </w:r>
      <w:r w:rsidRPr="00394675">
        <w:rPr>
          <w:rFonts w:eastAsia="楷体_GB2312"/>
          <w:kern w:val="0"/>
          <w:sz w:val="18"/>
          <w:szCs w:val="18"/>
        </w:rPr>
        <w:t>6</w:t>
      </w:r>
      <w:r w:rsidRPr="00394675">
        <w:rPr>
          <w:rFonts w:eastAsia="楷体_GB2312"/>
          <w:kern w:val="0"/>
          <w:sz w:val="18"/>
          <w:szCs w:val="18"/>
        </w:rPr>
        <w:t>个月内公司股价相对于同期市场基准沪深</w:t>
      </w:r>
      <w:r w:rsidRPr="00394675">
        <w:rPr>
          <w:rFonts w:eastAsia="楷体_GB2312"/>
          <w:kern w:val="0"/>
          <w:sz w:val="18"/>
          <w:szCs w:val="18"/>
        </w:rPr>
        <w:t>300</w:t>
      </w:r>
      <w:r w:rsidRPr="00394675">
        <w:rPr>
          <w:rFonts w:eastAsia="楷体_GB2312"/>
          <w:kern w:val="0"/>
          <w:sz w:val="18"/>
          <w:szCs w:val="18"/>
        </w:rPr>
        <w:t>指数表现的看法。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436"/>
        <w:gridCol w:w="4404"/>
      </w:tblGrid>
      <w:tr w:rsidR="00C952B4" w:rsidRPr="00394675" w:rsidTr="00C952B4">
        <w:trPr>
          <w:trHeight w:val="270"/>
        </w:trPr>
        <w:tc>
          <w:tcPr>
            <w:tcW w:w="2554" w:type="dxa"/>
            <w:gridSpan w:val="2"/>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b/>
                <w:bCs/>
                <w:color w:val="003366"/>
                <w:kern w:val="2"/>
                <w:szCs w:val="19"/>
              </w:rPr>
            </w:pPr>
            <w:r w:rsidRPr="00394675">
              <w:rPr>
                <w:rFonts w:ascii="Times New Roman" w:eastAsia="楷体_GB2312" w:hAnsi="Times New Roman" w:cs="Times New Roman" w:hint="default"/>
                <w:b/>
                <w:bCs/>
                <w:color w:val="003366"/>
                <w:kern w:val="2"/>
                <w:szCs w:val="19"/>
              </w:rPr>
              <w:t>投资评级</w:t>
            </w:r>
          </w:p>
        </w:tc>
        <w:tc>
          <w:tcPr>
            <w:tcW w:w="4404" w:type="dxa"/>
            <w:tcBorders>
              <w:top w:val="single" w:sz="4" w:space="0" w:color="auto"/>
              <w:left w:val="single" w:sz="4" w:space="0" w:color="auto"/>
              <w:bottom w:val="single" w:sz="4" w:space="0" w:color="auto"/>
              <w:right w:val="single" w:sz="4" w:space="0" w:color="auto"/>
            </w:tcBorders>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b/>
                <w:bCs/>
                <w:color w:val="003366"/>
                <w:kern w:val="2"/>
                <w:szCs w:val="19"/>
              </w:rPr>
            </w:pPr>
            <w:r w:rsidRPr="00394675">
              <w:rPr>
                <w:rFonts w:ascii="Times New Roman" w:eastAsia="楷体_GB2312" w:hAnsi="Times New Roman" w:cs="Times New Roman" w:hint="default"/>
                <w:b/>
                <w:bCs/>
                <w:color w:val="003366"/>
                <w:kern w:val="2"/>
                <w:szCs w:val="19"/>
              </w:rPr>
              <w:t>定</w:t>
            </w:r>
            <w:r w:rsidRPr="00394675">
              <w:rPr>
                <w:rFonts w:ascii="Times New Roman" w:eastAsia="楷体_GB2312" w:hAnsi="Times New Roman" w:cs="Times New Roman" w:hint="default"/>
                <w:b/>
                <w:bCs/>
                <w:color w:val="003366"/>
                <w:kern w:val="2"/>
                <w:szCs w:val="19"/>
              </w:rPr>
              <w:t xml:space="preserve">  </w:t>
            </w:r>
            <w:r w:rsidRPr="00394675">
              <w:rPr>
                <w:rFonts w:ascii="Times New Roman" w:eastAsia="楷体_GB2312" w:hAnsi="Times New Roman" w:cs="Times New Roman" w:hint="default"/>
                <w:b/>
                <w:bCs/>
                <w:color w:val="003366"/>
                <w:kern w:val="2"/>
                <w:szCs w:val="19"/>
              </w:rPr>
              <w:t>义</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kern w:val="2"/>
                <w:szCs w:val="19"/>
              </w:rPr>
            </w:pPr>
            <w:r w:rsidRPr="00394675">
              <w:rPr>
                <w:rFonts w:ascii="Times New Roman" w:eastAsia="楷体_GB2312" w:hAnsi="Times New Roman" w:cs="Times New Roman" w:hint="default"/>
                <w:kern w:val="2"/>
                <w:szCs w:val="19"/>
              </w:rPr>
              <w:t>超强大市</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b/>
                <w:bCs/>
                <w:szCs w:val="16"/>
              </w:rPr>
            </w:pPr>
            <w:r w:rsidRPr="00394675">
              <w:rPr>
                <w:rFonts w:ascii="Times New Roman" w:eastAsia="楷体_GB2312" w:hAnsi="Times New Roman" w:cs="Times New Roman" w:hint="default"/>
                <w:b/>
                <w:bCs/>
                <w:szCs w:val="16"/>
              </w:rPr>
              <w:t>Superperform</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股价表现将强于</w:t>
            </w:r>
            <w:r w:rsidRPr="00394675">
              <w:rPr>
                <w:rFonts w:eastAsia="楷体_GB2312"/>
                <w:sz w:val="18"/>
                <w:szCs w:val="14"/>
              </w:rPr>
              <w:t>基准指数</w:t>
            </w:r>
            <w:r w:rsidRPr="00394675">
              <w:rPr>
                <w:rFonts w:eastAsia="楷体_GB2312"/>
                <w:sz w:val="18"/>
              </w:rPr>
              <w:t>20%</w:t>
            </w:r>
            <w:r w:rsidRPr="00394675">
              <w:rPr>
                <w:rFonts w:eastAsia="楷体_GB2312"/>
                <w:sz w:val="18"/>
              </w:rPr>
              <w:t>以上</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kern w:val="2"/>
                <w:szCs w:val="19"/>
              </w:rPr>
            </w:pPr>
            <w:r w:rsidRPr="00394675">
              <w:rPr>
                <w:rFonts w:ascii="Times New Roman" w:eastAsia="楷体_GB2312" w:hAnsi="Times New Roman" w:cs="Times New Roman" w:hint="default"/>
                <w:kern w:val="2"/>
                <w:szCs w:val="19"/>
              </w:rPr>
              <w:t>跑赢大市</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rPr>
            </w:pPr>
            <w:r w:rsidRPr="00394675">
              <w:rPr>
                <w:rFonts w:ascii="Times New Roman" w:eastAsia="楷体_GB2312" w:hAnsi="Times New Roman" w:cs="Times New Roman" w:hint="default"/>
                <w:b/>
                <w:bCs/>
                <w:szCs w:val="16"/>
              </w:rPr>
              <w:t>Outperform</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股价表现将强于</w:t>
            </w:r>
            <w:r w:rsidRPr="00394675">
              <w:rPr>
                <w:rFonts w:eastAsia="楷体_GB2312"/>
                <w:sz w:val="18"/>
                <w:szCs w:val="14"/>
              </w:rPr>
              <w:t>基准指数</w:t>
            </w:r>
            <w:r w:rsidRPr="00394675">
              <w:rPr>
                <w:rFonts w:eastAsia="楷体_GB2312"/>
                <w:sz w:val="18"/>
              </w:rPr>
              <w:t>10%</w:t>
            </w:r>
            <w:r w:rsidRPr="00394675">
              <w:rPr>
                <w:rFonts w:eastAsia="楷体_GB2312"/>
                <w:sz w:val="18"/>
              </w:rPr>
              <w:t>以上</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sz w:val="18"/>
              </w:rPr>
              <w:t>大市同步</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5"/>
              <w:rPr>
                <w:rFonts w:ascii="Times New Roman" w:eastAsia="楷体_GB2312" w:hAnsi="Times New Roman" w:cs="Times New Roman"/>
              </w:rPr>
            </w:pPr>
            <w:r w:rsidRPr="00394675">
              <w:rPr>
                <w:rFonts w:ascii="Times New Roman" w:eastAsia="楷体_GB2312" w:hAnsi="Times New Roman" w:cs="Times New Roman"/>
              </w:rPr>
              <w:t>In-Line</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股价表现将介于</w:t>
            </w:r>
            <w:r w:rsidRPr="00394675">
              <w:rPr>
                <w:rFonts w:eastAsia="楷体_GB2312"/>
                <w:sz w:val="18"/>
                <w:szCs w:val="14"/>
              </w:rPr>
              <w:t>基准指数</w:t>
            </w:r>
            <w:r w:rsidRPr="00394675">
              <w:rPr>
                <w:rFonts w:eastAsia="楷体_GB2312"/>
                <w:sz w:val="18"/>
              </w:rPr>
              <w:t>±10%</w:t>
            </w:r>
            <w:r w:rsidRPr="00394675">
              <w:rPr>
                <w:rFonts w:eastAsia="楷体_GB2312"/>
                <w:sz w:val="18"/>
              </w:rPr>
              <w:t>之间</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sz w:val="18"/>
              </w:rPr>
              <w:t>落后大市</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b/>
                <w:bCs/>
                <w:kern w:val="0"/>
                <w:sz w:val="18"/>
                <w:szCs w:val="16"/>
              </w:rPr>
              <w:t>Underperform</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股价表现将弱于</w:t>
            </w:r>
            <w:r w:rsidRPr="00394675">
              <w:rPr>
                <w:rFonts w:eastAsia="楷体_GB2312"/>
                <w:sz w:val="18"/>
                <w:szCs w:val="14"/>
              </w:rPr>
              <w:t>基准指数</w:t>
            </w:r>
            <w:r w:rsidRPr="00394675">
              <w:rPr>
                <w:rFonts w:eastAsia="楷体_GB2312"/>
                <w:sz w:val="18"/>
              </w:rPr>
              <w:t>10%</w:t>
            </w:r>
            <w:r w:rsidRPr="00394675">
              <w:rPr>
                <w:rFonts w:eastAsia="楷体_GB2312"/>
                <w:sz w:val="18"/>
              </w:rPr>
              <w:t>以上</w:t>
            </w:r>
          </w:p>
        </w:tc>
      </w:tr>
    </w:tbl>
    <w:p w:rsidR="00C952B4" w:rsidRPr="00394675" w:rsidRDefault="00C952B4" w:rsidP="000E4496">
      <w:pPr>
        <w:spacing w:beforeLines="50"/>
        <w:rPr>
          <w:rFonts w:eastAsia="楷体_GB2312"/>
          <w:sz w:val="18"/>
          <w:szCs w:val="18"/>
        </w:rPr>
      </w:pPr>
      <w:r w:rsidRPr="00394675">
        <w:rPr>
          <w:rFonts w:eastAsia="楷体_GB2312"/>
          <w:sz w:val="18"/>
          <w:szCs w:val="18"/>
        </w:rPr>
        <w:t>行业投资评级：</w:t>
      </w:r>
    </w:p>
    <w:p w:rsidR="00C952B4" w:rsidRPr="00394675" w:rsidRDefault="00C952B4" w:rsidP="00C952B4">
      <w:pPr>
        <w:spacing w:line="300" w:lineRule="exact"/>
        <w:rPr>
          <w:rFonts w:eastAsia="楷体_GB2312"/>
          <w:kern w:val="0"/>
          <w:sz w:val="18"/>
          <w:szCs w:val="18"/>
        </w:rPr>
      </w:pPr>
      <w:r w:rsidRPr="00394675">
        <w:rPr>
          <w:rFonts w:eastAsia="楷体_GB2312"/>
          <w:sz w:val="18"/>
          <w:szCs w:val="18"/>
        </w:rPr>
        <w:t>分析师给出下列评级中的其中一项代表其根据行业历史基本面及（或）估值对所研究行业以报告日起</w:t>
      </w:r>
      <w:r w:rsidRPr="00394675">
        <w:rPr>
          <w:rFonts w:eastAsia="楷体_GB2312"/>
          <w:sz w:val="18"/>
          <w:szCs w:val="18"/>
        </w:rPr>
        <w:t>12</w:t>
      </w:r>
      <w:r w:rsidRPr="00394675">
        <w:rPr>
          <w:rFonts w:eastAsia="楷体_GB2312"/>
          <w:sz w:val="18"/>
          <w:szCs w:val="18"/>
        </w:rPr>
        <w:t>个月内的基本面和行业指数相对于同期市场基准沪深</w:t>
      </w:r>
      <w:r w:rsidRPr="00394675">
        <w:rPr>
          <w:rFonts w:eastAsia="楷体_GB2312"/>
          <w:sz w:val="18"/>
          <w:szCs w:val="18"/>
        </w:rPr>
        <w:t>300</w:t>
      </w:r>
      <w:r w:rsidRPr="00394675">
        <w:rPr>
          <w:rFonts w:eastAsia="楷体_GB2312"/>
          <w:sz w:val="18"/>
          <w:szCs w:val="18"/>
        </w:rPr>
        <w:t>指数表现的看法。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436"/>
        <w:gridCol w:w="4404"/>
      </w:tblGrid>
      <w:tr w:rsidR="00C952B4" w:rsidRPr="00394675" w:rsidTr="00C952B4">
        <w:trPr>
          <w:trHeight w:val="270"/>
        </w:trPr>
        <w:tc>
          <w:tcPr>
            <w:tcW w:w="2554" w:type="dxa"/>
            <w:gridSpan w:val="2"/>
            <w:tcBorders>
              <w:top w:val="single" w:sz="4" w:space="0" w:color="auto"/>
              <w:left w:val="single" w:sz="4" w:space="0" w:color="auto"/>
              <w:bottom w:val="single" w:sz="4" w:space="0" w:color="auto"/>
              <w:right w:val="single" w:sz="4" w:space="0" w:color="auto"/>
            </w:tcBorders>
            <w:vAlign w:val="center"/>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b/>
                <w:bCs/>
                <w:color w:val="003366"/>
                <w:kern w:val="2"/>
                <w:szCs w:val="19"/>
              </w:rPr>
            </w:pPr>
            <w:r w:rsidRPr="00394675">
              <w:rPr>
                <w:rFonts w:ascii="Times New Roman" w:eastAsia="楷体_GB2312" w:hAnsi="Times New Roman" w:cs="Times New Roman" w:hint="default"/>
                <w:b/>
                <w:bCs/>
                <w:color w:val="003366"/>
                <w:kern w:val="2"/>
                <w:szCs w:val="19"/>
              </w:rPr>
              <w:t>投资评级</w:t>
            </w:r>
          </w:p>
        </w:tc>
        <w:tc>
          <w:tcPr>
            <w:tcW w:w="4404" w:type="dxa"/>
            <w:tcBorders>
              <w:top w:val="single" w:sz="4" w:space="0" w:color="auto"/>
              <w:left w:val="single" w:sz="4" w:space="0" w:color="auto"/>
              <w:bottom w:val="single" w:sz="4" w:space="0" w:color="auto"/>
              <w:right w:val="single" w:sz="4" w:space="0" w:color="auto"/>
            </w:tcBorders>
          </w:tcPr>
          <w:p w:rsidR="00C952B4" w:rsidRPr="00394675" w:rsidRDefault="00C952B4">
            <w:pPr>
              <w:pStyle w:val="xl32"/>
              <w:widowControl w:val="0"/>
              <w:spacing w:before="0" w:beforeAutospacing="0" w:after="0" w:afterAutospacing="0"/>
              <w:rPr>
                <w:rFonts w:ascii="Times New Roman" w:eastAsia="楷体_GB2312" w:hAnsi="Times New Roman" w:cs="Times New Roman" w:hint="default"/>
                <w:b/>
                <w:bCs/>
                <w:color w:val="003366"/>
                <w:kern w:val="2"/>
                <w:szCs w:val="19"/>
              </w:rPr>
            </w:pPr>
            <w:r w:rsidRPr="00394675">
              <w:rPr>
                <w:rFonts w:ascii="Times New Roman" w:eastAsia="楷体_GB2312" w:hAnsi="Times New Roman" w:cs="Times New Roman" w:hint="default"/>
                <w:b/>
                <w:bCs/>
                <w:color w:val="003366"/>
                <w:kern w:val="2"/>
                <w:szCs w:val="19"/>
              </w:rPr>
              <w:t>定</w:t>
            </w:r>
            <w:r w:rsidRPr="00394675">
              <w:rPr>
                <w:rFonts w:ascii="Times New Roman" w:eastAsia="楷体_GB2312" w:hAnsi="Times New Roman" w:cs="Times New Roman" w:hint="default"/>
                <w:b/>
                <w:bCs/>
                <w:color w:val="003366"/>
                <w:kern w:val="2"/>
                <w:szCs w:val="19"/>
              </w:rPr>
              <w:t xml:space="preserve">  </w:t>
            </w:r>
            <w:r w:rsidRPr="00394675">
              <w:rPr>
                <w:rFonts w:ascii="Times New Roman" w:eastAsia="楷体_GB2312" w:hAnsi="Times New Roman" w:cs="Times New Roman" w:hint="default"/>
                <w:b/>
                <w:bCs/>
                <w:color w:val="003366"/>
                <w:kern w:val="2"/>
                <w:szCs w:val="19"/>
              </w:rPr>
              <w:t>义</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sz w:val="18"/>
              </w:rPr>
              <w:t>有吸引力</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b/>
                <w:bCs/>
                <w:kern w:val="0"/>
                <w:sz w:val="18"/>
                <w:szCs w:val="16"/>
              </w:rPr>
              <w:t>Attractive</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行业基本面看好，行业指数将强于</w:t>
            </w:r>
            <w:r w:rsidRPr="00394675">
              <w:rPr>
                <w:rFonts w:eastAsia="楷体_GB2312"/>
                <w:sz w:val="18"/>
                <w:szCs w:val="14"/>
              </w:rPr>
              <w:t>基准指数</w:t>
            </w:r>
            <w:r w:rsidRPr="00394675">
              <w:rPr>
                <w:rFonts w:eastAsia="楷体_GB2312"/>
                <w:sz w:val="18"/>
              </w:rPr>
              <w:t>5%</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sz w:val="18"/>
              </w:rPr>
              <w:t>中性</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b/>
                <w:bCs/>
                <w:kern w:val="0"/>
                <w:sz w:val="18"/>
                <w:szCs w:val="16"/>
              </w:rPr>
              <w:t>Neutral</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行业基本面稳定，行业指数将介于</w:t>
            </w:r>
            <w:r w:rsidRPr="00394675">
              <w:rPr>
                <w:rFonts w:eastAsia="楷体_GB2312"/>
                <w:sz w:val="18"/>
                <w:szCs w:val="14"/>
              </w:rPr>
              <w:t>基准指数</w:t>
            </w:r>
            <w:r w:rsidRPr="00394675">
              <w:rPr>
                <w:rFonts w:eastAsia="楷体_GB2312"/>
                <w:sz w:val="18"/>
              </w:rPr>
              <w:t>±5%</w:t>
            </w:r>
          </w:p>
        </w:tc>
      </w:tr>
      <w:tr w:rsidR="00C952B4" w:rsidRPr="00394675" w:rsidTr="00C952B4">
        <w:trPr>
          <w:cantSplit/>
          <w:trHeight w:val="270"/>
        </w:trPr>
        <w:tc>
          <w:tcPr>
            <w:tcW w:w="1118"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sz w:val="18"/>
              </w:rPr>
              <w:t>谨慎</w:t>
            </w:r>
          </w:p>
        </w:tc>
        <w:tc>
          <w:tcPr>
            <w:tcW w:w="1436"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jc w:val="center"/>
              <w:rPr>
                <w:rFonts w:eastAsia="楷体_GB2312"/>
                <w:sz w:val="18"/>
              </w:rPr>
            </w:pPr>
            <w:r w:rsidRPr="00394675">
              <w:rPr>
                <w:rFonts w:eastAsia="楷体_GB2312"/>
                <w:b/>
                <w:bCs/>
                <w:kern w:val="0"/>
                <w:sz w:val="18"/>
                <w:szCs w:val="16"/>
              </w:rPr>
              <w:t>Cautious</w:t>
            </w:r>
          </w:p>
        </w:tc>
        <w:tc>
          <w:tcPr>
            <w:tcW w:w="4404" w:type="dxa"/>
            <w:tcBorders>
              <w:top w:val="single" w:sz="4" w:space="0" w:color="auto"/>
              <w:left w:val="single" w:sz="4" w:space="0" w:color="auto"/>
              <w:bottom w:val="single" w:sz="4" w:space="0" w:color="auto"/>
              <w:right w:val="single" w:sz="4" w:space="0" w:color="auto"/>
            </w:tcBorders>
            <w:vAlign w:val="center"/>
          </w:tcPr>
          <w:p w:rsidR="00C952B4" w:rsidRPr="00394675" w:rsidRDefault="00C952B4">
            <w:pPr>
              <w:rPr>
                <w:rFonts w:eastAsia="楷体_GB2312"/>
                <w:sz w:val="18"/>
              </w:rPr>
            </w:pPr>
            <w:r w:rsidRPr="00394675">
              <w:rPr>
                <w:rFonts w:eastAsia="楷体_GB2312"/>
                <w:sz w:val="18"/>
              </w:rPr>
              <w:t>行业基本面看淡，行业指数将弱于基准</w:t>
            </w:r>
            <w:r w:rsidRPr="00394675">
              <w:rPr>
                <w:rFonts w:eastAsia="楷体_GB2312"/>
                <w:sz w:val="18"/>
                <w:szCs w:val="14"/>
              </w:rPr>
              <w:t>指数</w:t>
            </w:r>
            <w:r w:rsidRPr="00394675">
              <w:rPr>
                <w:rFonts w:eastAsia="楷体_GB2312"/>
                <w:sz w:val="18"/>
              </w:rPr>
              <w:t>5%</w:t>
            </w:r>
          </w:p>
        </w:tc>
      </w:tr>
    </w:tbl>
    <w:p w:rsidR="00C952B4" w:rsidRPr="00394675" w:rsidRDefault="00C952B4" w:rsidP="000E4496">
      <w:pPr>
        <w:spacing w:beforeLines="50"/>
        <w:rPr>
          <w:rFonts w:eastAsia="楷体_GB2312"/>
          <w:sz w:val="18"/>
          <w:szCs w:val="18"/>
        </w:rPr>
      </w:pPr>
      <w:r w:rsidRPr="00394675">
        <w:rPr>
          <w:rFonts w:eastAsia="楷体_GB2312"/>
          <w:sz w:val="18"/>
          <w:szCs w:val="18"/>
        </w:rPr>
        <w:t>投资评级说明：</w:t>
      </w:r>
    </w:p>
    <w:p w:rsidR="00C952B4" w:rsidRPr="00394675" w:rsidRDefault="00C952B4" w:rsidP="00C952B4">
      <w:pPr>
        <w:rPr>
          <w:rFonts w:eastAsia="楷体_GB2312"/>
          <w:sz w:val="18"/>
          <w:szCs w:val="18"/>
        </w:rPr>
      </w:pPr>
      <w:r w:rsidRPr="00394675">
        <w:rPr>
          <w:rFonts w:eastAsia="楷体_GB2312"/>
          <w:sz w:val="18"/>
          <w:szCs w:val="18"/>
        </w:rPr>
        <w:t>不同证券研究机构采用不同的评级术语及评级标准，投资者应区分不同机构在相同评级名称下的定义差异。本评级体系采用的是相对评级体系。投资者买卖证券的决定取决于个人的实际情况。投资者应阅读整篇报告，以获取比较完整的观点与信息，投资者不应以分析师的投资评级取代个人的分析与判断。</w:t>
      </w:r>
    </w:p>
    <w:p w:rsidR="00C952B4" w:rsidRPr="00394675" w:rsidRDefault="00C952B4" w:rsidP="00C952B4">
      <w:pPr>
        <w:spacing w:line="500" w:lineRule="exact"/>
        <w:rPr>
          <w:rFonts w:eastAsia="楷体_GB2312"/>
          <w:sz w:val="18"/>
          <w:szCs w:val="18"/>
        </w:rPr>
      </w:pPr>
    </w:p>
    <w:p w:rsidR="00C952B4" w:rsidRPr="00394675" w:rsidRDefault="00C952B4" w:rsidP="000E4496">
      <w:pPr>
        <w:spacing w:beforeLines="50" w:afterLines="50" w:line="400" w:lineRule="exact"/>
        <w:jc w:val="left"/>
        <w:rPr>
          <w:rFonts w:eastAsia="楷体_GB2312"/>
          <w:b/>
          <w:bCs/>
          <w:color w:val="003366"/>
          <w:szCs w:val="21"/>
        </w:rPr>
      </w:pPr>
      <w:r w:rsidRPr="00394675">
        <w:rPr>
          <w:rFonts w:eastAsia="楷体_GB2312"/>
          <w:b/>
          <w:bCs/>
          <w:color w:val="003366"/>
          <w:szCs w:val="21"/>
        </w:rPr>
        <w:t>免责条款</w:t>
      </w:r>
    </w:p>
    <w:p w:rsidR="00C952B4" w:rsidRPr="00394675" w:rsidRDefault="00C952B4" w:rsidP="000E4496">
      <w:pPr>
        <w:autoSpaceDE w:val="0"/>
        <w:autoSpaceDN w:val="0"/>
        <w:adjustRightInd w:val="0"/>
        <w:spacing w:beforeLines="30" w:afterLines="30" w:line="300" w:lineRule="exact"/>
        <w:jc w:val="left"/>
        <w:rPr>
          <w:rFonts w:eastAsia="楷体_GB2312"/>
          <w:sz w:val="18"/>
          <w:szCs w:val="18"/>
        </w:rPr>
      </w:pPr>
      <w:r w:rsidRPr="00394675">
        <w:rPr>
          <w:rFonts w:eastAsia="楷体_GB2312"/>
          <w:sz w:val="18"/>
          <w:szCs w:val="18"/>
        </w:rPr>
        <w:t>本报告中的信息均来源于公开资料，我公司对这些信息的准确性及完整性不做任何保证，也不保证所包含的信息和建议不会发生任何变更。报告中的信息和意见仅供参考，并不构成对所述证券买卖的出价或询价。我公司及其雇员对任何人使用本报告及其内容所引发的任何直接或间接损失概不负责。</w:t>
      </w:r>
    </w:p>
    <w:p w:rsidR="00C952B4" w:rsidRPr="00394675" w:rsidRDefault="00C952B4" w:rsidP="000E4496">
      <w:pPr>
        <w:autoSpaceDE w:val="0"/>
        <w:autoSpaceDN w:val="0"/>
        <w:adjustRightInd w:val="0"/>
        <w:spacing w:beforeLines="30" w:afterLines="30" w:line="300" w:lineRule="exact"/>
        <w:jc w:val="left"/>
        <w:rPr>
          <w:rFonts w:eastAsia="楷体_GB2312"/>
          <w:sz w:val="18"/>
          <w:szCs w:val="18"/>
        </w:rPr>
      </w:pPr>
      <w:r w:rsidRPr="00394675">
        <w:rPr>
          <w:rFonts w:eastAsia="楷体_GB2312"/>
          <w:sz w:val="18"/>
          <w:szCs w:val="18"/>
        </w:rPr>
        <w:t>在法律允许的情况下，我公司或其关联机构可能会持有报告中提到的公司所发行的证券头寸并进行交易，还可能为这些公司提供或争取提供投资银行或财务顾问服务。</w:t>
      </w:r>
    </w:p>
    <w:p w:rsidR="00C952B4" w:rsidRPr="00394675" w:rsidRDefault="00C952B4" w:rsidP="000E4496">
      <w:pPr>
        <w:autoSpaceDE w:val="0"/>
        <w:autoSpaceDN w:val="0"/>
        <w:adjustRightInd w:val="0"/>
        <w:spacing w:beforeLines="30" w:afterLines="30" w:line="300" w:lineRule="exact"/>
        <w:jc w:val="left"/>
        <w:rPr>
          <w:rFonts w:eastAsia="楷体_GB2312"/>
          <w:sz w:val="18"/>
          <w:szCs w:val="18"/>
        </w:rPr>
      </w:pPr>
      <w:r w:rsidRPr="00394675">
        <w:rPr>
          <w:rFonts w:eastAsia="楷体_GB2312"/>
          <w:sz w:val="18"/>
          <w:szCs w:val="18"/>
        </w:rPr>
        <w:t>本报告仅向特定客户传送，版权归上海证券有限责任公司所有。未获得上海证券有限责任公司事先书面授权，任何机构和个人均不得对本报告进行任何形式的发布、复制、引用或转载。</w:t>
      </w:r>
    </w:p>
    <w:p w:rsidR="00CD672A" w:rsidRPr="00394675" w:rsidRDefault="00C952B4" w:rsidP="005A262C">
      <w:pPr>
        <w:autoSpaceDE w:val="0"/>
        <w:autoSpaceDN w:val="0"/>
        <w:adjustRightInd w:val="0"/>
        <w:spacing w:beforeLines="30" w:afterLines="30" w:line="300" w:lineRule="exact"/>
        <w:jc w:val="left"/>
        <w:rPr>
          <w:rFonts w:eastAsia="楷体_GB2312"/>
          <w:sz w:val="18"/>
          <w:szCs w:val="18"/>
        </w:rPr>
      </w:pPr>
      <w:r w:rsidRPr="00394675">
        <w:rPr>
          <w:rFonts w:eastAsia="楷体_GB2312"/>
          <w:sz w:val="18"/>
          <w:szCs w:val="18"/>
        </w:rPr>
        <w:t>上海证券有限责任公司对于上述投资评级体系与评级定义和免责条款具有修改权和最终解释权。</w:t>
      </w:r>
    </w:p>
    <w:sectPr w:rsidR="00CD672A" w:rsidRPr="00394675" w:rsidSect="00970BC2">
      <w:headerReference w:type="default" r:id="rId23"/>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324" w:rsidRDefault="008D3324">
      <w:r>
        <w:separator/>
      </w:r>
    </w:p>
  </w:endnote>
  <w:endnote w:type="continuationSeparator" w:id="0">
    <w:p w:rsidR="008D3324" w:rsidRDefault="008D3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汉仪楷体简">
    <w:altName w:val="宋体"/>
    <w:charset w:val="86"/>
    <w:family w:val="modern"/>
    <w:pitch w:val="fixed"/>
    <w:sig w:usb0="00000001" w:usb1="080E0800" w:usb2="00000012" w:usb3="00000000" w:csb0="00040000" w:csb1="00000000"/>
  </w:font>
  <w:font w:name="汉仪中等线简">
    <w:altName w:val="宋体"/>
    <w:charset w:val="86"/>
    <w:family w:val="modern"/>
    <w:pitch w:val="fixed"/>
    <w:sig w:usb0="00000001" w:usb1="080E0800" w:usb2="00000012"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宋体-18030">
    <w:altName w:val="Arial Unicode MS"/>
    <w:charset w:val="86"/>
    <w:family w:val="modern"/>
    <w:pitch w:val="fixed"/>
    <w:sig w:usb0="800022A7" w:usb1="880F3C78" w:usb2="000A005E"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68" w:rsidRDefault="005A262C" w:rsidP="008F1970">
    <w:pPr>
      <w:pStyle w:val="a6"/>
      <w:framePr w:wrap="around" w:vAnchor="text" w:hAnchor="margin" w:xAlign="right" w:y="1"/>
      <w:rPr>
        <w:rStyle w:val="ab"/>
      </w:rPr>
    </w:pPr>
    <w:r>
      <w:rPr>
        <w:rStyle w:val="ab"/>
      </w:rPr>
      <w:fldChar w:fldCharType="begin"/>
    </w:r>
    <w:r w:rsidR="00157768">
      <w:rPr>
        <w:rStyle w:val="ab"/>
      </w:rPr>
      <w:instrText xml:space="preserve">PAGE  </w:instrText>
    </w:r>
    <w:r>
      <w:rPr>
        <w:rStyle w:val="ab"/>
      </w:rPr>
      <w:fldChar w:fldCharType="separate"/>
    </w:r>
    <w:r w:rsidR="00157768">
      <w:rPr>
        <w:rStyle w:val="ab"/>
        <w:noProof/>
      </w:rPr>
      <w:t>7</w:t>
    </w:r>
    <w:r>
      <w:rPr>
        <w:rStyle w:val="ab"/>
      </w:rPr>
      <w:fldChar w:fldCharType="end"/>
    </w:r>
  </w:p>
  <w:p w:rsidR="00157768" w:rsidRDefault="00157768" w:rsidP="008F197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68" w:rsidRDefault="005A262C" w:rsidP="008F1970">
    <w:pPr>
      <w:pStyle w:val="a6"/>
      <w:framePr w:wrap="around" w:vAnchor="text" w:hAnchor="margin" w:xAlign="right" w:y="1"/>
      <w:rPr>
        <w:rStyle w:val="ab"/>
      </w:rPr>
    </w:pPr>
    <w:r>
      <w:rPr>
        <w:rStyle w:val="ab"/>
      </w:rPr>
      <w:fldChar w:fldCharType="begin"/>
    </w:r>
    <w:r w:rsidR="00157768">
      <w:rPr>
        <w:rStyle w:val="ab"/>
      </w:rPr>
      <w:instrText xml:space="preserve">PAGE  </w:instrText>
    </w:r>
    <w:r>
      <w:rPr>
        <w:rStyle w:val="ab"/>
      </w:rPr>
      <w:fldChar w:fldCharType="separate"/>
    </w:r>
    <w:r w:rsidR="000E4496">
      <w:rPr>
        <w:rStyle w:val="ab"/>
        <w:noProof/>
      </w:rPr>
      <w:t>1</w:t>
    </w:r>
    <w:r>
      <w:rPr>
        <w:rStyle w:val="ab"/>
      </w:rPr>
      <w:fldChar w:fldCharType="end"/>
    </w:r>
  </w:p>
  <w:p w:rsidR="00157768" w:rsidRDefault="005A262C" w:rsidP="008F1970">
    <w:pPr>
      <w:pStyle w:val="a6"/>
      <w:ind w:right="360"/>
    </w:pPr>
    <w:r>
      <w:rPr>
        <w:noProof/>
      </w:rPr>
      <w:pict>
        <v:shapetype id="_x0000_t202" coordsize="21600,21600" o:spt="202" path="m,l,21600r21600,l21600,xe">
          <v:stroke joinstyle="miter"/>
          <v:path gradientshapeok="t" o:connecttype="rect"/>
        </v:shapetype>
        <v:shape id="_x0000_s2100" type="#_x0000_t202" style="position:absolute;margin-left:28.8pt;margin-top:772.9pt;width:513.45pt;height:18.05pt;z-index:251660800;mso-position-horizontal-relative:page;mso-position-vertical-relative:page" filled="f" stroked="f">
          <v:textbox style="mso-next-textbox:#_x0000_s2100" inset="0,0,0,0">
            <w:txbxContent>
              <w:p w:rsidR="00157768" w:rsidRPr="00FB139B" w:rsidRDefault="00157768" w:rsidP="00021EF5">
                <w:pPr>
                  <w:pBdr>
                    <w:top w:val="single" w:sz="4" w:space="2" w:color="auto"/>
                  </w:pBdr>
                  <w:topLinePunct/>
                  <w:spacing w:line="200" w:lineRule="exact"/>
                  <w:rPr>
                    <w:rFonts w:ascii="楷体_GB2312" w:eastAsia="楷体_GB2312"/>
                    <w:color w:val="003366"/>
                    <w:szCs w:val="21"/>
                  </w:rPr>
                </w:pPr>
                <w:r w:rsidRPr="00FB139B">
                  <w:rPr>
                    <w:rFonts w:ascii="楷体_GB2312" w:eastAsia="楷体_GB2312" w:hint="eastAsia"/>
                    <w:b/>
                    <w:color w:val="003366"/>
                    <w:szCs w:val="21"/>
                  </w:rPr>
                  <w:t>重要提示：请务必阅读尾页分析师承诺和</w:t>
                </w:r>
                <w:r>
                  <w:rPr>
                    <w:rFonts w:ascii="楷体_GB2312" w:eastAsia="楷体_GB2312" w:hint="eastAsia"/>
                    <w:b/>
                    <w:color w:val="003366"/>
                    <w:szCs w:val="21"/>
                  </w:rPr>
                  <w:t>免责条款</w:t>
                </w:r>
                <w:r w:rsidRPr="00FB139B">
                  <w:rPr>
                    <w:rFonts w:ascii="楷体_GB2312" w:eastAsia="楷体_GB2312" w:hint="eastAsia"/>
                    <w:color w:val="003366"/>
                    <w:szCs w:val="21"/>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68" w:rsidRPr="009D7428" w:rsidRDefault="005A262C" w:rsidP="008F1970">
    <w:pPr>
      <w:pStyle w:val="a6"/>
      <w:framePr w:wrap="around" w:vAnchor="text" w:hAnchor="margin" w:xAlign="right" w:y="1"/>
      <w:rPr>
        <w:rStyle w:val="ab"/>
        <w:color w:val="003366"/>
      </w:rPr>
    </w:pPr>
    <w:r w:rsidRPr="009D7428">
      <w:rPr>
        <w:rStyle w:val="ab"/>
        <w:color w:val="003366"/>
      </w:rPr>
      <w:fldChar w:fldCharType="begin"/>
    </w:r>
    <w:r w:rsidR="00157768" w:rsidRPr="009D7428">
      <w:rPr>
        <w:rStyle w:val="ab"/>
        <w:color w:val="003366"/>
      </w:rPr>
      <w:instrText xml:space="preserve">PAGE  </w:instrText>
    </w:r>
    <w:r w:rsidRPr="009D7428">
      <w:rPr>
        <w:rStyle w:val="ab"/>
        <w:color w:val="003366"/>
      </w:rPr>
      <w:fldChar w:fldCharType="separate"/>
    </w:r>
    <w:r w:rsidR="000E4496">
      <w:rPr>
        <w:rStyle w:val="ab"/>
        <w:noProof/>
        <w:color w:val="003366"/>
      </w:rPr>
      <w:t>6</w:t>
    </w:r>
    <w:r w:rsidRPr="009D7428">
      <w:rPr>
        <w:rStyle w:val="ab"/>
        <w:color w:val="003366"/>
      </w:rPr>
      <w:fldChar w:fldCharType="end"/>
    </w:r>
  </w:p>
  <w:p w:rsidR="00157768" w:rsidRDefault="005A262C" w:rsidP="008F1970">
    <w:pPr>
      <w:pStyle w:val="a6"/>
      <w:ind w:right="360"/>
    </w:pPr>
    <w:r>
      <w:rPr>
        <w:noProof/>
      </w:rPr>
      <w:pict>
        <v:shapetype id="_x0000_t202" coordsize="21600,21600" o:spt="202" path="m,l,21600r21600,l21600,xe">
          <v:stroke joinstyle="miter"/>
          <v:path gradientshapeok="t" o:connecttype="rect"/>
        </v:shapetype>
        <v:shape id="_x0000_s2099" type="#_x0000_t202" style="position:absolute;margin-left:-2in;margin-top:-9.05pt;width:1in;height:15.6pt;z-index:251659776" stroked="f">
          <v:fill opacity="0"/>
          <v:textbox style="mso-next-textbox:#_x0000_s2099">
            <w:txbxContent>
              <w:p w:rsidR="00157768" w:rsidRPr="008723D7" w:rsidRDefault="00157768" w:rsidP="00FB139B">
                <w:pPr>
                  <w:rPr>
                    <w:rFonts w:eastAsia="楷体_GB2312"/>
                    <w:b/>
                    <w:color w:val="003366"/>
                    <w:sz w:val="15"/>
                    <w:szCs w:val="15"/>
                  </w:rPr>
                </w:pPr>
                <w:r>
                  <w:rPr>
                    <w:rFonts w:eastAsia="楷体_GB2312" w:hint="eastAsia"/>
                    <w:b/>
                    <w:color w:val="003366"/>
                    <w:sz w:val="15"/>
                    <w:szCs w:val="15"/>
                  </w:rPr>
                  <w:t>2010</w:t>
                </w:r>
                <w:r w:rsidRPr="008723D7">
                  <w:rPr>
                    <w:rFonts w:eastAsia="楷体_GB2312" w:hint="eastAsia"/>
                    <w:b/>
                    <w:color w:val="003366"/>
                    <w:sz w:val="15"/>
                    <w:szCs w:val="15"/>
                  </w:rPr>
                  <w:t>年</w:t>
                </w:r>
                <w:r>
                  <w:rPr>
                    <w:rFonts w:eastAsia="楷体_GB2312" w:hint="eastAsia"/>
                    <w:b/>
                    <w:color w:val="003366"/>
                    <w:sz w:val="15"/>
                    <w:szCs w:val="15"/>
                  </w:rPr>
                  <w:t>8</w:t>
                </w:r>
                <w:r w:rsidRPr="008723D7">
                  <w:rPr>
                    <w:rFonts w:eastAsia="楷体_GB2312" w:hint="eastAsia"/>
                    <w:b/>
                    <w:color w:val="003366"/>
                    <w:sz w:val="15"/>
                    <w:szCs w:val="15"/>
                  </w:rPr>
                  <w:t>月</w:t>
                </w:r>
                <w:r>
                  <w:rPr>
                    <w:rFonts w:eastAsia="楷体_GB2312" w:hint="eastAsia"/>
                    <w:b/>
                    <w:color w:val="003366"/>
                    <w:sz w:val="15"/>
                    <w:szCs w:val="15"/>
                  </w:rPr>
                  <w:t>17</w:t>
                </w:r>
                <w:r w:rsidRPr="008723D7">
                  <w:rPr>
                    <w:rFonts w:eastAsia="楷体_GB2312" w:hint="eastAsia"/>
                    <w:b/>
                    <w:color w:val="003366"/>
                    <w:sz w:val="15"/>
                    <w:szCs w:val="15"/>
                  </w:rPr>
                  <w:t>日</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324" w:rsidRDefault="008D3324">
      <w:r>
        <w:separator/>
      </w:r>
    </w:p>
  </w:footnote>
  <w:footnote w:type="continuationSeparator" w:id="0">
    <w:p w:rsidR="008D3324" w:rsidRDefault="008D3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68" w:rsidRPr="0010121A" w:rsidRDefault="00157768">
    <w:pPr>
      <w:pStyle w:val="a5"/>
      <w:rPr>
        <w:rFonts w:ascii="楷体_GB2312" w:eastAsia="楷体_GB2312"/>
        <w:b/>
        <w:color w:val="333399"/>
        <w:sz w:val="21"/>
        <w:szCs w:val="21"/>
      </w:rPr>
    </w:pPr>
    <w:r>
      <w:rPr>
        <w:rFonts w:ascii="楷体_GB2312" w:eastAsia="楷体_GB2312" w:hint="eastAsia"/>
        <w:b/>
        <w:color w:val="333399"/>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68" w:rsidRPr="004A4249" w:rsidRDefault="005A262C" w:rsidP="00935FC9">
    <w:pPr>
      <w:pStyle w:val="a5"/>
      <w:jc w:val="right"/>
      <w:rPr>
        <w:rFonts w:ascii="楷体_GB2312" w:eastAsia="楷体_GB2312"/>
        <w:b/>
        <w:color w:val="003366"/>
        <w:sz w:val="24"/>
        <w:szCs w:val="24"/>
      </w:rPr>
    </w:pPr>
    <w:r w:rsidRPr="005A262C">
      <w:rPr>
        <w:rFonts w:ascii="楷体_GB2312" w:eastAsia="楷体_GB2312"/>
        <w:b/>
        <w:noProof/>
        <w:color w:val="003366"/>
        <w:sz w:val="21"/>
        <w:szCs w:val="21"/>
      </w:rPr>
      <w:pict>
        <v:line id="_x0000_s2064" style="position:absolute;left:0;text-align:left;z-index:251654656" from="-108pt,20.55pt" to="315pt,20.55pt" strokecolor="#036" strokeweight="1.5pt"/>
      </w:pict>
    </w:r>
    <w:r w:rsidRPr="005A262C">
      <w:rPr>
        <w:rFonts w:ascii="楷体_GB2312" w:eastAsia="楷体_GB2312"/>
        <w:b/>
        <w:noProof/>
        <w:color w:val="003366"/>
        <w:sz w:val="21"/>
        <w:szCs w:val="21"/>
      </w:rPr>
      <w:pict>
        <v:shapetype id="_x0000_t202" coordsize="21600,21600" o:spt="202" path="m,l,21600r21600,l21600,xe">
          <v:stroke joinstyle="miter"/>
          <v:path gradientshapeok="t" o:connecttype="rect"/>
        </v:shapetype>
        <v:shape id="_x0000_s2065" type="#_x0000_t202" style="position:absolute;left:0;text-align:left;margin-left:-189pt;margin-top:-2.85pt;width:88.25pt;height:29.85pt;z-index:251655680;mso-wrap-style:none" stroked="f">
          <v:textbox style="mso-next-textbox:#_x0000_s2065;mso-fit-shape-to-text:t">
            <w:txbxContent>
              <w:p w:rsidR="00157768" w:rsidRDefault="00157768">
                <w:r>
                  <w:rPr>
                    <w:noProof/>
                  </w:rPr>
                  <w:drawing>
                    <wp:inline distT="0" distB="0" distL="0" distR="0">
                      <wp:extent cx="933450" cy="285750"/>
                      <wp:effectExtent l="19050" t="0" r="0" b="0"/>
                      <wp:docPr id="4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933450" cy="285750"/>
                              </a:xfrm>
                              <a:prstGeom prst="rect">
                                <a:avLst/>
                              </a:prstGeom>
                              <a:noFill/>
                              <a:ln w="9525">
                                <a:noFill/>
                                <a:miter lim="800000"/>
                                <a:headEnd/>
                                <a:tailEnd/>
                              </a:ln>
                            </pic:spPr>
                          </pic:pic>
                        </a:graphicData>
                      </a:graphic>
                    </wp:inline>
                  </w:drawing>
                </w:r>
              </w:p>
            </w:txbxContent>
          </v:textbox>
        </v:shape>
      </w:pict>
    </w:r>
    <w:r w:rsidR="00157768" w:rsidRPr="004A4249">
      <w:rPr>
        <w:rFonts w:ascii="楷体_GB2312" w:eastAsia="楷体_GB2312" w:hint="eastAsia"/>
        <w:b/>
        <w:color w:val="003366"/>
        <w:sz w:val="21"/>
        <w:szCs w:val="21"/>
      </w:rPr>
      <w:t xml:space="preserve"> </w:t>
    </w:r>
    <w:r w:rsidR="00157768">
      <w:rPr>
        <w:rFonts w:ascii="楷体_GB2312" w:eastAsia="楷体_GB2312" w:hint="eastAsia"/>
        <w:b/>
        <w:color w:val="003366"/>
        <w:sz w:val="24"/>
        <w:szCs w:val="24"/>
      </w:rPr>
      <w:t>量化组合</w:t>
    </w:r>
    <w:r w:rsidR="00157768" w:rsidRPr="004A4249">
      <w:rPr>
        <w:rFonts w:ascii="楷体_GB2312" w:eastAsia="楷体_GB2312" w:hint="eastAsia"/>
        <w:b/>
        <w:color w:val="003366"/>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68" w:rsidRPr="00935FC9" w:rsidRDefault="005A262C" w:rsidP="00935FC9">
    <w:pPr>
      <w:pStyle w:val="a5"/>
      <w:jc w:val="right"/>
      <w:rPr>
        <w:rFonts w:ascii="楷体_GB2312" w:eastAsia="楷体_GB2312"/>
        <w:b/>
        <w:color w:val="333399"/>
        <w:sz w:val="24"/>
        <w:szCs w:val="24"/>
      </w:rPr>
    </w:pPr>
    <w:r w:rsidRPr="005A262C">
      <w:rPr>
        <w:rFonts w:ascii="楷体_GB2312" w:eastAsia="楷体_GB2312"/>
        <w:b/>
        <w:noProof/>
        <w:color w:val="003366"/>
        <w:sz w:val="21"/>
        <w:szCs w:val="21"/>
      </w:rPr>
      <w:pict>
        <v:shapetype id="_x0000_t202" coordsize="21600,21600" o:spt="202" path="m,l,21600r21600,l21600,xe">
          <v:stroke joinstyle="miter"/>
          <v:path gradientshapeok="t" o:connecttype="rect"/>
        </v:shapetype>
        <v:shape id="_x0000_s2077" type="#_x0000_t202" style="position:absolute;left:0;text-align:left;margin-left:-33.1pt;margin-top:-2.85pt;width:89.25pt;height:30.15pt;z-index:251658752;mso-wrap-style:none" stroked="f">
          <v:textbox style="mso-next-textbox:#_x0000_s2077;mso-fit-shape-to-text:t">
            <w:txbxContent>
              <w:p w:rsidR="00157768" w:rsidRDefault="00157768" w:rsidP="00B75DD0">
                <w:r>
                  <w:rPr>
                    <w:noProof/>
                  </w:rPr>
                  <w:drawing>
                    <wp:inline distT="0" distB="0" distL="0" distR="0">
                      <wp:extent cx="952500" cy="295275"/>
                      <wp:effectExtent l="19050" t="0" r="0" b="0"/>
                      <wp:docPr id="4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Pr="005A262C">
      <w:rPr>
        <w:rFonts w:ascii="楷体_GB2312" w:eastAsia="楷体_GB2312"/>
        <w:b/>
        <w:noProof/>
        <w:color w:val="003366"/>
        <w:sz w:val="21"/>
        <w:szCs w:val="21"/>
      </w:rPr>
      <w:pict>
        <v:line id="_x0000_s2076" style="position:absolute;left:0;text-align:left;z-index:251657728" from="45pt,20.55pt" to="459pt,20.55pt" strokecolor="#036" strokeweight="1.5pt"/>
      </w:pict>
    </w:r>
    <w:r w:rsidRPr="005A262C">
      <w:rPr>
        <w:rFonts w:ascii="楷体_GB2312" w:eastAsia="楷体_GB2312"/>
        <w:b/>
        <w:noProof/>
        <w:color w:val="333399"/>
        <w:sz w:val="21"/>
        <w:szCs w:val="21"/>
      </w:rPr>
      <w:pict>
        <v:shape id="_x0000_s2073" type="#_x0000_t202" style="position:absolute;left:0;text-align:left;margin-left:-189pt;margin-top:-2.85pt;width:89.25pt;height:30.15pt;z-index:251656704;mso-wrap-style:none" stroked="f">
          <v:textbox style="mso-next-textbox:#_x0000_s2073;mso-fit-shape-to-text:t">
            <w:txbxContent>
              <w:p w:rsidR="00157768" w:rsidRDefault="00157768">
                <w:r>
                  <w:rPr>
                    <w:noProof/>
                  </w:rPr>
                  <w:drawing>
                    <wp:inline distT="0" distB="0" distL="0" distR="0">
                      <wp:extent cx="952500" cy="295275"/>
                      <wp:effectExtent l="19050" t="0" r="0" b="0"/>
                      <wp:docPr id="4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srcRect/>
                              <a:stretch>
                                <a:fillRect/>
                              </a:stretch>
                            </pic:blipFill>
                            <pic:spPr bwMode="auto">
                              <a:xfrm>
                                <a:off x="0" y="0"/>
                                <a:ext cx="952500" cy="295275"/>
                              </a:xfrm>
                              <a:prstGeom prst="rect">
                                <a:avLst/>
                              </a:prstGeom>
                              <a:noFill/>
                              <a:ln w="9525">
                                <a:noFill/>
                                <a:miter lim="800000"/>
                                <a:headEnd/>
                                <a:tailEnd/>
                              </a:ln>
                            </pic:spPr>
                          </pic:pic>
                        </a:graphicData>
                      </a:graphic>
                    </wp:inline>
                  </w:drawing>
                </w:r>
              </w:p>
            </w:txbxContent>
          </v:textbox>
        </v:shape>
      </w:pict>
    </w:r>
    <w:r w:rsidR="00157768">
      <w:rPr>
        <w:rFonts w:ascii="楷体_GB2312" w:eastAsia="楷体_GB2312" w:hint="eastAsia"/>
        <w:b/>
        <w:color w:val="333399"/>
        <w:sz w:val="21"/>
        <w:szCs w:val="21"/>
      </w:rPr>
      <w:t xml:space="preserve"> </w:t>
    </w:r>
    <w:r w:rsidR="00157768" w:rsidRPr="00935FC9">
      <w:rPr>
        <w:rFonts w:ascii="楷体_GB2312" w:eastAsia="楷体_GB2312" w:hint="eastAsia"/>
        <w:b/>
        <w:color w:val="333399"/>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35pt;height:11.35pt;visibility:visible;mso-wrap-style:square" o:bullet="t">
        <v:imagedata r:id="rId1" o:title=""/>
      </v:shape>
    </w:pict>
  </w:numPicBullet>
  <w:abstractNum w:abstractNumId="0">
    <w:nsid w:val="02F808DB"/>
    <w:multiLevelType w:val="hybridMultilevel"/>
    <w:tmpl w:val="6FFC9F80"/>
    <w:lvl w:ilvl="0" w:tplc="52D4F20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E56AB1"/>
    <w:multiLevelType w:val="hybridMultilevel"/>
    <w:tmpl w:val="30B4BD86"/>
    <w:lvl w:ilvl="0" w:tplc="1C7E6138">
      <w:start w:val="1"/>
      <w:numFmt w:val="decimal"/>
      <w:lvlText w:val="%1."/>
      <w:lvlJc w:val="left"/>
      <w:pPr>
        <w:tabs>
          <w:tab w:val="num" w:pos="3174"/>
        </w:tabs>
        <w:ind w:left="3174" w:hanging="360"/>
      </w:pPr>
      <w:rPr>
        <w:rFonts w:hint="default"/>
      </w:rPr>
    </w:lvl>
    <w:lvl w:ilvl="1" w:tplc="04090019" w:tentative="1">
      <w:start w:val="1"/>
      <w:numFmt w:val="lowerLetter"/>
      <w:lvlText w:val="%2)"/>
      <w:lvlJc w:val="left"/>
      <w:pPr>
        <w:tabs>
          <w:tab w:val="num" w:pos="3675"/>
        </w:tabs>
        <w:ind w:left="3675" w:hanging="420"/>
      </w:pPr>
    </w:lvl>
    <w:lvl w:ilvl="2" w:tplc="0409001B" w:tentative="1">
      <w:start w:val="1"/>
      <w:numFmt w:val="lowerRoman"/>
      <w:lvlText w:val="%3."/>
      <w:lvlJc w:val="right"/>
      <w:pPr>
        <w:tabs>
          <w:tab w:val="num" w:pos="4095"/>
        </w:tabs>
        <w:ind w:left="4095" w:hanging="420"/>
      </w:pPr>
    </w:lvl>
    <w:lvl w:ilvl="3" w:tplc="0409000F" w:tentative="1">
      <w:start w:val="1"/>
      <w:numFmt w:val="decimal"/>
      <w:lvlText w:val="%4."/>
      <w:lvlJc w:val="left"/>
      <w:pPr>
        <w:tabs>
          <w:tab w:val="num" w:pos="4515"/>
        </w:tabs>
        <w:ind w:left="4515" w:hanging="420"/>
      </w:pPr>
    </w:lvl>
    <w:lvl w:ilvl="4" w:tplc="04090019" w:tentative="1">
      <w:start w:val="1"/>
      <w:numFmt w:val="lowerLetter"/>
      <w:lvlText w:val="%5)"/>
      <w:lvlJc w:val="left"/>
      <w:pPr>
        <w:tabs>
          <w:tab w:val="num" w:pos="4935"/>
        </w:tabs>
        <w:ind w:left="4935" w:hanging="420"/>
      </w:pPr>
    </w:lvl>
    <w:lvl w:ilvl="5" w:tplc="0409001B" w:tentative="1">
      <w:start w:val="1"/>
      <w:numFmt w:val="lowerRoman"/>
      <w:lvlText w:val="%6."/>
      <w:lvlJc w:val="right"/>
      <w:pPr>
        <w:tabs>
          <w:tab w:val="num" w:pos="5355"/>
        </w:tabs>
        <w:ind w:left="5355" w:hanging="420"/>
      </w:pPr>
    </w:lvl>
    <w:lvl w:ilvl="6" w:tplc="0409000F" w:tentative="1">
      <w:start w:val="1"/>
      <w:numFmt w:val="decimal"/>
      <w:lvlText w:val="%7."/>
      <w:lvlJc w:val="left"/>
      <w:pPr>
        <w:tabs>
          <w:tab w:val="num" w:pos="5775"/>
        </w:tabs>
        <w:ind w:left="5775" w:hanging="420"/>
      </w:pPr>
    </w:lvl>
    <w:lvl w:ilvl="7" w:tplc="04090019" w:tentative="1">
      <w:start w:val="1"/>
      <w:numFmt w:val="lowerLetter"/>
      <w:lvlText w:val="%8)"/>
      <w:lvlJc w:val="left"/>
      <w:pPr>
        <w:tabs>
          <w:tab w:val="num" w:pos="6195"/>
        </w:tabs>
        <w:ind w:left="6195" w:hanging="420"/>
      </w:pPr>
    </w:lvl>
    <w:lvl w:ilvl="8" w:tplc="0409001B" w:tentative="1">
      <w:start w:val="1"/>
      <w:numFmt w:val="lowerRoman"/>
      <w:lvlText w:val="%9."/>
      <w:lvlJc w:val="right"/>
      <w:pPr>
        <w:tabs>
          <w:tab w:val="num" w:pos="6615"/>
        </w:tabs>
        <w:ind w:left="6615" w:hanging="420"/>
      </w:pPr>
    </w:lvl>
  </w:abstractNum>
  <w:abstractNum w:abstractNumId="2">
    <w:nsid w:val="0D4716D9"/>
    <w:multiLevelType w:val="hybridMultilevel"/>
    <w:tmpl w:val="A2DEADDA"/>
    <w:lvl w:ilvl="0" w:tplc="4DB6B0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39C0E36"/>
    <w:multiLevelType w:val="hybridMultilevel"/>
    <w:tmpl w:val="AFF006C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1A862B7E"/>
    <w:multiLevelType w:val="hybridMultilevel"/>
    <w:tmpl w:val="7026FDE4"/>
    <w:lvl w:ilvl="0" w:tplc="AE6AAA2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48402F7"/>
    <w:multiLevelType w:val="multilevel"/>
    <w:tmpl w:val="A90A8370"/>
    <w:lvl w:ilvl="0">
      <w:start w:val="1"/>
      <w:numFmt w:val="bullet"/>
      <w:lvlText w:val=""/>
      <w:lvlJc w:val="left"/>
      <w:pPr>
        <w:tabs>
          <w:tab w:val="num" w:pos="420"/>
        </w:tabs>
        <w:ind w:left="420" w:hanging="420"/>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2E1C20C1"/>
    <w:multiLevelType w:val="hybridMultilevel"/>
    <w:tmpl w:val="5504052E"/>
    <w:lvl w:ilvl="0" w:tplc="AE209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E25EFD"/>
    <w:multiLevelType w:val="hybridMultilevel"/>
    <w:tmpl w:val="A90A8370"/>
    <w:lvl w:ilvl="0" w:tplc="7B6A1B30">
      <w:start w:val="1"/>
      <w:numFmt w:val="bullet"/>
      <w:lvlText w:val=""/>
      <w:lvlJc w:val="left"/>
      <w:pPr>
        <w:tabs>
          <w:tab w:val="num" w:pos="420"/>
        </w:tabs>
        <w:ind w:left="420" w:hanging="420"/>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4BB770C8"/>
    <w:multiLevelType w:val="hybridMultilevel"/>
    <w:tmpl w:val="07D4980C"/>
    <w:lvl w:ilvl="0" w:tplc="75B87A74">
      <w:start w:val="1"/>
      <w:numFmt w:val="bullet"/>
      <w:lvlText w:val=""/>
      <w:lvlJc w:val="left"/>
      <w:pPr>
        <w:tabs>
          <w:tab w:val="num" w:pos="3738"/>
        </w:tabs>
        <w:ind w:left="3738" w:hanging="420"/>
      </w:pPr>
      <w:rPr>
        <w:rFonts w:ascii="Wingdings" w:hAnsi="Wingdings" w:hint="default"/>
        <w:color w:val="FF66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501925DF"/>
    <w:multiLevelType w:val="hybridMultilevel"/>
    <w:tmpl w:val="37CABE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B115D26"/>
    <w:multiLevelType w:val="hybridMultilevel"/>
    <w:tmpl w:val="A7A4AECC"/>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62A759D9"/>
    <w:multiLevelType w:val="multilevel"/>
    <w:tmpl w:val="33A219AA"/>
    <w:lvl w:ilvl="0">
      <w:start w:val="1"/>
      <w:numFmt w:val="bullet"/>
      <w:lvlText w:val=""/>
      <w:lvlJc w:val="left"/>
      <w:pPr>
        <w:tabs>
          <w:tab w:val="num" w:pos="425"/>
        </w:tabs>
        <w:ind w:left="425" w:hanging="425"/>
      </w:pPr>
      <w:rPr>
        <w:rFonts w:ascii="Wingdings" w:hAnsi="Wingdings" w:hint="default"/>
        <w:color w:val="00336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nsid w:val="697455B1"/>
    <w:multiLevelType w:val="hybridMultilevel"/>
    <w:tmpl w:val="4E32223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nsid w:val="6A8D5F31"/>
    <w:multiLevelType w:val="hybridMultilevel"/>
    <w:tmpl w:val="24E27412"/>
    <w:lvl w:ilvl="0" w:tplc="D3D647B2">
      <w:start w:val="1"/>
      <w:numFmt w:val="bullet"/>
      <w:lvlText w:val=""/>
      <w:lvlJc w:val="left"/>
      <w:pPr>
        <w:tabs>
          <w:tab w:val="num" w:pos="420"/>
        </w:tabs>
        <w:ind w:left="420" w:hanging="420"/>
      </w:pPr>
      <w:rPr>
        <w:rFonts w:ascii="Wingdings" w:hAnsi="Wingdings" w:hint="default"/>
        <w:color w:val="333399"/>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nsid w:val="73D5739C"/>
    <w:multiLevelType w:val="hybridMultilevel"/>
    <w:tmpl w:val="CC767E9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7A5E3680"/>
    <w:multiLevelType w:val="hybridMultilevel"/>
    <w:tmpl w:val="8976F2B8"/>
    <w:lvl w:ilvl="0" w:tplc="3BAA5164">
      <w:start w:val="1"/>
      <w:numFmt w:val="bullet"/>
      <w:pStyle w:val="a"/>
      <w:lvlText w:val=""/>
      <w:lvlJc w:val="left"/>
      <w:pPr>
        <w:tabs>
          <w:tab w:val="num" w:pos="420"/>
        </w:tabs>
        <w:ind w:left="420" w:hanging="420"/>
      </w:pPr>
      <w:rPr>
        <w:rFonts w:ascii="Wingdings" w:hAnsi="Wingdings" w:hint="default"/>
        <w:color w:val="FF6600"/>
      </w:rPr>
    </w:lvl>
    <w:lvl w:ilvl="1" w:tplc="04090003" w:tentative="1">
      <w:start w:val="1"/>
      <w:numFmt w:val="bullet"/>
      <w:lvlText w:val=""/>
      <w:lvlJc w:val="left"/>
      <w:pPr>
        <w:tabs>
          <w:tab w:val="num" w:pos="630"/>
        </w:tabs>
        <w:ind w:left="630" w:hanging="420"/>
      </w:pPr>
      <w:rPr>
        <w:rFonts w:ascii="Wingdings" w:hAnsi="Wingdings" w:hint="default"/>
      </w:rPr>
    </w:lvl>
    <w:lvl w:ilvl="2" w:tplc="04090005"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3" w:tentative="1">
      <w:start w:val="1"/>
      <w:numFmt w:val="bullet"/>
      <w:lvlText w:val=""/>
      <w:lvlJc w:val="left"/>
      <w:pPr>
        <w:tabs>
          <w:tab w:val="num" w:pos="1890"/>
        </w:tabs>
        <w:ind w:left="1890" w:hanging="420"/>
      </w:pPr>
      <w:rPr>
        <w:rFonts w:ascii="Wingdings" w:hAnsi="Wingdings" w:hint="default"/>
      </w:rPr>
    </w:lvl>
    <w:lvl w:ilvl="5" w:tplc="04090005"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3" w:tentative="1">
      <w:start w:val="1"/>
      <w:numFmt w:val="bullet"/>
      <w:lvlText w:val=""/>
      <w:lvlJc w:val="left"/>
      <w:pPr>
        <w:tabs>
          <w:tab w:val="num" w:pos="3150"/>
        </w:tabs>
        <w:ind w:left="3150" w:hanging="420"/>
      </w:pPr>
      <w:rPr>
        <w:rFonts w:ascii="Wingdings" w:hAnsi="Wingdings" w:hint="default"/>
      </w:rPr>
    </w:lvl>
    <w:lvl w:ilvl="8" w:tplc="04090005" w:tentative="1">
      <w:start w:val="1"/>
      <w:numFmt w:val="bullet"/>
      <w:lvlText w:val=""/>
      <w:lvlJc w:val="left"/>
      <w:pPr>
        <w:tabs>
          <w:tab w:val="num" w:pos="3570"/>
        </w:tabs>
        <w:ind w:left="3570" w:hanging="420"/>
      </w:pPr>
      <w:rPr>
        <w:rFonts w:ascii="Wingdings" w:hAnsi="Wingdings" w:hint="default"/>
      </w:rPr>
    </w:lvl>
  </w:abstractNum>
  <w:abstractNum w:abstractNumId="16">
    <w:nsid w:val="7E1A10C2"/>
    <w:multiLevelType w:val="hybridMultilevel"/>
    <w:tmpl w:val="33A219AA"/>
    <w:lvl w:ilvl="0" w:tplc="33A6F226">
      <w:start w:val="1"/>
      <w:numFmt w:val="bullet"/>
      <w:lvlText w:val=""/>
      <w:lvlJc w:val="left"/>
      <w:pPr>
        <w:tabs>
          <w:tab w:val="num" w:pos="425"/>
        </w:tabs>
        <w:ind w:left="425" w:hanging="425"/>
      </w:pPr>
      <w:rPr>
        <w:rFonts w:ascii="Wingdings" w:hAnsi="Wingdings" w:hint="default"/>
        <w:color w:val="00336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7F2C09DD"/>
    <w:multiLevelType w:val="hybridMultilevel"/>
    <w:tmpl w:val="4330F0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8"/>
  </w:num>
  <w:num w:numId="2">
    <w:abstractNumId w:val="13"/>
  </w:num>
  <w:num w:numId="3">
    <w:abstractNumId w:val="15"/>
  </w:num>
  <w:num w:numId="4">
    <w:abstractNumId w:val="15"/>
  </w:num>
  <w:num w:numId="5">
    <w:abstractNumId w:val="10"/>
  </w:num>
  <w:num w:numId="6">
    <w:abstractNumId w:val="1"/>
  </w:num>
  <w:num w:numId="7">
    <w:abstractNumId w:val="4"/>
  </w:num>
  <w:num w:numId="8">
    <w:abstractNumId w:val="7"/>
  </w:num>
  <w:num w:numId="9">
    <w:abstractNumId w:val="5"/>
  </w:num>
  <w:num w:numId="10">
    <w:abstractNumId w:val="16"/>
  </w:num>
  <w:num w:numId="11">
    <w:abstractNumId w:val="11"/>
  </w:num>
  <w:num w:numId="12">
    <w:abstractNumId w:val="9"/>
  </w:num>
  <w:num w:numId="13">
    <w:abstractNumId w:val="6"/>
  </w:num>
  <w:num w:numId="14">
    <w:abstractNumId w:val="2"/>
  </w:num>
  <w:num w:numId="15">
    <w:abstractNumId w:val="12"/>
  </w:num>
  <w:num w:numId="16">
    <w:abstractNumId w:val="14"/>
  </w:num>
  <w:num w:numId="17">
    <w:abstractNumId w:val="0"/>
  </w:num>
  <w:num w:numId="18">
    <w:abstractNumId w:val="1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1986" fill="f" fillcolor="white" stroke="f">
      <v:fill color="white" on="f"/>
      <v:stroke on="f"/>
      <o:colormru v:ext="edit" colors="#99f,#9ecdf8,#f00000,#00326e"/>
      <o:colormenu v:ext="edit" fillcolor="#00326e" strokecolor="non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672A"/>
    <w:rsid w:val="00000A2B"/>
    <w:rsid w:val="00003876"/>
    <w:rsid w:val="00003DFF"/>
    <w:rsid w:val="00004A83"/>
    <w:rsid w:val="00005A15"/>
    <w:rsid w:val="00005CDB"/>
    <w:rsid w:val="00006DFC"/>
    <w:rsid w:val="00007E6F"/>
    <w:rsid w:val="00011032"/>
    <w:rsid w:val="00011136"/>
    <w:rsid w:val="00011B95"/>
    <w:rsid w:val="00012B6F"/>
    <w:rsid w:val="0001335E"/>
    <w:rsid w:val="00013779"/>
    <w:rsid w:val="00013C90"/>
    <w:rsid w:val="00016699"/>
    <w:rsid w:val="00021EF5"/>
    <w:rsid w:val="00022175"/>
    <w:rsid w:val="000236B5"/>
    <w:rsid w:val="000254DF"/>
    <w:rsid w:val="00027EDC"/>
    <w:rsid w:val="0003064E"/>
    <w:rsid w:val="00031354"/>
    <w:rsid w:val="00032A9B"/>
    <w:rsid w:val="00033526"/>
    <w:rsid w:val="00033AEC"/>
    <w:rsid w:val="00034672"/>
    <w:rsid w:val="000357D5"/>
    <w:rsid w:val="000358AF"/>
    <w:rsid w:val="000405C7"/>
    <w:rsid w:val="0004259B"/>
    <w:rsid w:val="00044537"/>
    <w:rsid w:val="00045F5E"/>
    <w:rsid w:val="00046608"/>
    <w:rsid w:val="000467D0"/>
    <w:rsid w:val="00046CD2"/>
    <w:rsid w:val="0004753C"/>
    <w:rsid w:val="00047A6F"/>
    <w:rsid w:val="00047F3E"/>
    <w:rsid w:val="0005042D"/>
    <w:rsid w:val="00050CDA"/>
    <w:rsid w:val="000536FD"/>
    <w:rsid w:val="0005404B"/>
    <w:rsid w:val="00055C6B"/>
    <w:rsid w:val="0006274D"/>
    <w:rsid w:val="000654A7"/>
    <w:rsid w:val="000659A3"/>
    <w:rsid w:val="00066CCB"/>
    <w:rsid w:val="000670DB"/>
    <w:rsid w:val="000670F7"/>
    <w:rsid w:val="0006715A"/>
    <w:rsid w:val="00067164"/>
    <w:rsid w:val="00070FCF"/>
    <w:rsid w:val="000724AC"/>
    <w:rsid w:val="0007410A"/>
    <w:rsid w:val="00075309"/>
    <w:rsid w:val="00082224"/>
    <w:rsid w:val="00082C55"/>
    <w:rsid w:val="000843BB"/>
    <w:rsid w:val="00086D9A"/>
    <w:rsid w:val="00087D44"/>
    <w:rsid w:val="00087EFF"/>
    <w:rsid w:val="00096140"/>
    <w:rsid w:val="000963D6"/>
    <w:rsid w:val="000967BC"/>
    <w:rsid w:val="00097B08"/>
    <w:rsid w:val="000A00BE"/>
    <w:rsid w:val="000A188B"/>
    <w:rsid w:val="000A5D6A"/>
    <w:rsid w:val="000A6F39"/>
    <w:rsid w:val="000B01AB"/>
    <w:rsid w:val="000B0AB7"/>
    <w:rsid w:val="000B12AF"/>
    <w:rsid w:val="000B2677"/>
    <w:rsid w:val="000B31C6"/>
    <w:rsid w:val="000B49E9"/>
    <w:rsid w:val="000B4C2B"/>
    <w:rsid w:val="000C2CA6"/>
    <w:rsid w:val="000C416E"/>
    <w:rsid w:val="000C42A7"/>
    <w:rsid w:val="000C66C1"/>
    <w:rsid w:val="000D2649"/>
    <w:rsid w:val="000D2D86"/>
    <w:rsid w:val="000D2DB1"/>
    <w:rsid w:val="000D681E"/>
    <w:rsid w:val="000D69C9"/>
    <w:rsid w:val="000D76A2"/>
    <w:rsid w:val="000E113B"/>
    <w:rsid w:val="000E15BC"/>
    <w:rsid w:val="000E214A"/>
    <w:rsid w:val="000E2615"/>
    <w:rsid w:val="000E3E48"/>
    <w:rsid w:val="000E4496"/>
    <w:rsid w:val="000E56A0"/>
    <w:rsid w:val="000F0F74"/>
    <w:rsid w:val="000F1AE4"/>
    <w:rsid w:val="000F2F5A"/>
    <w:rsid w:val="000F3E0B"/>
    <w:rsid w:val="000F5051"/>
    <w:rsid w:val="000F6921"/>
    <w:rsid w:val="00100645"/>
    <w:rsid w:val="00101106"/>
    <w:rsid w:val="0010121A"/>
    <w:rsid w:val="0010181C"/>
    <w:rsid w:val="00101ABE"/>
    <w:rsid w:val="00101BEA"/>
    <w:rsid w:val="00101F88"/>
    <w:rsid w:val="0010652E"/>
    <w:rsid w:val="001066C5"/>
    <w:rsid w:val="00111A85"/>
    <w:rsid w:val="0011208F"/>
    <w:rsid w:val="0011247A"/>
    <w:rsid w:val="00114638"/>
    <w:rsid w:val="001152C9"/>
    <w:rsid w:val="00116AA0"/>
    <w:rsid w:val="00116CA3"/>
    <w:rsid w:val="00120349"/>
    <w:rsid w:val="00120EFD"/>
    <w:rsid w:val="00123BF0"/>
    <w:rsid w:val="00124A1B"/>
    <w:rsid w:val="00127B67"/>
    <w:rsid w:val="00132E04"/>
    <w:rsid w:val="001357B7"/>
    <w:rsid w:val="00140F4D"/>
    <w:rsid w:val="00145D41"/>
    <w:rsid w:val="00146016"/>
    <w:rsid w:val="00153924"/>
    <w:rsid w:val="00155528"/>
    <w:rsid w:val="00155DEE"/>
    <w:rsid w:val="00156B51"/>
    <w:rsid w:val="00157768"/>
    <w:rsid w:val="00157BE2"/>
    <w:rsid w:val="001611AD"/>
    <w:rsid w:val="00162712"/>
    <w:rsid w:val="00162733"/>
    <w:rsid w:val="0017090D"/>
    <w:rsid w:val="00170F3B"/>
    <w:rsid w:val="00173DCE"/>
    <w:rsid w:val="001816E4"/>
    <w:rsid w:val="00183404"/>
    <w:rsid w:val="0018797C"/>
    <w:rsid w:val="00191993"/>
    <w:rsid w:val="00192C28"/>
    <w:rsid w:val="00192F43"/>
    <w:rsid w:val="00193E45"/>
    <w:rsid w:val="001946D5"/>
    <w:rsid w:val="001948C2"/>
    <w:rsid w:val="00195E34"/>
    <w:rsid w:val="00196E05"/>
    <w:rsid w:val="00197552"/>
    <w:rsid w:val="00197DF8"/>
    <w:rsid w:val="001A12B4"/>
    <w:rsid w:val="001A2293"/>
    <w:rsid w:val="001A253F"/>
    <w:rsid w:val="001A3A02"/>
    <w:rsid w:val="001A43E9"/>
    <w:rsid w:val="001A54E1"/>
    <w:rsid w:val="001A71F6"/>
    <w:rsid w:val="001B0545"/>
    <w:rsid w:val="001B1FEF"/>
    <w:rsid w:val="001B26FD"/>
    <w:rsid w:val="001B2AFB"/>
    <w:rsid w:val="001B3014"/>
    <w:rsid w:val="001B3FDA"/>
    <w:rsid w:val="001B5153"/>
    <w:rsid w:val="001B6C0A"/>
    <w:rsid w:val="001B7B61"/>
    <w:rsid w:val="001B7C59"/>
    <w:rsid w:val="001C085B"/>
    <w:rsid w:val="001C0EF0"/>
    <w:rsid w:val="001C14C7"/>
    <w:rsid w:val="001C2627"/>
    <w:rsid w:val="001C5171"/>
    <w:rsid w:val="001C5778"/>
    <w:rsid w:val="001C6A2D"/>
    <w:rsid w:val="001D168F"/>
    <w:rsid w:val="001D50F9"/>
    <w:rsid w:val="001D65E9"/>
    <w:rsid w:val="001E0262"/>
    <w:rsid w:val="001E262E"/>
    <w:rsid w:val="001E2E8F"/>
    <w:rsid w:val="001E4981"/>
    <w:rsid w:val="001E6092"/>
    <w:rsid w:val="001E7536"/>
    <w:rsid w:val="001F0187"/>
    <w:rsid w:val="001F1474"/>
    <w:rsid w:val="001F1E1A"/>
    <w:rsid w:val="001F5293"/>
    <w:rsid w:val="00204BDD"/>
    <w:rsid w:val="00211C13"/>
    <w:rsid w:val="0021259C"/>
    <w:rsid w:val="00212BE8"/>
    <w:rsid w:val="0021469D"/>
    <w:rsid w:val="00217ACA"/>
    <w:rsid w:val="00220DAF"/>
    <w:rsid w:val="002217BB"/>
    <w:rsid w:val="0022580C"/>
    <w:rsid w:val="0022796F"/>
    <w:rsid w:val="002308AD"/>
    <w:rsid w:val="002370CD"/>
    <w:rsid w:val="0024155A"/>
    <w:rsid w:val="00241F58"/>
    <w:rsid w:val="002425A9"/>
    <w:rsid w:val="00243C19"/>
    <w:rsid w:val="002458AE"/>
    <w:rsid w:val="00245E5C"/>
    <w:rsid w:val="0024720A"/>
    <w:rsid w:val="00247AE4"/>
    <w:rsid w:val="00247C5B"/>
    <w:rsid w:val="00251749"/>
    <w:rsid w:val="00254337"/>
    <w:rsid w:val="0025518C"/>
    <w:rsid w:val="00256454"/>
    <w:rsid w:val="00264220"/>
    <w:rsid w:val="0026444D"/>
    <w:rsid w:val="002674DE"/>
    <w:rsid w:val="00270BF8"/>
    <w:rsid w:val="002738B5"/>
    <w:rsid w:val="00273E44"/>
    <w:rsid w:val="00274338"/>
    <w:rsid w:val="00280281"/>
    <w:rsid w:val="00280C1E"/>
    <w:rsid w:val="00281E7C"/>
    <w:rsid w:val="00283000"/>
    <w:rsid w:val="00286F2A"/>
    <w:rsid w:val="002901A6"/>
    <w:rsid w:val="00291D1B"/>
    <w:rsid w:val="00293234"/>
    <w:rsid w:val="002932F0"/>
    <w:rsid w:val="00297949"/>
    <w:rsid w:val="002A0802"/>
    <w:rsid w:val="002A2452"/>
    <w:rsid w:val="002A3F64"/>
    <w:rsid w:val="002A4AFE"/>
    <w:rsid w:val="002A5DC1"/>
    <w:rsid w:val="002A7B06"/>
    <w:rsid w:val="002B0602"/>
    <w:rsid w:val="002B13F7"/>
    <w:rsid w:val="002B14A6"/>
    <w:rsid w:val="002B2A1E"/>
    <w:rsid w:val="002B3ADA"/>
    <w:rsid w:val="002B53EE"/>
    <w:rsid w:val="002B56E9"/>
    <w:rsid w:val="002B5C16"/>
    <w:rsid w:val="002C0F0D"/>
    <w:rsid w:val="002C1C52"/>
    <w:rsid w:val="002C2435"/>
    <w:rsid w:val="002C723F"/>
    <w:rsid w:val="002C762F"/>
    <w:rsid w:val="002C7B37"/>
    <w:rsid w:val="002C7DB4"/>
    <w:rsid w:val="002D0D37"/>
    <w:rsid w:val="002D290D"/>
    <w:rsid w:val="002D32C9"/>
    <w:rsid w:val="002D50F2"/>
    <w:rsid w:val="002D52B3"/>
    <w:rsid w:val="002D59E9"/>
    <w:rsid w:val="002D5B31"/>
    <w:rsid w:val="002D69DE"/>
    <w:rsid w:val="002E01F6"/>
    <w:rsid w:val="002E2848"/>
    <w:rsid w:val="002E29A8"/>
    <w:rsid w:val="002E3299"/>
    <w:rsid w:val="002E35A0"/>
    <w:rsid w:val="002E648B"/>
    <w:rsid w:val="002F088A"/>
    <w:rsid w:val="002F41B0"/>
    <w:rsid w:val="002F4FC3"/>
    <w:rsid w:val="002F5EFF"/>
    <w:rsid w:val="00301175"/>
    <w:rsid w:val="00301F72"/>
    <w:rsid w:val="003038B7"/>
    <w:rsid w:val="00305A74"/>
    <w:rsid w:val="00306362"/>
    <w:rsid w:val="00306D62"/>
    <w:rsid w:val="00311007"/>
    <w:rsid w:val="0031295E"/>
    <w:rsid w:val="00312E94"/>
    <w:rsid w:val="003133BF"/>
    <w:rsid w:val="00313731"/>
    <w:rsid w:val="00316988"/>
    <w:rsid w:val="003215E3"/>
    <w:rsid w:val="003236B7"/>
    <w:rsid w:val="00323D93"/>
    <w:rsid w:val="00326E14"/>
    <w:rsid w:val="00330261"/>
    <w:rsid w:val="0033158F"/>
    <w:rsid w:val="003322CE"/>
    <w:rsid w:val="00333956"/>
    <w:rsid w:val="00334969"/>
    <w:rsid w:val="003377EF"/>
    <w:rsid w:val="00340F33"/>
    <w:rsid w:val="0034115C"/>
    <w:rsid w:val="0034206B"/>
    <w:rsid w:val="0034393F"/>
    <w:rsid w:val="00343ABF"/>
    <w:rsid w:val="00343EF2"/>
    <w:rsid w:val="00344066"/>
    <w:rsid w:val="00345473"/>
    <w:rsid w:val="00345D7C"/>
    <w:rsid w:val="003506B7"/>
    <w:rsid w:val="00353D91"/>
    <w:rsid w:val="003544D8"/>
    <w:rsid w:val="00355DCC"/>
    <w:rsid w:val="00357427"/>
    <w:rsid w:val="0035755F"/>
    <w:rsid w:val="00361786"/>
    <w:rsid w:val="003621AC"/>
    <w:rsid w:val="00362266"/>
    <w:rsid w:val="0036271A"/>
    <w:rsid w:val="003679C7"/>
    <w:rsid w:val="00367EF8"/>
    <w:rsid w:val="00372954"/>
    <w:rsid w:val="00373D79"/>
    <w:rsid w:val="00374E95"/>
    <w:rsid w:val="003755EB"/>
    <w:rsid w:val="00376435"/>
    <w:rsid w:val="0038114C"/>
    <w:rsid w:val="00382476"/>
    <w:rsid w:val="00382D3E"/>
    <w:rsid w:val="00382F86"/>
    <w:rsid w:val="0038444B"/>
    <w:rsid w:val="0038715F"/>
    <w:rsid w:val="00387700"/>
    <w:rsid w:val="0039027D"/>
    <w:rsid w:val="00390CB8"/>
    <w:rsid w:val="003927EA"/>
    <w:rsid w:val="003944AD"/>
    <w:rsid w:val="00394675"/>
    <w:rsid w:val="00396580"/>
    <w:rsid w:val="00396CA5"/>
    <w:rsid w:val="003A1448"/>
    <w:rsid w:val="003A1605"/>
    <w:rsid w:val="003A2C1A"/>
    <w:rsid w:val="003A4076"/>
    <w:rsid w:val="003A549E"/>
    <w:rsid w:val="003A6CE3"/>
    <w:rsid w:val="003B0D05"/>
    <w:rsid w:val="003B0E35"/>
    <w:rsid w:val="003B129E"/>
    <w:rsid w:val="003B33A4"/>
    <w:rsid w:val="003B4DEA"/>
    <w:rsid w:val="003B778D"/>
    <w:rsid w:val="003B7C78"/>
    <w:rsid w:val="003B7CB2"/>
    <w:rsid w:val="003B7FCB"/>
    <w:rsid w:val="003C07AD"/>
    <w:rsid w:val="003C1531"/>
    <w:rsid w:val="003C491E"/>
    <w:rsid w:val="003C553A"/>
    <w:rsid w:val="003C5C27"/>
    <w:rsid w:val="003C6C6C"/>
    <w:rsid w:val="003D0762"/>
    <w:rsid w:val="003D078B"/>
    <w:rsid w:val="003D3357"/>
    <w:rsid w:val="003D3922"/>
    <w:rsid w:val="003D3B0D"/>
    <w:rsid w:val="003D471B"/>
    <w:rsid w:val="003D4DC3"/>
    <w:rsid w:val="003D6968"/>
    <w:rsid w:val="003D7D90"/>
    <w:rsid w:val="003E120C"/>
    <w:rsid w:val="003E16F4"/>
    <w:rsid w:val="003E24F5"/>
    <w:rsid w:val="003E6DD4"/>
    <w:rsid w:val="003F049F"/>
    <w:rsid w:val="003F0E42"/>
    <w:rsid w:val="003F0E7A"/>
    <w:rsid w:val="003F107D"/>
    <w:rsid w:val="003F3E3B"/>
    <w:rsid w:val="003F5563"/>
    <w:rsid w:val="003F64B2"/>
    <w:rsid w:val="003F7F6E"/>
    <w:rsid w:val="00401122"/>
    <w:rsid w:val="00402EBD"/>
    <w:rsid w:val="004032BF"/>
    <w:rsid w:val="00403703"/>
    <w:rsid w:val="004043CC"/>
    <w:rsid w:val="004050C6"/>
    <w:rsid w:val="00405836"/>
    <w:rsid w:val="00407B6E"/>
    <w:rsid w:val="00411CCF"/>
    <w:rsid w:val="00414343"/>
    <w:rsid w:val="004170A7"/>
    <w:rsid w:val="00420C98"/>
    <w:rsid w:val="004213F3"/>
    <w:rsid w:val="00424E8C"/>
    <w:rsid w:val="0042594C"/>
    <w:rsid w:val="00427B00"/>
    <w:rsid w:val="0043025F"/>
    <w:rsid w:val="0043271B"/>
    <w:rsid w:val="004332C6"/>
    <w:rsid w:val="00433387"/>
    <w:rsid w:val="0043407D"/>
    <w:rsid w:val="00434559"/>
    <w:rsid w:val="00434799"/>
    <w:rsid w:val="0043677D"/>
    <w:rsid w:val="004404BA"/>
    <w:rsid w:val="00440FAF"/>
    <w:rsid w:val="00442CA7"/>
    <w:rsid w:val="0044353D"/>
    <w:rsid w:val="00443710"/>
    <w:rsid w:val="0044376C"/>
    <w:rsid w:val="00444F1B"/>
    <w:rsid w:val="004469F4"/>
    <w:rsid w:val="00454D6D"/>
    <w:rsid w:val="00454DE1"/>
    <w:rsid w:val="00455304"/>
    <w:rsid w:val="004579EE"/>
    <w:rsid w:val="00460E8E"/>
    <w:rsid w:val="00461A96"/>
    <w:rsid w:val="004627A9"/>
    <w:rsid w:val="00462C83"/>
    <w:rsid w:val="00463F02"/>
    <w:rsid w:val="004664F0"/>
    <w:rsid w:val="0046775A"/>
    <w:rsid w:val="0047259E"/>
    <w:rsid w:val="00473EC2"/>
    <w:rsid w:val="004754AD"/>
    <w:rsid w:val="004755CC"/>
    <w:rsid w:val="00475F39"/>
    <w:rsid w:val="00480505"/>
    <w:rsid w:val="00480B8C"/>
    <w:rsid w:val="00481CF4"/>
    <w:rsid w:val="004833F1"/>
    <w:rsid w:val="00484A0D"/>
    <w:rsid w:val="00485F59"/>
    <w:rsid w:val="00487C26"/>
    <w:rsid w:val="004932D9"/>
    <w:rsid w:val="00495B24"/>
    <w:rsid w:val="00495B8A"/>
    <w:rsid w:val="00496B14"/>
    <w:rsid w:val="004A05C1"/>
    <w:rsid w:val="004A2221"/>
    <w:rsid w:val="004A3473"/>
    <w:rsid w:val="004A3A08"/>
    <w:rsid w:val="004A3B17"/>
    <w:rsid w:val="004A4249"/>
    <w:rsid w:val="004A6C13"/>
    <w:rsid w:val="004A77D8"/>
    <w:rsid w:val="004B3B43"/>
    <w:rsid w:val="004B43F8"/>
    <w:rsid w:val="004B4690"/>
    <w:rsid w:val="004B5C20"/>
    <w:rsid w:val="004B6D4D"/>
    <w:rsid w:val="004C28A4"/>
    <w:rsid w:val="004C2B09"/>
    <w:rsid w:val="004C2B2A"/>
    <w:rsid w:val="004C5CCA"/>
    <w:rsid w:val="004C7181"/>
    <w:rsid w:val="004C7223"/>
    <w:rsid w:val="004C7C06"/>
    <w:rsid w:val="004D0820"/>
    <w:rsid w:val="004D0F1E"/>
    <w:rsid w:val="004D1F94"/>
    <w:rsid w:val="004D2144"/>
    <w:rsid w:val="004D2564"/>
    <w:rsid w:val="004D2D2B"/>
    <w:rsid w:val="004D5144"/>
    <w:rsid w:val="004D71D2"/>
    <w:rsid w:val="004E0EB7"/>
    <w:rsid w:val="004E2563"/>
    <w:rsid w:val="004E37ED"/>
    <w:rsid w:val="004E41DC"/>
    <w:rsid w:val="004E4CAC"/>
    <w:rsid w:val="004E5544"/>
    <w:rsid w:val="004E666A"/>
    <w:rsid w:val="004F01ED"/>
    <w:rsid w:val="004F32E4"/>
    <w:rsid w:val="004F60B1"/>
    <w:rsid w:val="0050425B"/>
    <w:rsid w:val="00505727"/>
    <w:rsid w:val="005151A9"/>
    <w:rsid w:val="005202E1"/>
    <w:rsid w:val="00520E0A"/>
    <w:rsid w:val="0052109C"/>
    <w:rsid w:val="00521A97"/>
    <w:rsid w:val="00521AAE"/>
    <w:rsid w:val="00522864"/>
    <w:rsid w:val="005228F7"/>
    <w:rsid w:val="00522E04"/>
    <w:rsid w:val="0052494C"/>
    <w:rsid w:val="00527AA4"/>
    <w:rsid w:val="00532557"/>
    <w:rsid w:val="005328B3"/>
    <w:rsid w:val="00535A31"/>
    <w:rsid w:val="00536A2C"/>
    <w:rsid w:val="00541509"/>
    <w:rsid w:val="005433F6"/>
    <w:rsid w:val="0054484F"/>
    <w:rsid w:val="0054731D"/>
    <w:rsid w:val="00550BAD"/>
    <w:rsid w:val="00551A04"/>
    <w:rsid w:val="005545A1"/>
    <w:rsid w:val="005549C5"/>
    <w:rsid w:val="00560C7B"/>
    <w:rsid w:val="00562FF7"/>
    <w:rsid w:val="00565357"/>
    <w:rsid w:val="005668D3"/>
    <w:rsid w:val="00566DC7"/>
    <w:rsid w:val="00566E6A"/>
    <w:rsid w:val="00572B36"/>
    <w:rsid w:val="005743F1"/>
    <w:rsid w:val="005751B0"/>
    <w:rsid w:val="0057576E"/>
    <w:rsid w:val="00577F92"/>
    <w:rsid w:val="00581F5D"/>
    <w:rsid w:val="00582617"/>
    <w:rsid w:val="005861AC"/>
    <w:rsid w:val="0058778D"/>
    <w:rsid w:val="00587DDA"/>
    <w:rsid w:val="00591D7C"/>
    <w:rsid w:val="005938D2"/>
    <w:rsid w:val="00593955"/>
    <w:rsid w:val="005950A8"/>
    <w:rsid w:val="0059680E"/>
    <w:rsid w:val="00596889"/>
    <w:rsid w:val="00597633"/>
    <w:rsid w:val="005A046B"/>
    <w:rsid w:val="005A08D8"/>
    <w:rsid w:val="005A0EC7"/>
    <w:rsid w:val="005A1B44"/>
    <w:rsid w:val="005A201B"/>
    <w:rsid w:val="005A2022"/>
    <w:rsid w:val="005A237D"/>
    <w:rsid w:val="005A262C"/>
    <w:rsid w:val="005A4F05"/>
    <w:rsid w:val="005A76EE"/>
    <w:rsid w:val="005A7DFB"/>
    <w:rsid w:val="005B1130"/>
    <w:rsid w:val="005B12C3"/>
    <w:rsid w:val="005B2F67"/>
    <w:rsid w:val="005B48F7"/>
    <w:rsid w:val="005B5CDA"/>
    <w:rsid w:val="005B7992"/>
    <w:rsid w:val="005B7BEA"/>
    <w:rsid w:val="005C2024"/>
    <w:rsid w:val="005C2F66"/>
    <w:rsid w:val="005C688A"/>
    <w:rsid w:val="005D1823"/>
    <w:rsid w:val="005D31B4"/>
    <w:rsid w:val="005D4BDD"/>
    <w:rsid w:val="005D519D"/>
    <w:rsid w:val="005D7796"/>
    <w:rsid w:val="005D7DC0"/>
    <w:rsid w:val="005E012A"/>
    <w:rsid w:val="005E2852"/>
    <w:rsid w:val="005E2DC8"/>
    <w:rsid w:val="005E6245"/>
    <w:rsid w:val="005E67F1"/>
    <w:rsid w:val="005F3F24"/>
    <w:rsid w:val="005F429B"/>
    <w:rsid w:val="005F5987"/>
    <w:rsid w:val="005F667E"/>
    <w:rsid w:val="005F6ABF"/>
    <w:rsid w:val="005F73B9"/>
    <w:rsid w:val="005F749D"/>
    <w:rsid w:val="005F79F9"/>
    <w:rsid w:val="006009A6"/>
    <w:rsid w:val="00601EDD"/>
    <w:rsid w:val="0060379F"/>
    <w:rsid w:val="00603E88"/>
    <w:rsid w:val="00605AEA"/>
    <w:rsid w:val="00605E7F"/>
    <w:rsid w:val="006113BB"/>
    <w:rsid w:val="00611472"/>
    <w:rsid w:val="006134C8"/>
    <w:rsid w:val="00614030"/>
    <w:rsid w:val="0061567E"/>
    <w:rsid w:val="006157B6"/>
    <w:rsid w:val="00615856"/>
    <w:rsid w:val="006175F0"/>
    <w:rsid w:val="00621C34"/>
    <w:rsid w:val="00622548"/>
    <w:rsid w:val="0062408A"/>
    <w:rsid w:val="006274A0"/>
    <w:rsid w:val="00627CE9"/>
    <w:rsid w:val="00630718"/>
    <w:rsid w:val="00630ACF"/>
    <w:rsid w:val="0063301C"/>
    <w:rsid w:val="006338BD"/>
    <w:rsid w:val="00635FDF"/>
    <w:rsid w:val="0063637A"/>
    <w:rsid w:val="00641E76"/>
    <w:rsid w:val="006439B2"/>
    <w:rsid w:val="0064445D"/>
    <w:rsid w:val="006472F0"/>
    <w:rsid w:val="00647557"/>
    <w:rsid w:val="00650FFE"/>
    <w:rsid w:val="00651CBB"/>
    <w:rsid w:val="006522AD"/>
    <w:rsid w:val="006540D5"/>
    <w:rsid w:val="0065422F"/>
    <w:rsid w:val="0065486F"/>
    <w:rsid w:val="00656C17"/>
    <w:rsid w:val="00657298"/>
    <w:rsid w:val="00661859"/>
    <w:rsid w:val="00663DC0"/>
    <w:rsid w:val="00663DC4"/>
    <w:rsid w:val="00670F27"/>
    <w:rsid w:val="00671B91"/>
    <w:rsid w:val="00672065"/>
    <w:rsid w:val="00672096"/>
    <w:rsid w:val="00672683"/>
    <w:rsid w:val="00673182"/>
    <w:rsid w:val="00674785"/>
    <w:rsid w:val="006747A4"/>
    <w:rsid w:val="00674B4A"/>
    <w:rsid w:val="006762CA"/>
    <w:rsid w:val="00677799"/>
    <w:rsid w:val="00677B80"/>
    <w:rsid w:val="00681221"/>
    <w:rsid w:val="0068466D"/>
    <w:rsid w:val="00685651"/>
    <w:rsid w:val="0068699F"/>
    <w:rsid w:val="0069069A"/>
    <w:rsid w:val="00691114"/>
    <w:rsid w:val="006924EC"/>
    <w:rsid w:val="006928CF"/>
    <w:rsid w:val="006946B8"/>
    <w:rsid w:val="0069588B"/>
    <w:rsid w:val="006A0432"/>
    <w:rsid w:val="006A1449"/>
    <w:rsid w:val="006A41CC"/>
    <w:rsid w:val="006A55FC"/>
    <w:rsid w:val="006A5CFA"/>
    <w:rsid w:val="006B0BD5"/>
    <w:rsid w:val="006B26E5"/>
    <w:rsid w:val="006B5551"/>
    <w:rsid w:val="006B6810"/>
    <w:rsid w:val="006C153F"/>
    <w:rsid w:val="006C35CC"/>
    <w:rsid w:val="006C46B6"/>
    <w:rsid w:val="006C68C9"/>
    <w:rsid w:val="006C76E1"/>
    <w:rsid w:val="006C7DE8"/>
    <w:rsid w:val="006D16D4"/>
    <w:rsid w:val="006D1942"/>
    <w:rsid w:val="006D2CA9"/>
    <w:rsid w:val="006D34AE"/>
    <w:rsid w:val="006D4122"/>
    <w:rsid w:val="006D5818"/>
    <w:rsid w:val="006E0538"/>
    <w:rsid w:val="006E5011"/>
    <w:rsid w:val="006E7328"/>
    <w:rsid w:val="006F0793"/>
    <w:rsid w:val="006F07AF"/>
    <w:rsid w:val="006F0934"/>
    <w:rsid w:val="006F0F8E"/>
    <w:rsid w:val="006F3060"/>
    <w:rsid w:val="006F4947"/>
    <w:rsid w:val="006F704E"/>
    <w:rsid w:val="007009FA"/>
    <w:rsid w:val="00701A1E"/>
    <w:rsid w:val="00702A64"/>
    <w:rsid w:val="00706DF0"/>
    <w:rsid w:val="00707828"/>
    <w:rsid w:val="0071072F"/>
    <w:rsid w:val="00711348"/>
    <w:rsid w:val="00711457"/>
    <w:rsid w:val="007123E3"/>
    <w:rsid w:val="0071329B"/>
    <w:rsid w:val="00713AC7"/>
    <w:rsid w:val="0072005B"/>
    <w:rsid w:val="00720B52"/>
    <w:rsid w:val="00720D57"/>
    <w:rsid w:val="00721D68"/>
    <w:rsid w:val="00722668"/>
    <w:rsid w:val="0072345E"/>
    <w:rsid w:val="007241F3"/>
    <w:rsid w:val="007249E0"/>
    <w:rsid w:val="00724B4D"/>
    <w:rsid w:val="0072513D"/>
    <w:rsid w:val="00730804"/>
    <w:rsid w:val="00730ED4"/>
    <w:rsid w:val="00732E3A"/>
    <w:rsid w:val="00733C61"/>
    <w:rsid w:val="007347BB"/>
    <w:rsid w:val="00736445"/>
    <w:rsid w:val="007365D3"/>
    <w:rsid w:val="007405DC"/>
    <w:rsid w:val="00744E79"/>
    <w:rsid w:val="00745E5A"/>
    <w:rsid w:val="00745EF0"/>
    <w:rsid w:val="00745F0B"/>
    <w:rsid w:val="00750544"/>
    <w:rsid w:val="00756099"/>
    <w:rsid w:val="007566AC"/>
    <w:rsid w:val="007579CF"/>
    <w:rsid w:val="00762191"/>
    <w:rsid w:val="0076343F"/>
    <w:rsid w:val="0076365A"/>
    <w:rsid w:val="007638F9"/>
    <w:rsid w:val="007642C6"/>
    <w:rsid w:val="00766443"/>
    <w:rsid w:val="007676C0"/>
    <w:rsid w:val="00770F2D"/>
    <w:rsid w:val="00777AA0"/>
    <w:rsid w:val="0078112B"/>
    <w:rsid w:val="00783710"/>
    <w:rsid w:val="00783997"/>
    <w:rsid w:val="00784F3A"/>
    <w:rsid w:val="007850F2"/>
    <w:rsid w:val="0078720D"/>
    <w:rsid w:val="00793240"/>
    <w:rsid w:val="00793BF3"/>
    <w:rsid w:val="00793D92"/>
    <w:rsid w:val="0079443E"/>
    <w:rsid w:val="0079507E"/>
    <w:rsid w:val="00795265"/>
    <w:rsid w:val="0079550F"/>
    <w:rsid w:val="007A0BB8"/>
    <w:rsid w:val="007A13D0"/>
    <w:rsid w:val="007A5283"/>
    <w:rsid w:val="007A6106"/>
    <w:rsid w:val="007A6D0E"/>
    <w:rsid w:val="007B007B"/>
    <w:rsid w:val="007B10C5"/>
    <w:rsid w:val="007B1597"/>
    <w:rsid w:val="007B35D4"/>
    <w:rsid w:val="007B37FB"/>
    <w:rsid w:val="007B3FBC"/>
    <w:rsid w:val="007B4D9E"/>
    <w:rsid w:val="007C1542"/>
    <w:rsid w:val="007C2995"/>
    <w:rsid w:val="007C3A6A"/>
    <w:rsid w:val="007C40D3"/>
    <w:rsid w:val="007C55C9"/>
    <w:rsid w:val="007C6966"/>
    <w:rsid w:val="007C7638"/>
    <w:rsid w:val="007D08DB"/>
    <w:rsid w:val="007D0BA9"/>
    <w:rsid w:val="007D154D"/>
    <w:rsid w:val="007D1624"/>
    <w:rsid w:val="007D20F4"/>
    <w:rsid w:val="007D26F8"/>
    <w:rsid w:val="007D45FE"/>
    <w:rsid w:val="007D57F1"/>
    <w:rsid w:val="007D61CF"/>
    <w:rsid w:val="007D7353"/>
    <w:rsid w:val="007D7D01"/>
    <w:rsid w:val="007E16C2"/>
    <w:rsid w:val="007E3400"/>
    <w:rsid w:val="007E3748"/>
    <w:rsid w:val="007E563C"/>
    <w:rsid w:val="007E692A"/>
    <w:rsid w:val="007E722A"/>
    <w:rsid w:val="007F0FC3"/>
    <w:rsid w:val="007F36F3"/>
    <w:rsid w:val="007F4930"/>
    <w:rsid w:val="007F5C09"/>
    <w:rsid w:val="00800175"/>
    <w:rsid w:val="00804528"/>
    <w:rsid w:val="008062A3"/>
    <w:rsid w:val="00810D02"/>
    <w:rsid w:val="008138B0"/>
    <w:rsid w:val="00820736"/>
    <w:rsid w:val="00821670"/>
    <w:rsid w:val="00821A0E"/>
    <w:rsid w:val="008224D5"/>
    <w:rsid w:val="00831C34"/>
    <w:rsid w:val="008324CF"/>
    <w:rsid w:val="008330A7"/>
    <w:rsid w:val="008402F4"/>
    <w:rsid w:val="00840548"/>
    <w:rsid w:val="00843A99"/>
    <w:rsid w:val="00844567"/>
    <w:rsid w:val="00844D9B"/>
    <w:rsid w:val="00844F33"/>
    <w:rsid w:val="00850299"/>
    <w:rsid w:val="008509E8"/>
    <w:rsid w:val="00850F37"/>
    <w:rsid w:val="00851342"/>
    <w:rsid w:val="00855B57"/>
    <w:rsid w:val="00856F68"/>
    <w:rsid w:val="008579AC"/>
    <w:rsid w:val="008614A6"/>
    <w:rsid w:val="00863744"/>
    <w:rsid w:val="0086680A"/>
    <w:rsid w:val="008723D7"/>
    <w:rsid w:val="00872FBD"/>
    <w:rsid w:val="00872FBF"/>
    <w:rsid w:val="00873E78"/>
    <w:rsid w:val="00874649"/>
    <w:rsid w:val="008762D9"/>
    <w:rsid w:val="00876926"/>
    <w:rsid w:val="00876F31"/>
    <w:rsid w:val="00877214"/>
    <w:rsid w:val="0088024E"/>
    <w:rsid w:val="00881014"/>
    <w:rsid w:val="008810B0"/>
    <w:rsid w:val="00881F01"/>
    <w:rsid w:val="0088305D"/>
    <w:rsid w:val="008858DC"/>
    <w:rsid w:val="008860D4"/>
    <w:rsid w:val="008867F4"/>
    <w:rsid w:val="00887828"/>
    <w:rsid w:val="00892393"/>
    <w:rsid w:val="0089320B"/>
    <w:rsid w:val="008957D4"/>
    <w:rsid w:val="00895A93"/>
    <w:rsid w:val="0089727A"/>
    <w:rsid w:val="008A0114"/>
    <w:rsid w:val="008A141D"/>
    <w:rsid w:val="008A56BD"/>
    <w:rsid w:val="008A5B98"/>
    <w:rsid w:val="008A62B6"/>
    <w:rsid w:val="008A68B1"/>
    <w:rsid w:val="008B1D6A"/>
    <w:rsid w:val="008B2DD9"/>
    <w:rsid w:val="008B3075"/>
    <w:rsid w:val="008B3DE4"/>
    <w:rsid w:val="008B4F85"/>
    <w:rsid w:val="008B54DB"/>
    <w:rsid w:val="008B5536"/>
    <w:rsid w:val="008B5E9A"/>
    <w:rsid w:val="008B65B6"/>
    <w:rsid w:val="008B6CD6"/>
    <w:rsid w:val="008B75D5"/>
    <w:rsid w:val="008C2D35"/>
    <w:rsid w:val="008C4EF6"/>
    <w:rsid w:val="008C4FB6"/>
    <w:rsid w:val="008C5C61"/>
    <w:rsid w:val="008C5D19"/>
    <w:rsid w:val="008D3324"/>
    <w:rsid w:val="008D3627"/>
    <w:rsid w:val="008D3BA4"/>
    <w:rsid w:val="008D46FD"/>
    <w:rsid w:val="008D648D"/>
    <w:rsid w:val="008E1CF0"/>
    <w:rsid w:val="008E73B6"/>
    <w:rsid w:val="008F0BFC"/>
    <w:rsid w:val="008F1970"/>
    <w:rsid w:val="008F274B"/>
    <w:rsid w:val="008F6A2A"/>
    <w:rsid w:val="008F7007"/>
    <w:rsid w:val="009013DF"/>
    <w:rsid w:val="00901C67"/>
    <w:rsid w:val="00904975"/>
    <w:rsid w:val="00904F17"/>
    <w:rsid w:val="00905989"/>
    <w:rsid w:val="00906CC2"/>
    <w:rsid w:val="0091146F"/>
    <w:rsid w:val="00912976"/>
    <w:rsid w:val="009136BF"/>
    <w:rsid w:val="00915DB1"/>
    <w:rsid w:val="00915FA1"/>
    <w:rsid w:val="00917356"/>
    <w:rsid w:val="00924265"/>
    <w:rsid w:val="009262F7"/>
    <w:rsid w:val="0092641B"/>
    <w:rsid w:val="00935FC9"/>
    <w:rsid w:val="0094278E"/>
    <w:rsid w:val="00943610"/>
    <w:rsid w:val="009438FC"/>
    <w:rsid w:val="00943ED2"/>
    <w:rsid w:val="00944842"/>
    <w:rsid w:val="00944A8F"/>
    <w:rsid w:val="00945AFA"/>
    <w:rsid w:val="009468BE"/>
    <w:rsid w:val="00947CE7"/>
    <w:rsid w:val="0095032B"/>
    <w:rsid w:val="009511E6"/>
    <w:rsid w:val="00951501"/>
    <w:rsid w:val="00952DEF"/>
    <w:rsid w:val="00953403"/>
    <w:rsid w:val="00956686"/>
    <w:rsid w:val="00957A9E"/>
    <w:rsid w:val="009600DA"/>
    <w:rsid w:val="009638B3"/>
    <w:rsid w:val="00963F94"/>
    <w:rsid w:val="00964173"/>
    <w:rsid w:val="00964EFF"/>
    <w:rsid w:val="009669A8"/>
    <w:rsid w:val="00970BC2"/>
    <w:rsid w:val="00973419"/>
    <w:rsid w:val="00973B29"/>
    <w:rsid w:val="009817DF"/>
    <w:rsid w:val="00983D27"/>
    <w:rsid w:val="00983E94"/>
    <w:rsid w:val="0098592E"/>
    <w:rsid w:val="009876DE"/>
    <w:rsid w:val="00990F25"/>
    <w:rsid w:val="00991B9C"/>
    <w:rsid w:val="009931F1"/>
    <w:rsid w:val="009948F7"/>
    <w:rsid w:val="00994D72"/>
    <w:rsid w:val="00995C10"/>
    <w:rsid w:val="009A34FE"/>
    <w:rsid w:val="009A4038"/>
    <w:rsid w:val="009A41E9"/>
    <w:rsid w:val="009A77AF"/>
    <w:rsid w:val="009B2B5D"/>
    <w:rsid w:val="009B4486"/>
    <w:rsid w:val="009B489B"/>
    <w:rsid w:val="009C1163"/>
    <w:rsid w:val="009C12E8"/>
    <w:rsid w:val="009C361E"/>
    <w:rsid w:val="009C3687"/>
    <w:rsid w:val="009C379B"/>
    <w:rsid w:val="009C3965"/>
    <w:rsid w:val="009C4010"/>
    <w:rsid w:val="009C54B8"/>
    <w:rsid w:val="009D06D5"/>
    <w:rsid w:val="009D0B0E"/>
    <w:rsid w:val="009D1259"/>
    <w:rsid w:val="009D176F"/>
    <w:rsid w:val="009D2584"/>
    <w:rsid w:val="009D2C75"/>
    <w:rsid w:val="009D2F0C"/>
    <w:rsid w:val="009D4E94"/>
    <w:rsid w:val="009D72B2"/>
    <w:rsid w:val="009D7428"/>
    <w:rsid w:val="009E040A"/>
    <w:rsid w:val="009E05A6"/>
    <w:rsid w:val="009E35C1"/>
    <w:rsid w:val="009E75BB"/>
    <w:rsid w:val="009E792A"/>
    <w:rsid w:val="009F003D"/>
    <w:rsid w:val="009F0411"/>
    <w:rsid w:val="009F1421"/>
    <w:rsid w:val="009F2E3C"/>
    <w:rsid w:val="009F4365"/>
    <w:rsid w:val="009F52B7"/>
    <w:rsid w:val="009F5356"/>
    <w:rsid w:val="009F554B"/>
    <w:rsid w:val="009F7F07"/>
    <w:rsid w:val="00A00573"/>
    <w:rsid w:val="00A019D6"/>
    <w:rsid w:val="00A01A5C"/>
    <w:rsid w:val="00A054FE"/>
    <w:rsid w:val="00A07154"/>
    <w:rsid w:val="00A07309"/>
    <w:rsid w:val="00A14BF3"/>
    <w:rsid w:val="00A170F0"/>
    <w:rsid w:val="00A209AD"/>
    <w:rsid w:val="00A2268F"/>
    <w:rsid w:val="00A22699"/>
    <w:rsid w:val="00A252CA"/>
    <w:rsid w:val="00A265AC"/>
    <w:rsid w:val="00A26AE0"/>
    <w:rsid w:val="00A30FCA"/>
    <w:rsid w:val="00A32629"/>
    <w:rsid w:val="00A32761"/>
    <w:rsid w:val="00A33F19"/>
    <w:rsid w:val="00A33F81"/>
    <w:rsid w:val="00A351E6"/>
    <w:rsid w:val="00A35968"/>
    <w:rsid w:val="00A36455"/>
    <w:rsid w:val="00A368E2"/>
    <w:rsid w:val="00A37BFA"/>
    <w:rsid w:val="00A40097"/>
    <w:rsid w:val="00A40E02"/>
    <w:rsid w:val="00A43579"/>
    <w:rsid w:val="00A4592A"/>
    <w:rsid w:val="00A47A27"/>
    <w:rsid w:val="00A51B08"/>
    <w:rsid w:val="00A51D4A"/>
    <w:rsid w:val="00A52B4D"/>
    <w:rsid w:val="00A54E22"/>
    <w:rsid w:val="00A565F3"/>
    <w:rsid w:val="00A57893"/>
    <w:rsid w:val="00A57E2F"/>
    <w:rsid w:val="00A61044"/>
    <w:rsid w:val="00A61AEE"/>
    <w:rsid w:val="00A62367"/>
    <w:rsid w:val="00A639CD"/>
    <w:rsid w:val="00A65147"/>
    <w:rsid w:val="00A71EAA"/>
    <w:rsid w:val="00A74156"/>
    <w:rsid w:val="00A75367"/>
    <w:rsid w:val="00A75775"/>
    <w:rsid w:val="00A801FE"/>
    <w:rsid w:val="00A8020E"/>
    <w:rsid w:val="00A80E38"/>
    <w:rsid w:val="00A8392D"/>
    <w:rsid w:val="00A86289"/>
    <w:rsid w:val="00A864DD"/>
    <w:rsid w:val="00A87106"/>
    <w:rsid w:val="00A87E38"/>
    <w:rsid w:val="00A94709"/>
    <w:rsid w:val="00A947AC"/>
    <w:rsid w:val="00A94BD7"/>
    <w:rsid w:val="00A95711"/>
    <w:rsid w:val="00A95A76"/>
    <w:rsid w:val="00A96187"/>
    <w:rsid w:val="00A971D2"/>
    <w:rsid w:val="00A97BBF"/>
    <w:rsid w:val="00AA10B7"/>
    <w:rsid w:val="00AA5E62"/>
    <w:rsid w:val="00AA673C"/>
    <w:rsid w:val="00AB0DB9"/>
    <w:rsid w:val="00AB3E2F"/>
    <w:rsid w:val="00AB6FDA"/>
    <w:rsid w:val="00AC0020"/>
    <w:rsid w:val="00AC242D"/>
    <w:rsid w:val="00AC4916"/>
    <w:rsid w:val="00AC51C5"/>
    <w:rsid w:val="00AC6746"/>
    <w:rsid w:val="00AC7170"/>
    <w:rsid w:val="00AD0C85"/>
    <w:rsid w:val="00AD3A54"/>
    <w:rsid w:val="00AD3ADB"/>
    <w:rsid w:val="00AD3EE2"/>
    <w:rsid w:val="00AD3F58"/>
    <w:rsid w:val="00AE022F"/>
    <w:rsid w:val="00AE0567"/>
    <w:rsid w:val="00AE1289"/>
    <w:rsid w:val="00AE2D8A"/>
    <w:rsid w:val="00AE321B"/>
    <w:rsid w:val="00AE33B9"/>
    <w:rsid w:val="00AE5C7F"/>
    <w:rsid w:val="00AE7012"/>
    <w:rsid w:val="00AE70CA"/>
    <w:rsid w:val="00AF02AB"/>
    <w:rsid w:val="00AF0491"/>
    <w:rsid w:val="00AF05FA"/>
    <w:rsid w:val="00AF0648"/>
    <w:rsid w:val="00AF2099"/>
    <w:rsid w:val="00AF2784"/>
    <w:rsid w:val="00AF394D"/>
    <w:rsid w:val="00AF4140"/>
    <w:rsid w:val="00AF5FBA"/>
    <w:rsid w:val="00AF6766"/>
    <w:rsid w:val="00AF6E89"/>
    <w:rsid w:val="00AF71D9"/>
    <w:rsid w:val="00B003B2"/>
    <w:rsid w:val="00B01FC7"/>
    <w:rsid w:val="00B04FFE"/>
    <w:rsid w:val="00B05289"/>
    <w:rsid w:val="00B067FF"/>
    <w:rsid w:val="00B07EC6"/>
    <w:rsid w:val="00B10EE2"/>
    <w:rsid w:val="00B12BCD"/>
    <w:rsid w:val="00B12C4C"/>
    <w:rsid w:val="00B14C8A"/>
    <w:rsid w:val="00B17495"/>
    <w:rsid w:val="00B24BB8"/>
    <w:rsid w:val="00B30F0C"/>
    <w:rsid w:val="00B31DF8"/>
    <w:rsid w:val="00B33D62"/>
    <w:rsid w:val="00B34535"/>
    <w:rsid w:val="00B34CD6"/>
    <w:rsid w:val="00B3525B"/>
    <w:rsid w:val="00B35CC7"/>
    <w:rsid w:val="00B4014A"/>
    <w:rsid w:val="00B4019E"/>
    <w:rsid w:val="00B40D80"/>
    <w:rsid w:val="00B41DAB"/>
    <w:rsid w:val="00B42188"/>
    <w:rsid w:val="00B442C1"/>
    <w:rsid w:val="00B4481E"/>
    <w:rsid w:val="00B47841"/>
    <w:rsid w:val="00B51F04"/>
    <w:rsid w:val="00B5247B"/>
    <w:rsid w:val="00B527C1"/>
    <w:rsid w:val="00B5433C"/>
    <w:rsid w:val="00B550D0"/>
    <w:rsid w:val="00B56BDF"/>
    <w:rsid w:val="00B60582"/>
    <w:rsid w:val="00B611FC"/>
    <w:rsid w:val="00B61A9B"/>
    <w:rsid w:val="00B62216"/>
    <w:rsid w:val="00B645D8"/>
    <w:rsid w:val="00B64943"/>
    <w:rsid w:val="00B667CE"/>
    <w:rsid w:val="00B67C1F"/>
    <w:rsid w:val="00B71947"/>
    <w:rsid w:val="00B74877"/>
    <w:rsid w:val="00B752EB"/>
    <w:rsid w:val="00B75DD0"/>
    <w:rsid w:val="00B76802"/>
    <w:rsid w:val="00B80CCB"/>
    <w:rsid w:val="00B80D12"/>
    <w:rsid w:val="00B80F35"/>
    <w:rsid w:val="00B82ACC"/>
    <w:rsid w:val="00B8798D"/>
    <w:rsid w:val="00B9213B"/>
    <w:rsid w:val="00B92DED"/>
    <w:rsid w:val="00B9442D"/>
    <w:rsid w:val="00B95428"/>
    <w:rsid w:val="00B9717D"/>
    <w:rsid w:val="00BA1036"/>
    <w:rsid w:val="00BA2743"/>
    <w:rsid w:val="00BA5152"/>
    <w:rsid w:val="00BA5DF0"/>
    <w:rsid w:val="00BA5F65"/>
    <w:rsid w:val="00BA6200"/>
    <w:rsid w:val="00BB38FE"/>
    <w:rsid w:val="00BB5420"/>
    <w:rsid w:val="00BB5935"/>
    <w:rsid w:val="00BB598C"/>
    <w:rsid w:val="00BB662E"/>
    <w:rsid w:val="00BB780B"/>
    <w:rsid w:val="00BC0082"/>
    <w:rsid w:val="00BC2F08"/>
    <w:rsid w:val="00BC310D"/>
    <w:rsid w:val="00BC3913"/>
    <w:rsid w:val="00BC57B0"/>
    <w:rsid w:val="00BD014A"/>
    <w:rsid w:val="00BD01EF"/>
    <w:rsid w:val="00BD1560"/>
    <w:rsid w:val="00BD1D63"/>
    <w:rsid w:val="00BD452A"/>
    <w:rsid w:val="00BD7A22"/>
    <w:rsid w:val="00BD7E23"/>
    <w:rsid w:val="00BE11D2"/>
    <w:rsid w:val="00BE238C"/>
    <w:rsid w:val="00BE5900"/>
    <w:rsid w:val="00BE7CC8"/>
    <w:rsid w:val="00BF4240"/>
    <w:rsid w:val="00BF6E19"/>
    <w:rsid w:val="00BF7A80"/>
    <w:rsid w:val="00C00970"/>
    <w:rsid w:val="00C0523C"/>
    <w:rsid w:val="00C076BB"/>
    <w:rsid w:val="00C07F84"/>
    <w:rsid w:val="00C1148C"/>
    <w:rsid w:val="00C13824"/>
    <w:rsid w:val="00C13A6B"/>
    <w:rsid w:val="00C162D6"/>
    <w:rsid w:val="00C23472"/>
    <w:rsid w:val="00C2401C"/>
    <w:rsid w:val="00C24413"/>
    <w:rsid w:val="00C2533B"/>
    <w:rsid w:val="00C273DF"/>
    <w:rsid w:val="00C31559"/>
    <w:rsid w:val="00C33E8C"/>
    <w:rsid w:val="00C349E6"/>
    <w:rsid w:val="00C43862"/>
    <w:rsid w:val="00C46548"/>
    <w:rsid w:val="00C466ED"/>
    <w:rsid w:val="00C4715D"/>
    <w:rsid w:val="00C4760C"/>
    <w:rsid w:val="00C47681"/>
    <w:rsid w:val="00C4786E"/>
    <w:rsid w:val="00C507FE"/>
    <w:rsid w:val="00C51912"/>
    <w:rsid w:val="00C53228"/>
    <w:rsid w:val="00C53A95"/>
    <w:rsid w:val="00C5433A"/>
    <w:rsid w:val="00C543AA"/>
    <w:rsid w:val="00C54E8E"/>
    <w:rsid w:val="00C56B52"/>
    <w:rsid w:val="00C577DD"/>
    <w:rsid w:val="00C61428"/>
    <w:rsid w:val="00C6186B"/>
    <w:rsid w:val="00C61ACA"/>
    <w:rsid w:val="00C64A5D"/>
    <w:rsid w:val="00C650AB"/>
    <w:rsid w:val="00C65653"/>
    <w:rsid w:val="00C6568F"/>
    <w:rsid w:val="00C71712"/>
    <w:rsid w:val="00C7205B"/>
    <w:rsid w:val="00C72696"/>
    <w:rsid w:val="00C72971"/>
    <w:rsid w:val="00C730D3"/>
    <w:rsid w:val="00C746AC"/>
    <w:rsid w:val="00C74DAE"/>
    <w:rsid w:val="00C7525C"/>
    <w:rsid w:val="00C770D0"/>
    <w:rsid w:val="00C778BC"/>
    <w:rsid w:val="00C77CD2"/>
    <w:rsid w:val="00C77D0D"/>
    <w:rsid w:val="00C809AC"/>
    <w:rsid w:val="00C80D23"/>
    <w:rsid w:val="00C80F4A"/>
    <w:rsid w:val="00C8476D"/>
    <w:rsid w:val="00C853C4"/>
    <w:rsid w:val="00C87F2D"/>
    <w:rsid w:val="00C90891"/>
    <w:rsid w:val="00C9280E"/>
    <w:rsid w:val="00C932DC"/>
    <w:rsid w:val="00C939BD"/>
    <w:rsid w:val="00C93F2C"/>
    <w:rsid w:val="00C952B4"/>
    <w:rsid w:val="00C954E7"/>
    <w:rsid w:val="00C95F46"/>
    <w:rsid w:val="00C974BB"/>
    <w:rsid w:val="00C97A6D"/>
    <w:rsid w:val="00CA0B60"/>
    <w:rsid w:val="00CA0D3D"/>
    <w:rsid w:val="00CA15F0"/>
    <w:rsid w:val="00CA268F"/>
    <w:rsid w:val="00CA3BCE"/>
    <w:rsid w:val="00CA470F"/>
    <w:rsid w:val="00CA55CA"/>
    <w:rsid w:val="00CA60D5"/>
    <w:rsid w:val="00CB45F5"/>
    <w:rsid w:val="00CB489C"/>
    <w:rsid w:val="00CB508C"/>
    <w:rsid w:val="00CB529E"/>
    <w:rsid w:val="00CB5F83"/>
    <w:rsid w:val="00CB683F"/>
    <w:rsid w:val="00CC081D"/>
    <w:rsid w:val="00CC1330"/>
    <w:rsid w:val="00CC2727"/>
    <w:rsid w:val="00CC6F85"/>
    <w:rsid w:val="00CD3488"/>
    <w:rsid w:val="00CD3E2B"/>
    <w:rsid w:val="00CD3F8E"/>
    <w:rsid w:val="00CD5CE8"/>
    <w:rsid w:val="00CD672A"/>
    <w:rsid w:val="00CD6F3C"/>
    <w:rsid w:val="00CE0653"/>
    <w:rsid w:val="00CE3945"/>
    <w:rsid w:val="00CE4E45"/>
    <w:rsid w:val="00CF1FAC"/>
    <w:rsid w:val="00CF3488"/>
    <w:rsid w:val="00CF40C8"/>
    <w:rsid w:val="00CF4324"/>
    <w:rsid w:val="00CF4533"/>
    <w:rsid w:val="00CF5B8E"/>
    <w:rsid w:val="00CF67C9"/>
    <w:rsid w:val="00CF6FB7"/>
    <w:rsid w:val="00CF78B5"/>
    <w:rsid w:val="00CF7F97"/>
    <w:rsid w:val="00D00A28"/>
    <w:rsid w:val="00D01452"/>
    <w:rsid w:val="00D023F5"/>
    <w:rsid w:val="00D03EDE"/>
    <w:rsid w:val="00D0623F"/>
    <w:rsid w:val="00D07255"/>
    <w:rsid w:val="00D075F8"/>
    <w:rsid w:val="00D2057B"/>
    <w:rsid w:val="00D20BAE"/>
    <w:rsid w:val="00D20EC9"/>
    <w:rsid w:val="00D21EE3"/>
    <w:rsid w:val="00D221A8"/>
    <w:rsid w:val="00D223F9"/>
    <w:rsid w:val="00D23CBD"/>
    <w:rsid w:val="00D25403"/>
    <w:rsid w:val="00D25406"/>
    <w:rsid w:val="00D26D56"/>
    <w:rsid w:val="00D2722E"/>
    <w:rsid w:val="00D272A0"/>
    <w:rsid w:val="00D272DD"/>
    <w:rsid w:val="00D27CC9"/>
    <w:rsid w:val="00D30F00"/>
    <w:rsid w:val="00D32AA7"/>
    <w:rsid w:val="00D34517"/>
    <w:rsid w:val="00D36116"/>
    <w:rsid w:val="00D37859"/>
    <w:rsid w:val="00D47E15"/>
    <w:rsid w:val="00D507EA"/>
    <w:rsid w:val="00D5266D"/>
    <w:rsid w:val="00D53949"/>
    <w:rsid w:val="00D5489A"/>
    <w:rsid w:val="00D54C3C"/>
    <w:rsid w:val="00D55688"/>
    <w:rsid w:val="00D55A73"/>
    <w:rsid w:val="00D57D23"/>
    <w:rsid w:val="00D609DC"/>
    <w:rsid w:val="00D6189D"/>
    <w:rsid w:val="00D618F5"/>
    <w:rsid w:val="00D61B46"/>
    <w:rsid w:val="00D63AEB"/>
    <w:rsid w:val="00D66EB0"/>
    <w:rsid w:val="00D66FAE"/>
    <w:rsid w:val="00D7175E"/>
    <w:rsid w:val="00D71979"/>
    <w:rsid w:val="00D71E0A"/>
    <w:rsid w:val="00D733EF"/>
    <w:rsid w:val="00D76CAE"/>
    <w:rsid w:val="00D814E0"/>
    <w:rsid w:val="00D81FEA"/>
    <w:rsid w:val="00D82BF8"/>
    <w:rsid w:val="00D83910"/>
    <w:rsid w:val="00D84CCD"/>
    <w:rsid w:val="00D925AF"/>
    <w:rsid w:val="00D94F51"/>
    <w:rsid w:val="00D96C93"/>
    <w:rsid w:val="00D96CA4"/>
    <w:rsid w:val="00D97096"/>
    <w:rsid w:val="00D972B0"/>
    <w:rsid w:val="00DA00CE"/>
    <w:rsid w:val="00DA0B6A"/>
    <w:rsid w:val="00DA53B8"/>
    <w:rsid w:val="00DA5FF9"/>
    <w:rsid w:val="00DA63BA"/>
    <w:rsid w:val="00DA6956"/>
    <w:rsid w:val="00DA6EFD"/>
    <w:rsid w:val="00DA6F60"/>
    <w:rsid w:val="00DA75B7"/>
    <w:rsid w:val="00DA7E70"/>
    <w:rsid w:val="00DB1232"/>
    <w:rsid w:val="00DB5550"/>
    <w:rsid w:val="00DB5A64"/>
    <w:rsid w:val="00DB6F48"/>
    <w:rsid w:val="00DB7D6D"/>
    <w:rsid w:val="00DC0034"/>
    <w:rsid w:val="00DC16B7"/>
    <w:rsid w:val="00DC17A7"/>
    <w:rsid w:val="00DC1841"/>
    <w:rsid w:val="00DC4365"/>
    <w:rsid w:val="00DD21F0"/>
    <w:rsid w:val="00DD2C4B"/>
    <w:rsid w:val="00DD72E6"/>
    <w:rsid w:val="00DE1045"/>
    <w:rsid w:val="00DE2E70"/>
    <w:rsid w:val="00DE397D"/>
    <w:rsid w:val="00DE4D18"/>
    <w:rsid w:val="00DE5445"/>
    <w:rsid w:val="00DE566F"/>
    <w:rsid w:val="00DE6995"/>
    <w:rsid w:val="00DF0A5F"/>
    <w:rsid w:val="00DF1EA9"/>
    <w:rsid w:val="00DF2350"/>
    <w:rsid w:val="00DF3A36"/>
    <w:rsid w:val="00DF4472"/>
    <w:rsid w:val="00DF5601"/>
    <w:rsid w:val="00DF7EDD"/>
    <w:rsid w:val="00E00A33"/>
    <w:rsid w:val="00E0227C"/>
    <w:rsid w:val="00E025B6"/>
    <w:rsid w:val="00E031BE"/>
    <w:rsid w:val="00E03767"/>
    <w:rsid w:val="00E041F5"/>
    <w:rsid w:val="00E05238"/>
    <w:rsid w:val="00E05B03"/>
    <w:rsid w:val="00E066A6"/>
    <w:rsid w:val="00E06D32"/>
    <w:rsid w:val="00E073C5"/>
    <w:rsid w:val="00E07CDB"/>
    <w:rsid w:val="00E07EBF"/>
    <w:rsid w:val="00E1458A"/>
    <w:rsid w:val="00E1497A"/>
    <w:rsid w:val="00E14F40"/>
    <w:rsid w:val="00E16A59"/>
    <w:rsid w:val="00E16C7B"/>
    <w:rsid w:val="00E17410"/>
    <w:rsid w:val="00E22926"/>
    <w:rsid w:val="00E24BBB"/>
    <w:rsid w:val="00E262D3"/>
    <w:rsid w:val="00E274C6"/>
    <w:rsid w:val="00E3694D"/>
    <w:rsid w:val="00E374F0"/>
    <w:rsid w:val="00E37848"/>
    <w:rsid w:val="00E37AC2"/>
    <w:rsid w:val="00E37D8E"/>
    <w:rsid w:val="00E37E17"/>
    <w:rsid w:val="00E417C8"/>
    <w:rsid w:val="00E43771"/>
    <w:rsid w:val="00E45669"/>
    <w:rsid w:val="00E45791"/>
    <w:rsid w:val="00E47F76"/>
    <w:rsid w:val="00E50828"/>
    <w:rsid w:val="00E51527"/>
    <w:rsid w:val="00E51FBC"/>
    <w:rsid w:val="00E52D81"/>
    <w:rsid w:val="00E54792"/>
    <w:rsid w:val="00E56489"/>
    <w:rsid w:val="00E56A07"/>
    <w:rsid w:val="00E60CE0"/>
    <w:rsid w:val="00E62EAA"/>
    <w:rsid w:val="00E648C5"/>
    <w:rsid w:val="00E66681"/>
    <w:rsid w:val="00E66F4E"/>
    <w:rsid w:val="00E671B5"/>
    <w:rsid w:val="00E679A6"/>
    <w:rsid w:val="00E70BFD"/>
    <w:rsid w:val="00E7123B"/>
    <w:rsid w:val="00E7214E"/>
    <w:rsid w:val="00E73F5B"/>
    <w:rsid w:val="00E744F1"/>
    <w:rsid w:val="00E75770"/>
    <w:rsid w:val="00E75A5F"/>
    <w:rsid w:val="00E76939"/>
    <w:rsid w:val="00E76CD5"/>
    <w:rsid w:val="00E7728A"/>
    <w:rsid w:val="00E773E5"/>
    <w:rsid w:val="00E77751"/>
    <w:rsid w:val="00E82EA5"/>
    <w:rsid w:val="00E84D79"/>
    <w:rsid w:val="00E8682F"/>
    <w:rsid w:val="00E877A8"/>
    <w:rsid w:val="00E91B15"/>
    <w:rsid w:val="00E94470"/>
    <w:rsid w:val="00E945B3"/>
    <w:rsid w:val="00E97C02"/>
    <w:rsid w:val="00EA236D"/>
    <w:rsid w:val="00EA267B"/>
    <w:rsid w:val="00EA3940"/>
    <w:rsid w:val="00EA419D"/>
    <w:rsid w:val="00EA5E19"/>
    <w:rsid w:val="00EB4D03"/>
    <w:rsid w:val="00EB5083"/>
    <w:rsid w:val="00EC1452"/>
    <w:rsid w:val="00EC167C"/>
    <w:rsid w:val="00EC1B3B"/>
    <w:rsid w:val="00EC5023"/>
    <w:rsid w:val="00EC54D2"/>
    <w:rsid w:val="00EC6FE2"/>
    <w:rsid w:val="00ED07FE"/>
    <w:rsid w:val="00ED214E"/>
    <w:rsid w:val="00ED439F"/>
    <w:rsid w:val="00EE0129"/>
    <w:rsid w:val="00EE0CCD"/>
    <w:rsid w:val="00EE15A5"/>
    <w:rsid w:val="00EE1727"/>
    <w:rsid w:val="00EE56E8"/>
    <w:rsid w:val="00EE5CBE"/>
    <w:rsid w:val="00EE6676"/>
    <w:rsid w:val="00EE7521"/>
    <w:rsid w:val="00EF031C"/>
    <w:rsid w:val="00EF0FC6"/>
    <w:rsid w:val="00EF21BA"/>
    <w:rsid w:val="00EF309A"/>
    <w:rsid w:val="00EF3209"/>
    <w:rsid w:val="00EF4438"/>
    <w:rsid w:val="00EF693B"/>
    <w:rsid w:val="00EF6A94"/>
    <w:rsid w:val="00EF7410"/>
    <w:rsid w:val="00F00718"/>
    <w:rsid w:val="00F02F71"/>
    <w:rsid w:val="00F04163"/>
    <w:rsid w:val="00F06156"/>
    <w:rsid w:val="00F06CB1"/>
    <w:rsid w:val="00F07CEC"/>
    <w:rsid w:val="00F10D91"/>
    <w:rsid w:val="00F1480A"/>
    <w:rsid w:val="00F14E6F"/>
    <w:rsid w:val="00F1576D"/>
    <w:rsid w:val="00F15D4E"/>
    <w:rsid w:val="00F15EF1"/>
    <w:rsid w:val="00F17344"/>
    <w:rsid w:val="00F2165D"/>
    <w:rsid w:val="00F21B55"/>
    <w:rsid w:val="00F22237"/>
    <w:rsid w:val="00F23753"/>
    <w:rsid w:val="00F240E9"/>
    <w:rsid w:val="00F24202"/>
    <w:rsid w:val="00F26874"/>
    <w:rsid w:val="00F3175F"/>
    <w:rsid w:val="00F32478"/>
    <w:rsid w:val="00F33D10"/>
    <w:rsid w:val="00F345E4"/>
    <w:rsid w:val="00F35875"/>
    <w:rsid w:val="00F3616B"/>
    <w:rsid w:val="00F4053E"/>
    <w:rsid w:val="00F40B7D"/>
    <w:rsid w:val="00F42121"/>
    <w:rsid w:val="00F44586"/>
    <w:rsid w:val="00F449C1"/>
    <w:rsid w:val="00F47AA6"/>
    <w:rsid w:val="00F5005A"/>
    <w:rsid w:val="00F505AD"/>
    <w:rsid w:val="00F50B62"/>
    <w:rsid w:val="00F51739"/>
    <w:rsid w:val="00F532BF"/>
    <w:rsid w:val="00F543CA"/>
    <w:rsid w:val="00F5526D"/>
    <w:rsid w:val="00F55A40"/>
    <w:rsid w:val="00F5637C"/>
    <w:rsid w:val="00F573CD"/>
    <w:rsid w:val="00F57D94"/>
    <w:rsid w:val="00F60CDF"/>
    <w:rsid w:val="00F622B0"/>
    <w:rsid w:val="00F64C8D"/>
    <w:rsid w:val="00F66528"/>
    <w:rsid w:val="00F66893"/>
    <w:rsid w:val="00F71CC5"/>
    <w:rsid w:val="00F7489E"/>
    <w:rsid w:val="00F756F3"/>
    <w:rsid w:val="00F76079"/>
    <w:rsid w:val="00F761E6"/>
    <w:rsid w:val="00F7746E"/>
    <w:rsid w:val="00F817B7"/>
    <w:rsid w:val="00F854CC"/>
    <w:rsid w:val="00F866A4"/>
    <w:rsid w:val="00F87501"/>
    <w:rsid w:val="00F93329"/>
    <w:rsid w:val="00F950A4"/>
    <w:rsid w:val="00F96341"/>
    <w:rsid w:val="00F96B30"/>
    <w:rsid w:val="00F96E41"/>
    <w:rsid w:val="00F9771C"/>
    <w:rsid w:val="00FA2F7D"/>
    <w:rsid w:val="00FA2FE3"/>
    <w:rsid w:val="00FA72DE"/>
    <w:rsid w:val="00FB139B"/>
    <w:rsid w:val="00FB2641"/>
    <w:rsid w:val="00FB2FB1"/>
    <w:rsid w:val="00FB69D7"/>
    <w:rsid w:val="00FC0738"/>
    <w:rsid w:val="00FC0C9A"/>
    <w:rsid w:val="00FC0FD2"/>
    <w:rsid w:val="00FC256B"/>
    <w:rsid w:val="00FC3529"/>
    <w:rsid w:val="00FC42CE"/>
    <w:rsid w:val="00FC6683"/>
    <w:rsid w:val="00FC728A"/>
    <w:rsid w:val="00FC7F06"/>
    <w:rsid w:val="00FD49C2"/>
    <w:rsid w:val="00FD4D71"/>
    <w:rsid w:val="00FD65F8"/>
    <w:rsid w:val="00FD7438"/>
    <w:rsid w:val="00FD7779"/>
    <w:rsid w:val="00FE1AFD"/>
    <w:rsid w:val="00FE356A"/>
    <w:rsid w:val="00FE3836"/>
    <w:rsid w:val="00FE6388"/>
    <w:rsid w:val="00FE71EC"/>
    <w:rsid w:val="00FF0D66"/>
    <w:rsid w:val="00FF3C58"/>
    <w:rsid w:val="00FF5243"/>
    <w:rsid w:val="00FF6E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fill="f" fillcolor="white" stroke="f">
      <v:fill color="white" on="f"/>
      <v:stroke on="f"/>
      <o:colormru v:ext="edit" colors="#99f,#9ecdf8,#f00000,#00326e"/>
      <o:colormenu v:ext="edit" fillcolor="#00326e" strokecolor="none"/>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66F4E"/>
    <w:pPr>
      <w:widowControl w:val="0"/>
      <w:jc w:val="both"/>
    </w:pPr>
    <w:rPr>
      <w:kern w:val="2"/>
      <w:sz w:val="21"/>
      <w:szCs w:val="24"/>
    </w:rPr>
  </w:style>
  <w:style w:type="paragraph" w:styleId="1">
    <w:name w:val="heading 1"/>
    <w:basedOn w:val="a0"/>
    <w:next w:val="a0"/>
    <w:qFormat/>
    <w:rsid w:val="00E00A33"/>
    <w:pPr>
      <w:keepNext/>
      <w:keepLines/>
      <w:spacing w:before="340" w:after="330" w:line="578" w:lineRule="auto"/>
      <w:outlineLvl w:val="0"/>
    </w:pPr>
    <w:rPr>
      <w:b/>
      <w:bCs/>
      <w:kern w:val="44"/>
      <w:sz w:val="44"/>
      <w:szCs w:val="44"/>
    </w:rPr>
  </w:style>
  <w:style w:type="paragraph" w:styleId="2">
    <w:name w:val="heading 2"/>
    <w:basedOn w:val="a0"/>
    <w:next w:val="a0"/>
    <w:qFormat/>
    <w:rsid w:val="00E00A33"/>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qFormat/>
    <w:rsid w:val="00C577DD"/>
    <w:pPr>
      <w:keepNext/>
      <w:keepLines/>
      <w:spacing w:before="260" w:after="260" w:line="416" w:lineRule="auto"/>
      <w:outlineLvl w:val="2"/>
    </w:pPr>
    <w:rPr>
      <w:b/>
      <w:bCs/>
      <w:sz w:val="32"/>
      <w:szCs w:val="32"/>
    </w:rPr>
  </w:style>
  <w:style w:type="paragraph" w:styleId="5">
    <w:name w:val="heading 5"/>
    <w:basedOn w:val="a0"/>
    <w:next w:val="a0"/>
    <w:qFormat/>
    <w:rsid w:val="00B75DD0"/>
    <w:pPr>
      <w:keepNext/>
      <w:jc w:val="center"/>
      <w:outlineLvl w:val="4"/>
    </w:pPr>
    <w:rPr>
      <w:rFonts w:ascii="Arial" w:eastAsia="黑体" w:hAnsi="Arial" w:cs="Arial"/>
      <w:b/>
      <w:bCs/>
      <w:kern w:val="0"/>
      <w:sz w:val="18"/>
      <w:szCs w:val="1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F157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Char"/>
    <w:rsid w:val="00021EF5"/>
    <w:pPr>
      <w:tabs>
        <w:tab w:val="center" w:pos="4153"/>
        <w:tab w:val="right" w:pos="8306"/>
      </w:tabs>
      <w:snapToGrid w:val="0"/>
      <w:jc w:val="center"/>
    </w:pPr>
    <w:rPr>
      <w:sz w:val="18"/>
      <w:szCs w:val="18"/>
    </w:rPr>
  </w:style>
  <w:style w:type="paragraph" w:styleId="a6">
    <w:name w:val="footer"/>
    <w:basedOn w:val="a0"/>
    <w:link w:val="Char0"/>
    <w:rsid w:val="00021EF5"/>
    <w:pPr>
      <w:tabs>
        <w:tab w:val="center" w:pos="4153"/>
        <w:tab w:val="right" w:pos="8306"/>
      </w:tabs>
      <w:snapToGrid w:val="0"/>
      <w:jc w:val="left"/>
    </w:pPr>
    <w:rPr>
      <w:sz w:val="18"/>
      <w:szCs w:val="18"/>
    </w:rPr>
  </w:style>
  <w:style w:type="paragraph" w:customStyle="1" w:styleId="a">
    <w:name w:val="封面正文"/>
    <w:basedOn w:val="a0"/>
    <w:rsid w:val="00401122"/>
    <w:pPr>
      <w:numPr>
        <w:numId w:val="3"/>
      </w:numPr>
      <w:spacing w:afterLines="50" w:line="300" w:lineRule="exact"/>
    </w:pPr>
    <w:rPr>
      <w:rFonts w:ascii="Arial" w:eastAsia="黑体" w:hAnsi="Arial"/>
      <w:b/>
      <w:sz w:val="18"/>
      <w:szCs w:val="21"/>
    </w:rPr>
  </w:style>
  <w:style w:type="paragraph" w:customStyle="1" w:styleId="a7">
    <w:name w:val="封边字"/>
    <w:basedOn w:val="a0"/>
    <w:link w:val="Char1"/>
    <w:rsid w:val="00AD3F58"/>
    <w:pPr>
      <w:tabs>
        <w:tab w:val="right" w:pos="3119"/>
      </w:tabs>
      <w:spacing w:line="240" w:lineRule="exact"/>
    </w:pPr>
    <w:rPr>
      <w:rFonts w:ascii="Arial" w:eastAsia="楷体_GB2312" w:hAnsi="Arial" w:cs="Arial"/>
      <w:color w:val="000000"/>
      <w:sz w:val="18"/>
      <w:szCs w:val="16"/>
    </w:rPr>
  </w:style>
  <w:style w:type="character" w:customStyle="1" w:styleId="Char1">
    <w:name w:val="封边字 Char"/>
    <w:basedOn w:val="a1"/>
    <w:link w:val="a7"/>
    <w:rsid w:val="00AD3F58"/>
    <w:rPr>
      <w:rFonts w:ascii="Arial" w:eastAsia="楷体_GB2312" w:hAnsi="Arial" w:cs="Arial"/>
      <w:color w:val="000000"/>
      <w:kern w:val="2"/>
      <w:sz w:val="18"/>
      <w:szCs w:val="16"/>
      <w:lang w:val="en-US" w:eastAsia="zh-CN" w:bidi="ar-SA"/>
    </w:rPr>
  </w:style>
  <w:style w:type="paragraph" w:customStyle="1" w:styleId="a8">
    <w:name w:val="内正文"/>
    <w:basedOn w:val="a0"/>
    <w:rsid w:val="00153924"/>
    <w:pPr>
      <w:spacing w:afterLines="50" w:line="360" w:lineRule="exact"/>
      <w:ind w:leftChars="1350" w:left="2835"/>
    </w:pPr>
    <w:rPr>
      <w:rFonts w:ascii="宋体" w:hAnsi="宋体"/>
      <w:szCs w:val="21"/>
    </w:rPr>
  </w:style>
  <w:style w:type="paragraph" w:styleId="a9">
    <w:name w:val="Balloon Text"/>
    <w:basedOn w:val="a0"/>
    <w:rsid w:val="00B75DD0"/>
    <w:rPr>
      <w:rFonts w:ascii="Arial" w:eastAsia="黑体" w:hAnsi="Arial"/>
      <w:sz w:val="18"/>
      <w:szCs w:val="18"/>
    </w:rPr>
  </w:style>
  <w:style w:type="paragraph" w:customStyle="1" w:styleId="xl32">
    <w:name w:val="xl32"/>
    <w:basedOn w:val="a0"/>
    <w:semiHidden/>
    <w:rsid w:val="00B75DD0"/>
    <w:pPr>
      <w:widowControl/>
      <w:spacing w:before="100" w:beforeAutospacing="1" w:after="100" w:afterAutospacing="1"/>
      <w:jc w:val="center"/>
    </w:pPr>
    <w:rPr>
      <w:rFonts w:ascii="黑体" w:eastAsia="黑体" w:hAnsi="Arial Unicode MS" w:cs="Arial Unicode MS" w:hint="eastAsia"/>
      <w:kern w:val="0"/>
      <w:sz w:val="18"/>
      <w:szCs w:val="18"/>
    </w:rPr>
  </w:style>
  <w:style w:type="character" w:styleId="aa">
    <w:name w:val="Hyperlink"/>
    <w:basedOn w:val="a1"/>
    <w:semiHidden/>
    <w:rsid w:val="00B75DD0"/>
    <w:rPr>
      <w:color w:val="0000FF"/>
      <w:u w:val="single"/>
    </w:rPr>
  </w:style>
  <w:style w:type="character" w:styleId="ab">
    <w:name w:val="page number"/>
    <w:basedOn w:val="a1"/>
    <w:rsid w:val="008F1970"/>
  </w:style>
  <w:style w:type="paragraph" w:customStyle="1" w:styleId="ac">
    <w:name w:val="三级标题"/>
    <w:basedOn w:val="a0"/>
    <w:autoRedefine/>
    <w:rsid w:val="005B12C3"/>
    <w:pPr>
      <w:spacing w:after="72"/>
    </w:pPr>
    <w:rPr>
      <w:rFonts w:ascii="Arial" w:eastAsia="汉仪楷体简" w:hAnsi="Arial" w:cs="宋体"/>
      <w:b/>
      <w:color w:val="000080"/>
      <w:sz w:val="24"/>
    </w:rPr>
  </w:style>
  <w:style w:type="paragraph" w:customStyle="1" w:styleId="ad">
    <w:name w:val="表格内题"/>
    <w:basedOn w:val="a0"/>
    <w:autoRedefine/>
    <w:rsid w:val="005B12C3"/>
    <w:pPr>
      <w:ind w:left="113"/>
    </w:pPr>
    <w:rPr>
      <w:rFonts w:ascii="Arial" w:eastAsia="黑体" w:hAnsi="Arial" w:cs="宋体"/>
      <w:b/>
      <w:sz w:val="18"/>
      <w:szCs w:val="20"/>
    </w:rPr>
  </w:style>
  <w:style w:type="paragraph" w:customStyle="1" w:styleId="ae">
    <w:name w:val="表格内正文"/>
    <w:basedOn w:val="a0"/>
    <w:autoRedefine/>
    <w:rsid w:val="005B12C3"/>
    <w:pPr>
      <w:ind w:left="113"/>
    </w:pPr>
    <w:rPr>
      <w:rFonts w:ascii="Arial" w:eastAsia="黑体" w:hAnsi="Arial" w:cs="Arial"/>
      <w:sz w:val="18"/>
      <w:szCs w:val="20"/>
    </w:rPr>
  </w:style>
  <w:style w:type="paragraph" w:styleId="af">
    <w:name w:val="caption"/>
    <w:basedOn w:val="a0"/>
    <w:next w:val="a0"/>
    <w:qFormat/>
    <w:rsid w:val="007676C0"/>
    <w:rPr>
      <w:rFonts w:ascii="Arial" w:eastAsia="黑体" w:hAnsi="Arial" w:cs="Arial"/>
      <w:sz w:val="20"/>
      <w:szCs w:val="20"/>
    </w:rPr>
  </w:style>
  <w:style w:type="paragraph" w:styleId="10">
    <w:name w:val="toc 1"/>
    <w:basedOn w:val="a0"/>
    <w:next w:val="a0"/>
    <w:autoRedefine/>
    <w:semiHidden/>
    <w:rsid w:val="00E00A33"/>
  </w:style>
  <w:style w:type="paragraph" w:styleId="20">
    <w:name w:val="toc 2"/>
    <w:basedOn w:val="a0"/>
    <w:next w:val="a0"/>
    <w:autoRedefine/>
    <w:semiHidden/>
    <w:rsid w:val="00E00A33"/>
    <w:pPr>
      <w:ind w:leftChars="200" w:left="420"/>
    </w:pPr>
  </w:style>
  <w:style w:type="paragraph" w:styleId="af0">
    <w:name w:val="table of figures"/>
    <w:basedOn w:val="a0"/>
    <w:next w:val="a0"/>
    <w:semiHidden/>
    <w:rsid w:val="0044376C"/>
    <w:pPr>
      <w:ind w:leftChars="200" w:left="200" w:hangingChars="200" w:hanging="200"/>
    </w:pPr>
  </w:style>
  <w:style w:type="paragraph" w:customStyle="1" w:styleId="af1">
    <w:name w:val="大表题"/>
    <w:basedOn w:val="a0"/>
    <w:rsid w:val="008B5536"/>
    <w:pPr>
      <w:pBdr>
        <w:top w:val="single" w:sz="8" w:space="1" w:color="FF6600"/>
      </w:pBdr>
      <w:spacing w:beforeLines="100" w:line="320" w:lineRule="exact"/>
      <w:textAlignment w:val="center"/>
    </w:pPr>
    <w:rPr>
      <w:rFonts w:ascii="黑体" w:eastAsia="黑体" w:hAnsi="Arial" w:cs="Arial"/>
      <w:b/>
      <w:color w:val="FF6600"/>
      <w:sz w:val="18"/>
      <w:szCs w:val="18"/>
    </w:rPr>
  </w:style>
  <w:style w:type="paragraph" w:customStyle="1" w:styleId="af2">
    <w:name w:val="大表字"/>
    <w:basedOn w:val="a0"/>
    <w:rsid w:val="008B5536"/>
    <w:pPr>
      <w:pBdr>
        <w:top w:val="single" w:sz="4" w:space="2" w:color="FF6600"/>
        <w:bottom w:val="single" w:sz="4" w:space="0" w:color="FF6600"/>
      </w:pBdr>
      <w:shd w:val="clear" w:color="auto" w:fill="E6E6E6"/>
      <w:spacing w:line="300" w:lineRule="exact"/>
      <w:jc w:val="left"/>
      <w:textAlignment w:val="center"/>
    </w:pPr>
    <w:rPr>
      <w:rFonts w:ascii="Arial" w:eastAsia="黑体" w:hAnsi="Arial" w:cs="宋体"/>
      <w:b/>
      <w:bCs/>
      <w:sz w:val="18"/>
      <w:szCs w:val="18"/>
    </w:rPr>
  </w:style>
  <w:style w:type="paragraph" w:customStyle="1" w:styleId="af3">
    <w:name w:val="大表格字"/>
    <w:basedOn w:val="a0"/>
    <w:rsid w:val="008B5536"/>
    <w:pPr>
      <w:spacing w:line="300" w:lineRule="exact"/>
      <w:jc w:val="left"/>
      <w:textAlignment w:val="center"/>
    </w:pPr>
    <w:rPr>
      <w:rFonts w:ascii="Arial" w:eastAsia="汉仪中等线简" w:hAnsi="Arial" w:cs="Arial"/>
      <w:color w:val="000000"/>
      <w:sz w:val="18"/>
      <w:szCs w:val="18"/>
    </w:rPr>
  </w:style>
  <w:style w:type="paragraph" w:customStyle="1" w:styleId="af4">
    <w:name w:val="资料字"/>
    <w:basedOn w:val="a0"/>
    <w:rsid w:val="008B5536"/>
    <w:pPr>
      <w:pBdr>
        <w:top w:val="single" w:sz="8" w:space="1" w:color="FF6600"/>
      </w:pBdr>
      <w:spacing w:afterLines="50" w:line="240" w:lineRule="exact"/>
      <w:ind w:leftChars="1350" w:left="2835"/>
    </w:pPr>
    <w:rPr>
      <w:rFonts w:ascii="Arial" w:eastAsia="楷体_GB2312" w:hAnsi="Arial" w:cs="Arial"/>
      <w:i/>
      <w:iCs/>
      <w:color w:val="000000"/>
      <w:sz w:val="16"/>
      <w:szCs w:val="16"/>
    </w:rPr>
  </w:style>
  <w:style w:type="character" w:styleId="af5">
    <w:name w:val="annotation reference"/>
    <w:basedOn w:val="a1"/>
    <w:semiHidden/>
    <w:rsid w:val="00033526"/>
    <w:rPr>
      <w:sz w:val="21"/>
      <w:szCs w:val="21"/>
    </w:rPr>
  </w:style>
  <w:style w:type="paragraph" w:styleId="af6">
    <w:name w:val="annotation text"/>
    <w:basedOn w:val="a0"/>
    <w:semiHidden/>
    <w:rsid w:val="00033526"/>
    <w:pPr>
      <w:jc w:val="left"/>
    </w:pPr>
  </w:style>
  <w:style w:type="paragraph" w:styleId="af7">
    <w:name w:val="annotation subject"/>
    <w:basedOn w:val="af6"/>
    <w:next w:val="af6"/>
    <w:semiHidden/>
    <w:rsid w:val="00033526"/>
    <w:rPr>
      <w:b/>
      <w:bCs/>
    </w:rPr>
  </w:style>
  <w:style w:type="paragraph" w:styleId="af8">
    <w:name w:val="Normal (Web)"/>
    <w:basedOn w:val="a0"/>
    <w:uiPriority w:val="99"/>
    <w:rsid w:val="004833F1"/>
    <w:pPr>
      <w:widowControl/>
      <w:spacing w:before="100" w:beforeAutospacing="1" w:after="100" w:afterAutospacing="1"/>
      <w:ind w:firstLine="440"/>
      <w:jc w:val="left"/>
    </w:pPr>
    <w:rPr>
      <w:rFonts w:ascii="宋体" w:hAnsi="宋体"/>
      <w:kern w:val="0"/>
      <w:sz w:val="24"/>
    </w:rPr>
  </w:style>
  <w:style w:type="character" w:customStyle="1" w:styleId="Char">
    <w:name w:val="页眉 Char"/>
    <w:basedOn w:val="a1"/>
    <w:link w:val="a5"/>
    <w:rsid w:val="004833F1"/>
    <w:rPr>
      <w:rFonts w:eastAsia="宋体"/>
      <w:kern w:val="2"/>
      <w:sz w:val="18"/>
      <w:szCs w:val="18"/>
      <w:lang w:val="en-US" w:eastAsia="zh-CN" w:bidi="ar-SA"/>
    </w:rPr>
  </w:style>
  <w:style w:type="character" w:customStyle="1" w:styleId="Char0">
    <w:name w:val="页脚 Char"/>
    <w:basedOn w:val="a1"/>
    <w:link w:val="a6"/>
    <w:rsid w:val="004833F1"/>
    <w:rPr>
      <w:rFonts w:eastAsia="宋体"/>
      <w:kern w:val="2"/>
      <w:sz w:val="18"/>
      <w:szCs w:val="18"/>
      <w:lang w:val="en-US" w:eastAsia="zh-CN" w:bidi="ar-SA"/>
    </w:rPr>
  </w:style>
  <w:style w:type="paragraph" w:styleId="af9">
    <w:name w:val="Document Map"/>
    <w:basedOn w:val="a0"/>
    <w:semiHidden/>
    <w:rsid w:val="00FC3529"/>
    <w:pPr>
      <w:shd w:val="clear" w:color="auto" w:fill="000080"/>
    </w:pPr>
  </w:style>
  <w:style w:type="paragraph" w:styleId="afa">
    <w:name w:val="List Paragraph"/>
    <w:basedOn w:val="a0"/>
    <w:uiPriority w:val="34"/>
    <w:qFormat/>
    <w:rsid w:val="00B51F04"/>
    <w:pPr>
      <w:ind w:firstLineChars="200" w:firstLine="420"/>
    </w:pPr>
  </w:style>
  <w:style w:type="table" w:styleId="-2">
    <w:name w:val="Light Shading Accent 2"/>
    <w:basedOn w:val="a2"/>
    <w:uiPriority w:val="60"/>
    <w:rsid w:val="00ED439F"/>
    <w:rPr>
      <w:rFonts w:asciiTheme="minorHAnsi" w:eastAsiaTheme="minorEastAsia" w:hAnsiTheme="minorHAnsi" w:cstheme="minorBidi"/>
      <w:color w:val="943634" w:themeColor="accent2" w:themeShade="BF"/>
      <w:kern w:val="2"/>
      <w:sz w:val="21"/>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fb">
    <w:name w:val="Placeholder Text"/>
    <w:basedOn w:val="a1"/>
    <w:uiPriority w:val="99"/>
    <w:semiHidden/>
    <w:rsid w:val="004F32E4"/>
    <w:rPr>
      <w:color w:val="808080"/>
    </w:rPr>
  </w:style>
  <w:style w:type="paragraph" w:styleId="afc">
    <w:name w:val="Plain Text"/>
    <w:basedOn w:val="a0"/>
    <w:link w:val="Char2"/>
    <w:uiPriority w:val="99"/>
    <w:unhideWhenUsed/>
    <w:rsid w:val="00D272A0"/>
    <w:rPr>
      <w:rFonts w:ascii="宋体" w:hAnsi="Courier New" w:cs="Courier New"/>
      <w:szCs w:val="21"/>
    </w:rPr>
  </w:style>
  <w:style w:type="character" w:customStyle="1" w:styleId="Char2">
    <w:name w:val="纯文本 Char"/>
    <w:basedOn w:val="a1"/>
    <w:link w:val="afc"/>
    <w:uiPriority w:val="99"/>
    <w:rsid w:val="00D272A0"/>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87914434">
      <w:bodyDiv w:val="1"/>
      <w:marLeft w:val="0"/>
      <w:marRight w:val="0"/>
      <w:marTop w:val="0"/>
      <w:marBottom w:val="0"/>
      <w:divBdr>
        <w:top w:val="none" w:sz="0" w:space="0" w:color="auto"/>
        <w:left w:val="none" w:sz="0" w:space="0" w:color="auto"/>
        <w:bottom w:val="none" w:sz="0" w:space="0" w:color="auto"/>
        <w:right w:val="none" w:sz="0" w:space="0" w:color="auto"/>
      </w:divBdr>
    </w:div>
    <w:div w:id="281764366">
      <w:bodyDiv w:val="1"/>
      <w:marLeft w:val="0"/>
      <w:marRight w:val="0"/>
      <w:marTop w:val="0"/>
      <w:marBottom w:val="0"/>
      <w:divBdr>
        <w:top w:val="none" w:sz="0" w:space="0" w:color="auto"/>
        <w:left w:val="none" w:sz="0" w:space="0" w:color="auto"/>
        <w:bottom w:val="none" w:sz="0" w:space="0" w:color="auto"/>
        <w:right w:val="none" w:sz="0" w:space="0" w:color="auto"/>
      </w:divBdr>
    </w:div>
    <w:div w:id="283005237">
      <w:bodyDiv w:val="1"/>
      <w:marLeft w:val="0"/>
      <w:marRight w:val="0"/>
      <w:marTop w:val="0"/>
      <w:marBottom w:val="0"/>
      <w:divBdr>
        <w:top w:val="none" w:sz="0" w:space="0" w:color="auto"/>
        <w:left w:val="none" w:sz="0" w:space="0" w:color="auto"/>
        <w:bottom w:val="none" w:sz="0" w:space="0" w:color="auto"/>
        <w:right w:val="none" w:sz="0" w:space="0" w:color="auto"/>
      </w:divBdr>
      <w:divsChild>
        <w:div w:id="1301610857">
          <w:marLeft w:val="0"/>
          <w:marRight w:val="0"/>
          <w:marTop w:val="100"/>
          <w:marBottom w:val="100"/>
          <w:divBdr>
            <w:top w:val="none" w:sz="0" w:space="0" w:color="auto"/>
            <w:left w:val="none" w:sz="0" w:space="0" w:color="auto"/>
            <w:bottom w:val="none" w:sz="0" w:space="0" w:color="auto"/>
            <w:right w:val="none" w:sz="0" w:space="0" w:color="auto"/>
          </w:divBdr>
          <w:divsChild>
            <w:div w:id="1940409048">
              <w:marLeft w:val="225"/>
              <w:marRight w:val="225"/>
              <w:marTop w:val="225"/>
              <w:marBottom w:val="0"/>
              <w:divBdr>
                <w:top w:val="none" w:sz="0" w:space="0" w:color="auto"/>
                <w:left w:val="none" w:sz="0" w:space="0" w:color="auto"/>
                <w:bottom w:val="none" w:sz="0" w:space="0" w:color="auto"/>
                <w:right w:val="none" w:sz="0" w:space="0" w:color="auto"/>
              </w:divBdr>
              <w:divsChild>
                <w:div w:id="754712782">
                  <w:marLeft w:val="0"/>
                  <w:marRight w:val="150"/>
                  <w:marTop w:val="100"/>
                  <w:marBottom w:val="100"/>
                  <w:divBdr>
                    <w:top w:val="none" w:sz="0" w:space="0" w:color="auto"/>
                    <w:left w:val="none" w:sz="0" w:space="0" w:color="auto"/>
                    <w:bottom w:val="none" w:sz="0" w:space="0" w:color="auto"/>
                    <w:right w:val="none" w:sz="0" w:space="0" w:color="auto"/>
                  </w:divBdr>
                  <w:divsChild>
                    <w:div w:id="784276807">
                      <w:marLeft w:val="0"/>
                      <w:marRight w:val="0"/>
                      <w:marTop w:val="100"/>
                      <w:marBottom w:val="100"/>
                      <w:divBdr>
                        <w:top w:val="none" w:sz="0" w:space="0" w:color="auto"/>
                        <w:left w:val="none" w:sz="0" w:space="0" w:color="auto"/>
                        <w:bottom w:val="none" w:sz="0" w:space="0" w:color="auto"/>
                        <w:right w:val="none" w:sz="0" w:space="0" w:color="auto"/>
                      </w:divBdr>
                      <w:divsChild>
                        <w:div w:id="1764649285">
                          <w:marLeft w:val="75"/>
                          <w:marRight w:val="0"/>
                          <w:marTop w:val="300"/>
                          <w:marBottom w:val="0"/>
                          <w:divBdr>
                            <w:top w:val="none" w:sz="0" w:space="0" w:color="auto"/>
                            <w:left w:val="none" w:sz="0" w:space="0" w:color="auto"/>
                            <w:bottom w:val="none" w:sz="0" w:space="0" w:color="auto"/>
                            <w:right w:val="none" w:sz="0" w:space="0" w:color="auto"/>
                          </w:divBdr>
                          <w:divsChild>
                            <w:div w:id="7302747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289938243">
      <w:bodyDiv w:val="1"/>
      <w:marLeft w:val="0"/>
      <w:marRight w:val="0"/>
      <w:marTop w:val="0"/>
      <w:marBottom w:val="0"/>
      <w:divBdr>
        <w:top w:val="none" w:sz="0" w:space="0" w:color="auto"/>
        <w:left w:val="none" w:sz="0" w:space="0" w:color="auto"/>
        <w:bottom w:val="none" w:sz="0" w:space="0" w:color="auto"/>
        <w:right w:val="none" w:sz="0" w:space="0" w:color="auto"/>
      </w:divBdr>
    </w:div>
    <w:div w:id="500434929">
      <w:bodyDiv w:val="1"/>
      <w:marLeft w:val="0"/>
      <w:marRight w:val="0"/>
      <w:marTop w:val="0"/>
      <w:marBottom w:val="0"/>
      <w:divBdr>
        <w:top w:val="none" w:sz="0" w:space="0" w:color="auto"/>
        <w:left w:val="none" w:sz="0" w:space="0" w:color="auto"/>
        <w:bottom w:val="none" w:sz="0" w:space="0" w:color="auto"/>
        <w:right w:val="none" w:sz="0" w:space="0" w:color="auto"/>
      </w:divBdr>
    </w:div>
    <w:div w:id="615337175">
      <w:bodyDiv w:val="1"/>
      <w:marLeft w:val="0"/>
      <w:marRight w:val="0"/>
      <w:marTop w:val="0"/>
      <w:marBottom w:val="0"/>
      <w:divBdr>
        <w:top w:val="none" w:sz="0" w:space="0" w:color="auto"/>
        <w:left w:val="none" w:sz="0" w:space="0" w:color="auto"/>
        <w:bottom w:val="none" w:sz="0" w:space="0" w:color="auto"/>
        <w:right w:val="none" w:sz="0" w:space="0" w:color="auto"/>
      </w:divBdr>
    </w:div>
    <w:div w:id="725374614">
      <w:bodyDiv w:val="1"/>
      <w:marLeft w:val="0"/>
      <w:marRight w:val="0"/>
      <w:marTop w:val="0"/>
      <w:marBottom w:val="0"/>
      <w:divBdr>
        <w:top w:val="none" w:sz="0" w:space="0" w:color="auto"/>
        <w:left w:val="none" w:sz="0" w:space="0" w:color="auto"/>
        <w:bottom w:val="none" w:sz="0" w:space="0" w:color="auto"/>
        <w:right w:val="none" w:sz="0" w:space="0" w:color="auto"/>
      </w:divBdr>
    </w:div>
    <w:div w:id="773981995">
      <w:bodyDiv w:val="1"/>
      <w:marLeft w:val="0"/>
      <w:marRight w:val="0"/>
      <w:marTop w:val="0"/>
      <w:marBottom w:val="0"/>
      <w:divBdr>
        <w:top w:val="none" w:sz="0" w:space="0" w:color="auto"/>
        <w:left w:val="none" w:sz="0" w:space="0" w:color="auto"/>
        <w:bottom w:val="none" w:sz="0" w:space="0" w:color="auto"/>
        <w:right w:val="none" w:sz="0" w:space="0" w:color="auto"/>
      </w:divBdr>
      <w:divsChild>
        <w:div w:id="288555890">
          <w:marLeft w:val="0"/>
          <w:marRight w:val="0"/>
          <w:marTop w:val="0"/>
          <w:marBottom w:val="0"/>
          <w:divBdr>
            <w:top w:val="none" w:sz="0" w:space="0" w:color="auto"/>
            <w:left w:val="none" w:sz="0" w:space="0" w:color="auto"/>
            <w:bottom w:val="none" w:sz="0" w:space="0" w:color="auto"/>
            <w:right w:val="none" w:sz="0" w:space="0" w:color="auto"/>
          </w:divBdr>
          <w:divsChild>
            <w:div w:id="1217938644">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980497689">
      <w:bodyDiv w:val="1"/>
      <w:marLeft w:val="0"/>
      <w:marRight w:val="0"/>
      <w:marTop w:val="0"/>
      <w:marBottom w:val="0"/>
      <w:divBdr>
        <w:top w:val="none" w:sz="0" w:space="0" w:color="auto"/>
        <w:left w:val="none" w:sz="0" w:space="0" w:color="auto"/>
        <w:bottom w:val="none" w:sz="0" w:space="0" w:color="auto"/>
        <w:right w:val="none" w:sz="0" w:space="0" w:color="auto"/>
      </w:divBdr>
    </w:div>
    <w:div w:id="1098256268">
      <w:bodyDiv w:val="1"/>
      <w:marLeft w:val="0"/>
      <w:marRight w:val="0"/>
      <w:marTop w:val="0"/>
      <w:marBottom w:val="0"/>
      <w:divBdr>
        <w:top w:val="none" w:sz="0" w:space="0" w:color="auto"/>
        <w:left w:val="none" w:sz="0" w:space="0" w:color="auto"/>
        <w:bottom w:val="none" w:sz="0" w:space="0" w:color="auto"/>
        <w:right w:val="none" w:sz="0" w:space="0" w:color="auto"/>
      </w:divBdr>
      <w:divsChild>
        <w:div w:id="1864323633">
          <w:marLeft w:val="0"/>
          <w:marRight w:val="0"/>
          <w:marTop w:val="100"/>
          <w:marBottom w:val="100"/>
          <w:divBdr>
            <w:top w:val="none" w:sz="0" w:space="0" w:color="auto"/>
            <w:left w:val="none" w:sz="0" w:space="0" w:color="auto"/>
            <w:bottom w:val="none" w:sz="0" w:space="0" w:color="auto"/>
            <w:right w:val="none" w:sz="0" w:space="0" w:color="auto"/>
          </w:divBdr>
          <w:divsChild>
            <w:div w:id="194343446">
              <w:marLeft w:val="225"/>
              <w:marRight w:val="225"/>
              <w:marTop w:val="0"/>
              <w:marBottom w:val="225"/>
              <w:divBdr>
                <w:top w:val="none" w:sz="0" w:space="0" w:color="auto"/>
                <w:left w:val="none" w:sz="0" w:space="0" w:color="auto"/>
                <w:bottom w:val="none" w:sz="0" w:space="0" w:color="auto"/>
                <w:right w:val="none" w:sz="0" w:space="0" w:color="auto"/>
              </w:divBdr>
              <w:divsChild>
                <w:div w:id="904028434">
                  <w:marLeft w:val="0"/>
                  <w:marRight w:val="0"/>
                  <w:marTop w:val="75"/>
                  <w:marBottom w:val="100"/>
                  <w:divBdr>
                    <w:top w:val="none" w:sz="0" w:space="0" w:color="auto"/>
                    <w:left w:val="none" w:sz="0" w:space="0" w:color="auto"/>
                    <w:bottom w:val="none" w:sz="0" w:space="0" w:color="auto"/>
                    <w:right w:val="none" w:sz="0" w:space="0" w:color="auto"/>
                  </w:divBdr>
                </w:div>
              </w:divsChild>
            </w:div>
          </w:divsChild>
        </w:div>
      </w:divsChild>
    </w:div>
    <w:div w:id="1235824090">
      <w:bodyDiv w:val="1"/>
      <w:marLeft w:val="0"/>
      <w:marRight w:val="0"/>
      <w:marTop w:val="0"/>
      <w:marBottom w:val="0"/>
      <w:divBdr>
        <w:top w:val="none" w:sz="0" w:space="0" w:color="auto"/>
        <w:left w:val="none" w:sz="0" w:space="0" w:color="auto"/>
        <w:bottom w:val="none" w:sz="0" w:space="0" w:color="auto"/>
        <w:right w:val="none" w:sz="0" w:space="0" w:color="auto"/>
      </w:divBdr>
    </w:div>
    <w:div w:id="1280406694">
      <w:bodyDiv w:val="1"/>
      <w:marLeft w:val="0"/>
      <w:marRight w:val="0"/>
      <w:marTop w:val="0"/>
      <w:marBottom w:val="0"/>
      <w:divBdr>
        <w:top w:val="none" w:sz="0" w:space="0" w:color="auto"/>
        <w:left w:val="none" w:sz="0" w:space="0" w:color="auto"/>
        <w:bottom w:val="none" w:sz="0" w:space="0" w:color="auto"/>
        <w:right w:val="none" w:sz="0" w:space="0" w:color="auto"/>
      </w:divBdr>
    </w:div>
    <w:div w:id="1317612999">
      <w:bodyDiv w:val="1"/>
      <w:marLeft w:val="0"/>
      <w:marRight w:val="0"/>
      <w:marTop w:val="0"/>
      <w:marBottom w:val="0"/>
      <w:divBdr>
        <w:top w:val="none" w:sz="0" w:space="0" w:color="auto"/>
        <w:left w:val="none" w:sz="0" w:space="0" w:color="auto"/>
        <w:bottom w:val="none" w:sz="0" w:space="0" w:color="auto"/>
        <w:right w:val="none" w:sz="0" w:space="0" w:color="auto"/>
      </w:divBdr>
    </w:div>
    <w:div w:id="1389955154">
      <w:bodyDiv w:val="1"/>
      <w:marLeft w:val="0"/>
      <w:marRight w:val="0"/>
      <w:marTop w:val="0"/>
      <w:marBottom w:val="0"/>
      <w:divBdr>
        <w:top w:val="none" w:sz="0" w:space="0" w:color="auto"/>
        <w:left w:val="none" w:sz="0" w:space="0" w:color="auto"/>
        <w:bottom w:val="none" w:sz="0" w:space="0" w:color="auto"/>
        <w:right w:val="none" w:sz="0" w:space="0" w:color="auto"/>
      </w:divBdr>
    </w:div>
    <w:div w:id="1470055185">
      <w:bodyDiv w:val="1"/>
      <w:marLeft w:val="0"/>
      <w:marRight w:val="0"/>
      <w:marTop w:val="0"/>
      <w:marBottom w:val="0"/>
      <w:divBdr>
        <w:top w:val="none" w:sz="0" w:space="0" w:color="auto"/>
        <w:left w:val="none" w:sz="0" w:space="0" w:color="auto"/>
        <w:bottom w:val="none" w:sz="0" w:space="0" w:color="auto"/>
        <w:right w:val="none" w:sz="0" w:space="0" w:color="auto"/>
      </w:divBdr>
    </w:div>
    <w:div w:id="1780369944">
      <w:bodyDiv w:val="1"/>
      <w:marLeft w:val="0"/>
      <w:marRight w:val="0"/>
      <w:marTop w:val="0"/>
      <w:marBottom w:val="0"/>
      <w:divBdr>
        <w:top w:val="none" w:sz="0" w:space="0" w:color="auto"/>
        <w:left w:val="none" w:sz="0" w:space="0" w:color="auto"/>
        <w:bottom w:val="none" w:sz="0" w:space="0" w:color="auto"/>
        <w:right w:val="none" w:sz="0" w:space="0" w:color="auto"/>
      </w:divBdr>
    </w:div>
    <w:div w:id="17889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ihongkun@sigchina.com"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37329;&#34701;&#37096;\&#30740;&#31350;&#19987;&#39064;\&#20116;&#26143;&#22522;&#37329;&#30340;&#19994;&#32489;&#21464;&#21270;&#30740;&#31350;\&#28151;&#21512;&#22522;&#37329;\&#28151;&#21512;&#22522;&#37329;&#22266;&#23450;&#32452;&#215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37329;&#34701;&#37096;\&#30740;&#31350;&#19987;&#39064;\&#20116;&#26143;&#22522;&#37329;&#30340;&#19994;&#32489;&#21464;&#21270;&#30740;&#31350;\&#28151;&#21512;&#22522;&#37329;\&#28151;&#21512;&#22522;&#37329;&#22266;&#23450;&#32452;&#215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37329;&#34701;&#37096;\&#30740;&#31350;&#19987;&#39064;\&#20116;&#26143;&#22522;&#37329;&#30340;&#19994;&#32489;&#21464;&#21270;&#30740;&#31350;\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37329;&#34701;&#37096;\&#30740;&#31350;&#19987;&#39064;\&#20116;&#26143;&#22522;&#37329;&#30340;&#19994;&#32489;&#21464;&#21270;&#30740;&#31350;\&#32929;&#31080;&#22522;&#37329;\&#28151;&#21512;&#20116;&#26143;&#22522;&#373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Sheet1!$X$2</c:f>
              <c:strCache>
                <c:ptCount val="1"/>
                <c:pt idx="0">
                  <c:v>固定五星组合</c:v>
                </c:pt>
              </c:strCache>
            </c:strRef>
          </c:tx>
          <c:spPr>
            <a:ln>
              <a:solidFill>
                <a:srgbClr val="0070C0"/>
              </a:solidFill>
            </a:ln>
          </c:spPr>
          <c:marker>
            <c:symbol val="none"/>
          </c:marker>
          <c:cat>
            <c:numRef>
              <c:f>Sheet1!$W$3:$W$38</c:f>
              <c:numCache>
                <c:formatCode>yyyy/m/d</c:formatCode>
                <c:ptCount val="36"/>
                <c:pt idx="0">
                  <c:v>39294</c:v>
                </c:pt>
                <c:pt idx="1">
                  <c:v>39325</c:v>
                </c:pt>
                <c:pt idx="2">
                  <c:v>39355</c:v>
                </c:pt>
                <c:pt idx="3">
                  <c:v>39386</c:v>
                </c:pt>
                <c:pt idx="4">
                  <c:v>39416</c:v>
                </c:pt>
                <c:pt idx="5">
                  <c:v>39447</c:v>
                </c:pt>
                <c:pt idx="6">
                  <c:v>39478</c:v>
                </c:pt>
                <c:pt idx="7">
                  <c:v>39507</c:v>
                </c:pt>
                <c:pt idx="8">
                  <c:v>39538</c:v>
                </c:pt>
                <c:pt idx="9">
                  <c:v>39568</c:v>
                </c:pt>
                <c:pt idx="10">
                  <c:v>39598</c:v>
                </c:pt>
                <c:pt idx="11">
                  <c:v>39629</c:v>
                </c:pt>
                <c:pt idx="12">
                  <c:v>39660</c:v>
                </c:pt>
                <c:pt idx="13">
                  <c:v>39689</c:v>
                </c:pt>
                <c:pt idx="14">
                  <c:v>39721</c:v>
                </c:pt>
                <c:pt idx="15">
                  <c:v>39752</c:v>
                </c:pt>
                <c:pt idx="16">
                  <c:v>39780</c:v>
                </c:pt>
                <c:pt idx="17">
                  <c:v>39813</c:v>
                </c:pt>
                <c:pt idx="18">
                  <c:v>39836</c:v>
                </c:pt>
                <c:pt idx="19">
                  <c:v>39871</c:v>
                </c:pt>
                <c:pt idx="20">
                  <c:v>39903</c:v>
                </c:pt>
                <c:pt idx="21">
                  <c:v>39933</c:v>
                </c:pt>
                <c:pt idx="22">
                  <c:v>39960</c:v>
                </c:pt>
                <c:pt idx="23">
                  <c:v>39994</c:v>
                </c:pt>
                <c:pt idx="24">
                  <c:v>40025</c:v>
                </c:pt>
                <c:pt idx="25">
                  <c:v>40056</c:v>
                </c:pt>
                <c:pt idx="26">
                  <c:v>40086</c:v>
                </c:pt>
                <c:pt idx="27">
                  <c:v>40116</c:v>
                </c:pt>
                <c:pt idx="28">
                  <c:v>40147</c:v>
                </c:pt>
                <c:pt idx="29">
                  <c:v>40178</c:v>
                </c:pt>
                <c:pt idx="30">
                  <c:v>40207</c:v>
                </c:pt>
                <c:pt idx="31">
                  <c:v>40235</c:v>
                </c:pt>
                <c:pt idx="32">
                  <c:v>40268</c:v>
                </c:pt>
                <c:pt idx="33">
                  <c:v>40298</c:v>
                </c:pt>
                <c:pt idx="34">
                  <c:v>40329</c:v>
                </c:pt>
                <c:pt idx="35">
                  <c:v>40359</c:v>
                </c:pt>
              </c:numCache>
            </c:numRef>
          </c:cat>
          <c:val>
            <c:numRef>
              <c:f>Sheet1!$X$3:$X$38</c:f>
              <c:numCache>
                <c:formatCode>General</c:formatCode>
                <c:ptCount val="36"/>
                <c:pt idx="0">
                  <c:v>0.15059111291430266</c:v>
                </c:pt>
                <c:pt idx="1">
                  <c:v>0.14001668450790908</c:v>
                </c:pt>
                <c:pt idx="2">
                  <c:v>5.927241428552614E-2</c:v>
                </c:pt>
                <c:pt idx="3">
                  <c:v>5.3521147533786232E-3</c:v>
                </c:pt>
                <c:pt idx="4">
                  <c:v>-0.1142800360299332</c:v>
                </c:pt>
                <c:pt idx="5">
                  <c:v>0.11297289010180685</c:v>
                </c:pt>
                <c:pt idx="6">
                  <c:v>-7.1429522246623731E-2</c:v>
                </c:pt>
                <c:pt idx="7">
                  <c:v>1.2949199649730224E-2</c:v>
                </c:pt>
                <c:pt idx="8">
                  <c:v>-0.13921547285202784</c:v>
                </c:pt>
                <c:pt idx="9">
                  <c:v>2.1196673759497735E-2</c:v>
                </c:pt>
                <c:pt idx="10">
                  <c:v>-4.2368139096219191E-2</c:v>
                </c:pt>
                <c:pt idx="11">
                  <c:v>-0.14286412603756179</c:v>
                </c:pt>
                <c:pt idx="12">
                  <c:v>1.2572623840066761E-2</c:v>
                </c:pt>
                <c:pt idx="13">
                  <c:v>-0.11532302572867398</c:v>
                </c:pt>
                <c:pt idx="14">
                  <c:v>-5.525884559765723E-2</c:v>
                </c:pt>
                <c:pt idx="15">
                  <c:v>-0.17847775255596099</c:v>
                </c:pt>
                <c:pt idx="16">
                  <c:v>7.5230515891769906E-2</c:v>
                </c:pt>
                <c:pt idx="17">
                  <c:v>3.8898273953271202E-2</c:v>
                </c:pt>
                <c:pt idx="18">
                  <c:v>7.0900088241181713E-2</c:v>
                </c:pt>
                <c:pt idx="19">
                  <c:v>3.4426594447961575E-2</c:v>
                </c:pt>
                <c:pt idx="20">
                  <c:v>0.10768579393138117</c:v>
                </c:pt>
                <c:pt idx="21">
                  <c:v>5.0814539455283775E-2</c:v>
                </c:pt>
                <c:pt idx="22">
                  <c:v>4.0230810049927304E-2</c:v>
                </c:pt>
                <c:pt idx="23">
                  <c:v>0.10471035469550082</c:v>
                </c:pt>
                <c:pt idx="24">
                  <c:v>0.13019675397763331</c:v>
                </c:pt>
                <c:pt idx="25">
                  <c:v>-0.17740945764486363</c:v>
                </c:pt>
                <c:pt idx="26">
                  <c:v>5.3831026810305514E-2</c:v>
                </c:pt>
                <c:pt idx="27">
                  <c:v>7.5810468735019329E-2</c:v>
                </c:pt>
                <c:pt idx="28">
                  <c:v>7.0604908674031741E-2</c:v>
                </c:pt>
                <c:pt idx="29">
                  <c:v>1.6836613543615545E-2</c:v>
                </c:pt>
                <c:pt idx="30">
                  <c:v>-6.6321088947888032E-2</c:v>
                </c:pt>
                <c:pt idx="31">
                  <c:v>2.7393291358176086E-2</c:v>
                </c:pt>
                <c:pt idx="32">
                  <c:v>1.5788071691490192E-2</c:v>
                </c:pt>
                <c:pt idx="33">
                  <c:v>-4.4535142536193659E-2</c:v>
                </c:pt>
                <c:pt idx="34">
                  <c:v>-5.3377344441971113E-2</c:v>
                </c:pt>
                <c:pt idx="35">
                  <c:v>-6.1439824327323804E-2</c:v>
                </c:pt>
              </c:numCache>
            </c:numRef>
          </c:val>
          <c:smooth val="1"/>
        </c:ser>
        <c:ser>
          <c:idx val="1"/>
          <c:order val="1"/>
          <c:tx>
            <c:strRef>
              <c:f>Sheet1!$AB$2</c:f>
              <c:strCache>
                <c:ptCount val="1"/>
                <c:pt idx="0">
                  <c:v>中证混合基金指数</c:v>
                </c:pt>
              </c:strCache>
            </c:strRef>
          </c:tx>
          <c:spPr>
            <a:ln w="28575">
              <a:solidFill>
                <a:srgbClr val="FF0000"/>
              </a:solidFill>
            </a:ln>
          </c:spPr>
          <c:marker>
            <c:symbol val="none"/>
          </c:marker>
          <c:cat>
            <c:numRef>
              <c:f>Sheet1!$W$3:$W$38</c:f>
              <c:numCache>
                <c:formatCode>yyyy/m/d</c:formatCode>
                <c:ptCount val="36"/>
                <c:pt idx="0">
                  <c:v>39294</c:v>
                </c:pt>
                <c:pt idx="1">
                  <c:v>39325</c:v>
                </c:pt>
                <c:pt idx="2">
                  <c:v>39355</c:v>
                </c:pt>
                <c:pt idx="3">
                  <c:v>39386</c:v>
                </c:pt>
                <c:pt idx="4">
                  <c:v>39416</c:v>
                </c:pt>
                <c:pt idx="5">
                  <c:v>39447</c:v>
                </c:pt>
                <c:pt idx="6">
                  <c:v>39478</c:v>
                </c:pt>
                <c:pt idx="7">
                  <c:v>39507</c:v>
                </c:pt>
                <c:pt idx="8">
                  <c:v>39538</c:v>
                </c:pt>
                <c:pt idx="9">
                  <c:v>39568</c:v>
                </c:pt>
                <c:pt idx="10">
                  <c:v>39598</c:v>
                </c:pt>
                <c:pt idx="11">
                  <c:v>39629</c:v>
                </c:pt>
                <c:pt idx="12">
                  <c:v>39660</c:v>
                </c:pt>
                <c:pt idx="13">
                  <c:v>39689</c:v>
                </c:pt>
                <c:pt idx="14">
                  <c:v>39721</c:v>
                </c:pt>
                <c:pt idx="15">
                  <c:v>39752</c:v>
                </c:pt>
                <c:pt idx="16">
                  <c:v>39780</c:v>
                </c:pt>
                <c:pt idx="17">
                  <c:v>39813</c:v>
                </c:pt>
                <c:pt idx="18">
                  <c:v>39836</c:v>
                </c:pt>
                <c:pt idx="19">
                  <c:v>39871</c:v>
                </c:pt>
                <c:pt idx="20">
                  <c:v>39903</c:v>
                </c:pt>
                <c:pt idx="21">
                  <c:v>39933</c:v>
                </c:pt>
                <c:pt idx="22">
                  <c:v>39960</c:v>
                </c:pt>
                <c:pt idx="23">
                  <c:v>39994</c:v>
                </c:pt>
                <c:pt idx="24">
                  <c:v>40025</c:v>
                </c:pt>
                <c:pt idx="25">
                  <c:v>40056</c:v>
                </c:pt>
                <c:pt idx="26">
                  <c:v>40086</c:v>
                </c:pt>
                <c:pt idx="27">
                  <c:v>40116</c:v>
                </c:pt>
                <c:pt idx="28">
                  <c:v>40147</c:v>
                </c:pt>
                <c:pt idx="29">
                  <c:v>40178</c:v>
                </c:pt>
                <c:pt idx="30">
                  <c:v>40207</c:v>
                </c:pt>
                <c:pt idx="31">
                  <c:v>40235</c:v>
                </c:pt>
                <c:pt idx="32">
                  <c:v>40268</c:v>
                </c:pt>
                <c:pt idx="33">
                  <c:v>40298</c:v>
                </c:pt>
                <c:pt idx="34">
                  <c:v>40329</c:v>
                </c:pt>
                <c:pt idx="35">
                  <c:v>40359</c:v>
                </c:pt>
              </c:numCache>
            </c:numRef>
          </c:cat>
          <c:val>
            <c:numRef>
              <c:f>Sheet1!$AB$3:$AB$38</c:f>
              <c:numCache>
                <c:formatCode>General</c:formatCode>
                <c:ptCount val="36"/>
                <c:pt idx="0">
                  <c:v>0.13207002022496517</c:v>
                </c:pt>
                <c:pt idx="1">
                  <c:v>0.13374462055673403</c:v>
                </c:pt>
                <c:pt idx="2">
                  <c:v>5.1403465192821289E-2</c:v>
                </c:pt>
                <c:pt idx="3">
                  <c:v>1.4670053010055587E-2</c:v>
                </c:pt>
                <c:pt idx="4">
                  <c:v>-0.12241965175758369</c:v>
                </c:pt>
                <c:pt idx="5">
                  <c:v>9.7555313265648758E-2</c:v>
                </c:pt>
                <c:pt idx="6">
                  <c:v>-7.8920033692289518E-2</c:v>
                </c:pt>
                <c:pt idx="7">
                  <c:v>9.5405056283446692E-3</c:v>
                </c:pt>
                <c:pt idx="8">
                  <c:v>-0.13801402623673992</c:v>
                </c:pt>
                <c:pt idx="9">
                  <c:v>1.7174430385711793E-2</c:v>
                </c:pt>
                <c:pt idx="10">
                  <c:v>-4.7692952728637182E-2</c:v>
                </c:pt>
                <c:pt idx="11">
                  <c:v>-0.13994308092724603</c:v>
                </c:pt>
                <c:pt idx="12">
                  <c:v>9.6301240461792708E-3</c:v>
                </c:pt>
                <c:pt idx="13">
                  <c:v>-9.5822490146589695E-2</c:v>
                </c:pt>
                <c:pt idx="14">
                  <c:v>-4.3791979577168176E-2</c:v>
                </c:pt>
                <c:pt idx="15">
                  <c:v>-0.13668631192874567</c:v>
                </c:pt>
                <c:pt idx="16">
                  <c:v>6.3665773454329791E-2</c:v>
                </c:pt>
                <c:pt idx="17">
                  <c:v>2.0143392445081197E-2</c:v>
                </c:pt>
                <c:pt idx="18">
                  <c:v>5.2717317995206403E-2</c:v>
                </c:pt>
                <c:pt idx="19">
                  <c:v>2.7877346247482494E-2</c:v>
                </c:pt>
                <c:pt idx="20">
                  <c:v>9.8748937203935405E-2</c:v>
                </c:pt>
                <c:pt idx="21">
                  <c:v>3.9782049641016094E-2</c:v>
                </c:pt>
                <c:pt idx="22">
                  <c:v>3.32966820825744E-2</c:v>
                </c:pt>
                <c:pt idx="23">
                  <c:v>8.6368608592997026E-2</c:v>
                </c:pt>
                <c:pt idx="24">
                  <c:v>0.11676578054044912</c:v>
                </c:pt>
                <c:pt idx="25">
                  <c:v>-0.16883484983406646</c:v>
                </c:pt>
                <c:pt idx="26">
                  <c:v>4.9414506700749893E-2</c:v>
                </c:pt>
                <c:pt idx="27">
                  <c:v>6.5960637013080137E-2</c:v>
                </c:pt>
                <c:pt idx="28">
                  <c:v>6.6370141357599444E-2</c:v>
                </c:pt>
                <c:pt idx="29">
                  <c:v>1.0325197578857069E-2</c:v>
                </c:pt>
                <c:pt idx="30">
                  <c:v>-6.3577221281525709E-2</c:v>
                </c:pt>
                <c:pt idx="31">
                  <c:v>2.5674273858921182E-2</c:v>
                </c:pt>
                <c:pt idx="32">
                  <c:v>1.5680998387826443E-2</c:v>
                </c:pt>
                <c:pt idx="33">
                  <c:v>-3.8448801543890181E-2</c:v>
                </c:pt>
                <c:pt idx="34">
                  <c:v>-4.0138235713267717E-2</c:v>
                </c:pt>
                <c:pt idx="35">
                  <c:v>-5.7104184142868122E-2</c:v>
                </c:pt>
              </c:numCache>
            </c:numRef>
          </c:val>
          <c:smooth val="1"/>
        </c:ser>
        <c:marker val="1"/>
        <c:axId val="273307136"/>
        <c:axId val="273308672"/>
      </c:lineChart>
      <c:dateAx>
        <c:axId val="273307136"/>
        <c:scaling>
          <c:orientation val="minMax"/>
        </c:scaling>
        <c:axPos val="b"/>
        <c:numFmt formatCode="yyyy/m/d" sourceLinked="1"/>
        <c:tickLblPos val="nextTo"/>
        <c:crossAx val="273308672"/>
        <c:crosses val="autoZero"/>
        <c:auto val="1"/>
        <c:lblOffset val="100"/>
      </c:dateAx>
      <c:valAx>
        <c:axId val="273308672"/>
        <c:scaling>
          <c:orientation val="minMax"/>
        </c:scaling>
        <c:axPos val="l"/>
        <c:numFmt formatCode="General" sourceLinked="1"/>
        <c:tickLblPos val="nextTo"/>
        <c:crossAx val="273307136"/>
        <c:crosses val="autoZero"/>
        <c:crossBetween val="between"/>
      </c:valAx>
    </c:plotArea>
    <c:legend>
      <c:legendPos val="b"/>
      <c:layout>
        <c:manualLayout>
          <c:xMode val="edge"/>
          <c:yMode val="edge"/>
          <c:x val="0.27"/>
          <c:y val="0.85609762321376603"/>
          <c:w val="0.62388888888889005"/>
          <c:h val="7.4457932341790753E-2"/>
        </c:manualLayout>
      </c:layout>
      <c:txPr>
        <a:bodyPr/>
        <a:lstStyle/>
        <a:p>
          <a:pPr>
            <a:defRPr sz="800"/>
          </a:pPr>
          <a:endParaRPr lang="zh-CN"/>
        </a:p>
      </c:txPr>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Sheet1!$AC$3</c:f>
              <c:strCache>
                <c:ptCount val="1"/>
                <c:pt idx="0">
                  <c:v>固定组合</c:v>
                </c:pt>
              </c:strCache>
            </c:strRef>
          </c:tx>
          <c:spPr>
            <a:ln>
              <a:solidFill>
                <a:srgbClr val="FF0000"/>
              </a:solidFill>
            </a:ln>
          </c:spPr>
          <c:marker>
            <c:symbol val="none"/>
          </c:marker>
          <c:cat>
            <c:numRef>
              <c:f>Sheet1!$W$4:$W$38</c:f>
              <c:numCache>
                <c:formatCode>yyyy/m/d</c:formatCode>
                <c:ptCount val="35"/>
                <c:pt idx="0">
                  <c:v>39325</c:v>
                </c:pt>
                <c:pt idx="1">
                  <c:v>39355</c:v>
                </c:pt>
                <c:pt idx="2">
                  <c:v>39386</c:v>
                </c:pt>
                <c:pt idx="3">
                  <c:v>39416</c:v>
                </c:pt>
                <c:pt idx="4">
                  <c:v>39447</c:v>
                </c:pt>
                <c:pt idx="5">
                  <c:v>39478</c:v>
                </c:pt>
                <c:pt idx="6">
                  <c:v>39507</c:v>
                </c:pt>
                <c:pt idx="7">
                  <c:v>39538</c:v>
                </c:pt>
                <c:pt idx="8">
                  <c:v>39568</c:v>
                </c:pt>
                <c:pt idx="9">
                  <c:v>39598</c:v>
                </c:pt>
                <c:pt idx="10">
                  <c:v>39629</c:v>
                </c:pt>
                <c:pt idx="11">
                  <c:v>39660</c:v>
                </c:pt>
                <c:pt idx="12">
                  <c:v>39689</c:v>
                </c:pt>
                <c:pt idx="13">
                  <c:v>39721</c:v>
                </c:pt>
                <c:pt idx="14">
                  <c:v>39752</c:v>
                </c:pt>
                <c:pt idx="15">
                  <c:v>39780</c:v>
                </c:pt>
                <c:pt idx="16">
                  <c:v>39813</c:v>
                </c:pt>
                <c:pt idx="17">
                  <c:v>39836</c:v>
                </c:pt>
                <c:pt idx="18">
                  <c:v>39871</c:v>
                </c:pt>
                <c:pt idx="19">
                  <c:v>39903</c:v>
                </c:pt>
                <c:pt idx="20">
                  <c:v>39933</c:v>
                </c:pt>
                <c:pt idx="21">
                  <c:v>39960</c:v>
                </c:pt>
                <c:pt idx="22">
                  <c:v>39994</c:v>
                </c:pt>
                <c:pt idx="23">
                  <c:v>40025</c:v>
                </c:pt>
                <c:pt idx="24">
                  <c:v>40056</c:v>
                </c:pt>
                <c:pt idx="25">
                  <c:v>40086</c:v>
                </c:pt>
                <c:pt idx="26">
                  <c:v>40116</c:v>
                </c:pt>
                <c:pt idx="27">
                  <c:v>40147</c:v>
                </c:pt>
                <c:pt idx="28">
                  <c:v>40178</c:v>
                </c:pt>
                <c:pt idx="29">
                  <c:v>40207</c:v>
                </c:pt>
                <c:pt idx="30">
                  <c:v>40235</c:v>
                </c:pt>
                <c:pt idx="31">
                  <c:v>40268</c:v>
                </c:pt>
                <c:pt idx="32">
                  <c:v>40298</c:v>
                </c:pt>
                <c:pt idx="33">
                  <c:v>40329</c:v>
                </c:pt>
                <c:pt idx="34">
                  <c:v>40359</c:v>
                </c:pt>
              </c:numCache>
            </c:numRef>
          </c:cat>
          <c:val>
            <c:numRef>
              <c:f>Sheet1!$AC$4:$AC$38</c:f>
              <c:numCache>
                <c:formatCode>General</c:formatCode>
                <c:ptCount val="35"/>
                <c:pt idx="0">
                  <c:v>0.31169306576882838</c:v>
                </c:pt>
                <c:pt idx="1">
                  <c:v>0.38944028057852997</c:v>
                </c:pt>
                <c:pt idx="2">
                  <c:v>0.39687672440315314</c:v>
                </c:pt>
                <c:pt idx="3">
                  <c:v>0.23724160200898536</c:v>
                </c:pt>
                <c:pt idx="4">
                  <c:v>0.37701636154213014</c:v>
                </c:pt>
                <c:pt idx="5">
                  <c:v>0.27865674071139129</c:v>
                </c:pt>
                <c:pt idx="6">
                  <c:v>0.29521432213033649</c:v>
                </c:pt>
                <c:pt idx="7">
                  <c:v>0.11490044783024336</c:v>
                </c:pt>
                <c:pt idx="8">
                  <c:v>0.1385326288972189</c:v>
                </c:pt>
                <c:pt idx="9">
                  <c:v>9.0295120110517366E-2</c:v>
                </c:pt>
                <c:pt idx="10">
                  <c:v>-6.5468939347090277E-2</c:v>
                </c:pt>
                <c:pt idx="11">
                  <c:v>-5.3719431854642702E-2</c:v>
                </c:pt>
                <c:pt idx="12">
                  <c:v>-0.16284737016141401</c:v>
                </c:pt>
                <c:pt idx="13">
                  <c:v>-0.20910745807533707</c:v>
                </c:pt>
                <c:pt idx="14">
                  <c:v>-0.35026418147132177</c:v>
                </c:pt>
                <c:pt idx="15">
                  <c:v>-0.30138422065004838</c:v>
                </c:pt>
                <c:pt idx="16">
                  <c:v>-0.27420927267681527</c:v>
                </c:pt>
                <c:pt idx="17">
                  <c:v>-0.22275064606497008</c:v>
                </c:pt>
                <c:pt idx="18">
                  <c:v>-0.19599259777210881</c:v>
                </c:pt>
                <c:pt idx="19">
                  <c:v>-0.10941242233649091</c:v>
                </c:pt>
                <c:pt idx="20">
                  <c:v>-6.4157624732923038E-2</c:v>
                </c:pt>
                <c:pt idx="21">
                  <c:v>-2.65079278968804E-2</c:v>
                </c:pt>
                <c:pt idx="22">
                  <c:v>7.5426772266295364E-2</c:v>
                </c:pt>
                <c:pt idx="23">
                  <c:v>0.21544384715601081</c:v>
                </c:pt>
                <c:pt idx="24">
                  <c:v>-1.8738656572370171E-4</c:v>
                </c:pt>
                <c:pt idx="25">
                  <c:v>5.3633553033338513E-2</c:v>
                </c:pt>
                <c:pt idx="26">
                  <c:v>0.13351000656373979</c:v>
                </c:pt>
                <c:pt idx="27">
                  <c:v>0.21354137705827383</c:v>
                </c:pt>
                <c:pt idx="28">
                  <c:v>0.23397330424299095</c:v>
                </c:pt>
                <c:pt idx="29">
                  <c:v>0.15213485097297222</c:v>
                </c:pt>
                <c:pt idx="30">
                  <c:v>0.1836956166295832</c:v>
                </c:pt>
                <c:pt idx="31">
                  <c:v>0.20238388788583409</c:v>
                </c:pt>
                <c:pt idx="32">
                  <c:v>0.14883555005561577</c:v>
                </c:pt>
                <c:pt idx="33">
                  <c:v>8.7513759193115839E-2</c:v>
                </c:pt>
                <c:pt idx="34">
                  <c:v>2.0697104874743334E-2</c:v>
                </c:pt>
              </c:numCache>
            </c:numRef>
          </c:val>
        </c:ser>
        <c:ser>
          <c:idx val="1"/>
          <c:order val="1"/>
          <c:tx>
            <c:strRef>
              <c:f>Sheet1!$AE$3</c:f>
              <c:strCache>
                <c:ptCount val="1"/>
                <c:pt idx="0">
                  <c:v>中证混合基金指数</c:v>
                </c:pt>
              </c:strCache>
            </c:strRef>
          </c:tx>
          <c:spPr>
            <a:ln>
              <a:solidFill>
                <a:srgbClr val="0070C0"/>
              </a:solidFill>
            </a:ln>
          </c:spPr>
          <c:marker>
            <c:symbol val="none"/>
          </c:marker>
          <c:cat>
            <c:numRef>
              <c:f>Sheet1!$W$4:$W$38</c:f>
              <c:numCache>
                <c:formatCode>yyyy/m/d</c:formatCode>
                <c:ptCount val="35"/>
                <c:pt idx="0">
                  <c:v>39325</c:v>
                </c:pt>
                <c:pt idx="1">
                  <c:v>39355</c:v>
                </c:pt>
                <c:pt idx="2">
                  <c:v>39386</c:v>
                </c:pt>
                <c:pt idx="3">
                  <c:v>39416</c:v>
                </c:pt>
                <c:pt idx="4">
                  <c:v>39447</c:v>
                </c:pt>
                <c:pt idx="5">
                  <c:v>39478</c:v>
                </c:pt>
                <c:pt idx="6">
                  <c:v>39507</c:v>
                </c:pt>
                <c:pt idx="7">
                  <c:v>39538</c:v>
                </c:pt>
                <c:pt idx="8">
                  <c:v>39568</c:v>
                </c:pt>
                <c:pt idx="9">
                  <c:v>39598</c:v>
                </c:pt>
                <c:pt idx="10">
                  <c:v>39629</c:v>
                </c:pt>
                <c:pt idx="11">
                  <c:v>39660</c:v>
                </c:pt>
                <c:pt idx="12">
                  <c:v>39689</c:v>
                </c:pt>
                <c:pt idx="13">
                  <c:v>39721</c:v>
                </c:pt>
                <c:pt idx="14">
                  <c:v>39752</c:v>
                </c:pt>
                <c:pt idx="15">
                  <c:v>39780</c:v>
                </c:pt>
                <c:pt idx="16">
                  <c:v>39813</c:v>
                </c:pt>
                <c:pt idx="17">
                  <c:v>39836</c:v>
                </c:pt>
                <c:pt idx="18">
                  <c:v>39871</c:v>
                </c:pt>
                <c:pt idx="19">
                  <c:v>39903</c:v>
                </c:pt>
                <c:pt idx="20">
                  <c:v>39933</c:v>
                </c:pt>
                <c:pt idx="21">
                  <c:v>39960</c:v>
                </c:pt>
                <c:pt idx="22">
                  <c:v>39994</c:v>
                </c:pt>
                <c:pt idx="23">
                  <c:v>40025</c:v>
                </c:pt>
                <c:pt idx="24">
                  <c:v>40056</c:v>
                </c:pt>
                <c:pt idx="25">
                  <c:v>40086</c:v>
                </c:pt>
                <c:pt idx="26">
                  <c:v>40116</c:v>
                </c:pt>
                <c:pt idx="27">
                  <c:v>40147</c:v>
                </c:pt>
                <c:pt idx="28">
                  <c:v>40178</c:v>
                </c:pt>
                <c:pt idx="29">
                  <c:v>40207</c:v>
                </c:pt>
                <c:pt idx="30">
                  <c:v>40235</c:v>
                </c:pt>
                <c:pt idx="31">
                  <c:v>40268</c:v>
                </c:pt>
                <c:pt idx="32">
                  <c:v>40298</c:v>
                </c:pt>
                <c:pt idx="33">
                  <c:v>40329</c:v>
                </c:pt>
                <c:pt idx="34">
                  <c:v>40359</c:v>
                </c:pt>
              </c:numCache>
            </c:numRef>
          </c:cat>
          <c:val>
            <c:numRef>
              <c:f>Sheet1!$AE$4:$AE$38</c:f>
              <c:numCache>
                <c:formatCode>General</c:formatCode>
                <c:ptCount val="35"/>
                <c:pt idx="0">
                  <c:v>0.28347829552360793</c:v>
                </c:pt>
                <c:pt idx="1">
                  <c:v>0.34945352741329683</c:v>
                </c:pt>
                <c:pt idx="2">
                  <c:v>0.36925008219505667</c:v>
                </c:pt>
                <c:pt idx="3">
                  <c:v>0.20162696396369467</c:v>
                </c:pt>
                <c:pt idx="4">
                  <c:v>0.31885205886162332</c:v>
                </c:pt>
                <c:pt idx="5">
                  <c:v>0.21476820994111875</c:v>
                </c:pt>
                <c:pt idx="6">
                  <c:v>0.22635771288519591</c:v>
                </c:pt>
                <c:pt idx="7">
                  <c:v>5.7103147323430033E-2</c:v>
                </c:pt>
                <c:pt idx="8">
                  <c:v>7.5258291737652971E-2</c:v>
                </c:pt>
                <c:pt idx="9">
                  <c:v>2.3976048858733952E-2</c:v>
                </c:pt>
                <c:pt idx="10">
                  <c:v>-0.11932231421426515</c:v>
                </c:pt>
                <c:pt idx="11">
                  <c:v>-0.11084127885544637</c:v>
                </c:pt>
                <c:pt idx="12">
                  <c:v>-0.19604268165107466</c:v>
                </c:pt>
                <c:pt idx="13">
                  <c:v>-0.23124956411712588</c:v>
                </c:pt>
                <c:pt idx="14">
                  <c:v>-0.33632722599157194</c:v>
                </c:pt>
                <c:pt idx="15">
                  <c:v>-0.29407398551374453</c:v>
                </c:pt>
                <c:pt idx="16">
                  <c:v>-0.27985424076675558</c:v>
                </c:pt>
                <c:pt idx="17">
                  <c:v>-0.24189008777435744</c:v>
                </c:pt>
                <c:pt idx="18">
                  <c:v>-0.22075599525759471</c:v>
                </c:pt>
                <c:pt idx="19">
                  <c:v>-0.14380647796674373</c:v>
                </c:pt>
                <c:pt idx="20">
                  <c:v>-0.10974534477090042</c:v>
                </c:pt>
                <c:pt idx="21">
                  <c:v>-8.0102818543205001E-2</c:v>
                </c:pt>
                <c:pt idx="22">
                  <c:v>-6.5257893216208506E-4</c:v>
                </c:pt>
                <c:pt idx="23">
                  <c:v>0.11603700271990865</c:v>
                </c:pt>
                <c:pt idx="24">
                  <c:v>-7.2388937043568871E-2</c:v>
                </c:pt>
                <c:pt idx="25">
                  <c:v>-2.6551493957418515E-2</c:v>
                </c:pt>
                <c:pt idx="26">
                  <c:v>3.76577896005812E-2</c:v>
                </c:pt>
                <c:pt idx="27">
                  <c:v>0.10652728377718614</c:v>
                </c:pt>
                <c:pt idx="28">
                  <c:v>0.11795239660858137</c:v>
                </c:pt>
                <c:pt idx="29">
                  <c:v>4.6876089707185577E-2</c:v>
                </c:pt>
                <c:pt idx="30">
                  <c:v>7.3753873130684391E-2</c:v>
                </c:pt>
                <c:pt idx="31">
                  <c:v>9.0591405884168891E-2</c:v>
                </c:pt>
                <c:pt idx="32">
                  <c:v>4.8659473353856106E-2</c:v>
                </c:pt>
                <c:pt idx="33">
                  <c:v>6.5681322294279766E-3</c:v>
                </c:pt>
                <c:pt idx="34">
                  <c:v>-5.0911119745744138E-2</c:v>
                </c:pt>
              </c:numCache>
            </c:numRef>
          </c:val>
        </c:ser>
        <c:marker val="1"/>
        <c:axId val="273333248"/>
        <c:axId val="273343232"/>
      </c:lineChart>
      <c:dateAx>
        <c:axId val="273333248"/>
        <c:scaling>
          <c:orientation val="minMax"/>
        </c:scaling>
        <c:axPos val="b"/>
        <c:numFmt formatCode="yyyy/m/d" sourceLinked="1"/>
        <c:tickLblPos val="nextTo"/>
        <c:txPr>
          <a:bodyPr/>
          <a:lstStyle/>
          <a:p>
            <a:pPr>
              <a:defRPr sz="800"/>
            </a:pPr>
            <a:endParaRPr lang="zh-CN"/>
          </a:p>
        </c:txPr>
        <c:crossAx val="273343232"/>
        <c:crosses val="autoZero"/>
        <c:auto val="1"/>
        <c:lblOffset val="100"/>
        <c:majorUnit val="6"/>
      </c:dateAx>
      <c:valAx>
        <c:axId val="273343232"/>
        <c:scaling>
          <c:orientation val="minMax"/>
        </c:scaling>
        <c:axPos val="l"/>
        <c:numFmt formatCode="General" sourceLinked="1"/>
        <c:tickLblPos val="nextTo"/>
        <c:crossAx val="273333248"/>
        <c:crosses val="autoZero"/>
        <c:crossBetween val="between"/>
      </c:valAx>
    </c:plotArea>
    <c:legend>
      <c:legendPos val="b"/>
      <c:layout>
        <c:manualLayout>
          <c:xMode val="edge"/>
          <c:yMode val="edge"/>
          <c:x val="0.17017944185548267"/>
          <c:y val="0.79527425029318366"/>
          <c:w val="0.65692002785366221"/>
          <c:h val="0.11961936672809508"/>
        </c:manualLayout>
      </c:layout>
      <c:txPr>
        <a:bodyPr/>
        <a:lstStyle/>
        <a:p>
          <a:pPr>
            <a:defRPr sz="800"/>
          </a:pPr>
          <a:endParaRPr lang="zh-CN"/>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Sheet1!$X$2</c:f>
              <c:strCache>
                <c:ptCount val="1"/>
                <c:pt idx="0">
                  <c:v>组合业绩</c:v>
                </c:pt>
              </c:strCache>
            </c:strRef>
          </c:tx>
          <c:spPr>
            <a:ln>
              <a:solidFill>
                <a:srgbClr val="0070C0"/>
              </a:solidFill>
            </a:ln>
          </c:spPr>
          <c:marker>
            <c:symbol val="none"/>
          </c:marker>
          <c:cat>
            <c:numRef>
              <c:f>Sheet1!$W$3:$W$39</c:f>
              <c:numCache>
                <c:formatCode>yyyy/m/d</c:formatCode>
                <c:ptCount val="37"/>
                <c:pt idx="0">
                  <c:v>39294</c:v>
                </c:pt>
                <c:pt idx="1">
                  <c:v>39325</c:v>
                </c:pt>
                <c:pt idx="2">
                  <c:v>39355</c:v>
                </c:pt>
                <c:pt idx="3">
                  <c:v>39386</c:v>
                </c:pt>
                <c:pt idx="4">
                  <c:v>39416</c:v>
                </c:pt>
                <c:pt idx="5">
                  <c:v>39447</c:v>
                </c:pt>
                <c:pt idx="6">
                  <c:v>39478</c:v>
                </c:pt>
                <c:pt idx="7">
                  <c:v>39507</c:v>
                </c:pt>
                <c:pt idx="8">
                  <c:v>39538</c:v>
                </c:pt>
                <c:pt idx="9">
                  <c:v>39568</c:v>
                </c:pt>
                <c:pt idx="10">
                  <c:v>39598</c:v>
                </c:pt>
                <c:pt idx="11">
                  <c:v>39629</c:v>
                </c:pt>
                <c:pt idx="12">
                  <c:v>39660</c:v>
                </c:pt>
                <c:pt idx="13">
                  <c:v>39689</c:v>
                </c:pt>
                <c:pt idx="14">
                  <c:v>39721</c:v>
                </c:pt>
                <c:pt idx="15">
                  <c:v>39752</c:v>
                </c:pt>
                <c:pt idx="16">
                  <c:v>39780</c:v>
                </c:pt>
                <c:pt idx="17">
                  <c:v>39813</c:v>
                </c:pt>
                <c:pt idx="18">
                  <c:v>39836</c:v>
                </c:pt>
                <c:pt idx="19">
                  <c:v>39871</c:v>
                </c:pt>
                <c:pt idx="20">
                  <c:v>39903</c:v>
                </c:pt>
                <c:pt idx="21">
                  <c:v>39933</c:v>
                </c:pt>
                <c:pt idx="22">
                  <c:v>39960</c:v>
                </c:pt>
                <c:pt idx="23">
                  <c:v>39994</c:v>
                </c:pt>
                <c:pt idx="24">
                  <c:v>40025</c:v>
                </c:pt>
                <c:pt idx="25">
                  <c:v>40056</c:v>
                </c:pt>
                <c:pt idx="26">
                  <c:v>40086</c:v>
                </c:pt>
                <c:pt idx="27">
                  <c:v>40116</c:v>
                </c:pt>
                <c:pt idx="28">
                  <c:v>40147</c:v>
                </c:pt>
                <c:pt idx="29">
                  <c:v>40178</c:v>
                </c:pt>
                <c:pt idx="30">
                  <c:v>40207</c:v>
                </c:pt>
                <c:pt idx="31">
                  <c:v>40235</c:v>
                </c:pt>
                <c:pt idx="32">
                  <c:v>40268</c:v>
                </c:pt>
                <c:pt idx="33">
                  <c:v>40298</c:v>
                </c:pt>
                <c:pt idx="34">
                  <c:v>40329</c:v>
                </c:pt>
                <c:pt idx="35">
                  <c:v>40359</c:v>
                </c:pt>
                <c:pt idx="36">
                  <c:v>40389</c:v>
                </c:pt>
              </c:numCache>
            </c:numRef>
          </c:cat>
          <c:val>
            <c:numRef>
              <c:f>Sheet1!$X$3:$X$39</c:f>
              <c:numCache>
                <c:formatCode>General</c:formatCode>
                <c:ptCount val="37"/>
                <c:pt idx="0">
                  <c:v>0.15059111291430272</c:v>
                </c:pt>
                <c:pt idx="1">
                  <c:v>0.14001668450790919</c:v>
                </c:pt>
                <c:pt idx="2">
                  <c:v>5.9272414285526175E-2</c:v>
                </c:pt>
                <c:pt idx="3">
                  <c:v>5.3521147533786232E-3</c:v>
                </c:pt>
                <c:pt idx="4">
                  <c:v>-0.1142800360299332</c:v>
                </c:pt>
                <c:pt idx="5">
                  <c:v>0.11297289010180685</c:v>
                </c:pt>
                <c:pt idx="6">
                  <c:v>-7.1429522246623731E-2</c:v>
                </c:pt>
                <c:pt idx="7">
                  <c:v>1.2949199649730233E-2</c:v>
                </c:pt>
                <c:pt idx="8">
                  <c:v>-0.13921547285202795</c:v>
                </c:pt>
                <c:pt idx="9">
                  <c:v>2.1196673759497735E-2</c:v>
                </c:pt>
                <c:pt idx="10">
                  <c:v>-4.2368139096219191E-2</c:v>
                </c:pt>
                <c:pt idx="11">
                  <c:v>-0.14286412603756179</c:v>
                </c:pt>
                <c:pt idx="12">
                  <c:v>1.2572623840066761E-2</c:v>
                </c:pt>
                <c:pt idx="13">
                  <c:v>-0.11532302572867403</c:v>
                </c:pt>
                <c:pt idx="14">
                  <c:v>-5.5258845597657195E-2</c:v>
                </c:pt>
                <c:pt idx="15">
                  <c:v>-0.17847775255596107</c:v>
                </c:pt>
                <c:pt idx="16">
                  <c:v>7.5230515891769906E-2</c:v>
                </c:pt>
                <c:pt idx="17">
                  <c:v>3.8898273953271202E-2</c:v>
                </c:pt>
                <c:pt idx="18">
                  <c:v>7.0900088241181713E-2</c:v>
                </c:pt>
                <c:pt idx="19">
                  <c:v>3.4426594447961575E-2</c:v>
                </c:pt>
                <c:pt idx="20">
                  <c:v>0.10768579393138122</c:v>
                </c:pt>
                <c:pt idx="21">
                  <c:v>5.0814539455283809E-2</c:v>
                </c:pt>
                <c:pt idx="22">
                  <c:v>4.0230810049927304E-2</c:v>
                </c:pt>
                <c:pt idx="23">
                  <c:v>0.10471035469550082</c:v>
                </c:pt>
                <c:pt idx="24">
                  <c:v>0.13019675397763331</c:v>
                </c:pt>
                <c:pt idx="25">
                  <c:v>-0.17740945764486374</c:v>
                </c:pt>
                <c:pt idx="26">
                  <c:v>5.3831026810305514E-2</c:v>
                </c:pt>
                <c:pt idx="27">
                  <c:v>7.5810468735019329E-2</c:v>
                </c:pt>
                <c:pt idx="28">
                  <c:v>7.0604908674031741E-2</c:v>
                </c:pt>
                <c:pt idx="29">
                  <c:v>1.6836613543615545E-2</c:v>
                </c:pt>
                <c:pt idx="30">
                  <c:v>-6.6321088947888032E-2</c:v>
                </c:pt>
                <c:pt idx="31">
                  <c:v>2.7393291358176086E-2</c:v>
                </c:pt>
                <c:pt idx="32">
                  <c:v>1.5788071691490203E-2</c:v>
                </c:pt>
                <c:pt idx="33">
                  <c:v>-4.4535142536193659E-2</c:v>
                </c:pt>
                <c:pt idx="34">
                  <c:v>-5.3377344441971113E-2</c:v>
                </c:pt>
                <c:pt idx="35">
                  <c:v>-6.1439824327323804E-2</c:v>
                </c:pt>
                <c:pt idx="36">
                  <c:v>8.8455081243742725E-2</c:v>
                </c:pt>
              </c:numCache>
            </c:numRef>
          </c:val>
          <c:smooth val="1"/>
        </c:ser>
        <c:ser>
          <c:idx val="1"/>
          <c:order val="1"/>
          <c:tx>
            <c:strRef>
              <c:f>Sheet1!$AB$2</c:f>
              <c:strCache>
                <c:ptCount val="1"/>
                <c:pt idx="0">
                  <c:v>混合型基金</c:v>
                </c:pt>
              </c:strCache>
            </c:strRef>
          </c:tx>
          <c:spPr>
            <a:ln w="28575">
              <a:solidFill>
                <a:srgbClr val="FF0000"/>
              </a:solidFill>
            </a:ln>
          </c:spPr>
          <c:marker>
            <c:symbol val="none"/>
          </c:marker>
          <c:cat>
            <c:numRef>
              <c:f>Sheet1!$W$3:$W$39</c:f>
              <c:numCache>
                <c:formatCode>yyyy/m/d</c:formatCode>
                <c:ptCount val="37"/>
                <c:pt idx="0">
                  <c:v>39294</c:v>
                </c:pt>
                <c:pt idx="1">
                  <c:v>39325</c:v>
                </c:pt>
                <c:pt idx="2">
                  <c:v>39355</c:v>
                </c:pt>
                <c:pt idx="3">
                  <c:v>39386</c:v>
                </c:pt>
                <c:pt idx="4">
                  <c:v>39416</c:v>
                </c:pt>
                <c:pt idx="5">
                  <c:v>39447</c:v>
                </c:pt>
                <c:pt idx="6">
                  <c:v>39478</c:v>
                </c:pt>
                <c:pt idx="7">
                  <c:v>39507</c:v>
                </c:pt>
                <c:pt idx="8">
                  <c:v>39538</c:v>
                </c:pt>
                <c:pt idx="9">
                  <c:v>39568</c:v>
                </c:pt>
                <c:pt idx="10">
                  <c:v>39598</c:v>
                </c:pt>
                <c:pt idx="11">
                  <c:v>39629</c:v>
                </c:pt>
                <c:pt idx="12">
                  <c:v>39660</c:v>
                </c:pt>
                <c:pt idx="13">
                  <c:v>39689</c:v>
                </c:pt>
                <c:pt idx="14">
                  <c:v>39721</c:v>
                </c:pt>
                <c:pt idx="15">
                  <c:v>39752</c:v>
                </c:pt>
                <c:pt idx="16">
                  <c:v>39780</c:v>
                </c:pt>
                <c:pt idx="17">
                  <c:v>39813</c:v>
                </c:pt>
                <c:pt idx="18">
                  <c:v>39836</c:v>
                </c:pt>
                <c:pt idx="19">
                  <c:v>39871</c:v>
                </c:pt>
                <c:pt idx="20">
                  <c:v>39903</c:v>
                </c:pt>
                <c:pt idx="21">
                  <c:v>39933</c:v>
                </c:pt>
                <c:pt idx="22">
                  <c:v>39960</c:v>
                </c:pt>
                <c:pt idx="23">
                  <c:v>39994</c:v>
                </c:pt>
                <c:pt idx="24">
                  <c:v>40025</c:v>
                </c:pt>
                <c:pt idx="25">
                  <c:v>40056</c:v>
                </c:pt>
                <c:pt idx="26">
                  <c:v>40086</c:v>
                </c:pt>
                <c:pt idx="27">
                  <c:v>40116</c:v>
                </c:pt>
                <c:pt idx="28">
                  <c:v>40147</c:v>
                </c:pt>
                <c:pt idx="29">
                  <c:v>40178</c:v>
                </c:pt>
                <c:pt idx="30">
                  <c:v>40207</c:v>
                </c:pt>
                <c:pt idx="31">
                  <c:v>40235</c:v>
                </c:pt>
                <c:pt idx="32">
                  <c:v>40268</c:v>
                </c:pt>
                <c:pt idx="33">
                  <c:v>40298</c:v>
                </c:pt>
                <c:pt idx="34">
                  <c:v>40329</c:v>
                </c:pt>
                <c:pt idx="35">
                  <c:v>40359</c:v>
                </c:pt>
                <c:pt idx="36">
                  <c:v>40389</c:v>
                </c:pt>
              </c:numCache>
            </c:numRef>
          </c:cat>
          <c:val>
            <c:numRef>
              <c:f>Sheet1!$AB$3:$AB$39</c:f>
              <c:numCache>
                <c:formatCode>General</c:formatCode>
                <c:ptCount val="37"/>
                <c:pt idx="0">
                  <c:v>0.13207002022496517</c:v>
                </c:pt>
                <c:pt idx="1">
                  <c:v>0.13374462055673408</c:v>
                </c:pt>
                <c:pt idx="2">
                  <c:v>5.140346519282131E-2</c:v>
                </c:pt>
                <c:pt idx="3">
                  <c:v>1.4670053010055587E-2</c:v>
                </c:pt>
                <c:pt idx="4">
                  <c:v>-0.12241965175758369</c:v>
                </c:pt>
                <c:pt idx="5">
                  <c:v>9.7555313265648785E-2</c:v>
                </c:pt>
                <c:pt idx="6">
                  <c:v>-7.8920033692289518E-2</c:v>
                </c:pt>
                <c:pt idx="7">
                  <c:v>9.5405056283446726E-3</c:v>
                </c:pt>
                <c:pt idx="8">
                  <c:v>-0.13801402623673992</c:v>
                </c:pt>
                <c:pt idx="9">
                  <c:v>1.7174430385711793E-2</c:v>
                </c:pt>
                <c:pt idx="10">
                  <c:v>-4.7692952728637182E-2</c:v>
                </c:pt>
                <c:pt idx="11">
                  <c:v>-0.13994308092724614</c:v>
                </c:pt>
                <c:pt idx="12">
                  <c:v>9.6301240461792708E-3</c:v>
                </c:pt>
                <c:pt idx="13">
                  <c:v>-9.5822490146589751E-2</c:v>
                </c:pt>
                <c:pt idx="14">
                  <c:v>-4.3791979577168176E-2</c:v>
                </c:pt>
                <c:pt idx="15">
                  <c:v>-0.13668631192874567</c:v>
                </c:pt>
                <c:pt idx="16">
                  <c:v>6.3665773454329791E-2</c:v>
                </c:pt>
                <c:pt idx="17">
                  <c:v>2.0143392445081208E-2</c:v>
                </c:pt>
                <c:pt idx="18">
                  <c:v>5.2717317995206438E-2</c:v>
                </c:pt>
                <c:pt idx="19">
                  <c:v>2.7877346247482504E-2</c:v>
                </c:pt>
                <c:pt idx="20">
                  <c:v>9.8748937203935405E-2</c:v>
                </c:pt>
                <c:pt idx="21">
                  <c:v>3.9782049641016094E-2</c:v>
                </c:pt>
                <c:pt idx="22">
                  <c:v>3.3296682082574414E-2</c:v>
                </c:pt>
                <c:pt idx="23">
                  <c:v>8.6368608592997026E-2</c:v>
                </c:pt>
                <c:pt idx="24">
                  <c:v>0.11676578054044917</c:v>
                </c:pt>
                <c:pt idx="25">
                  <c:v>-0.16883484983406646</c:v>
                </c:pt>
                <c:pt idx="26">
                  <c:v>4.9414506700749893E-2</c:v>
                </c:pt>
                <c:pt idx="27">
                  <c:v>6.5960637013080164E-2</c:v>
                </c:pt>
                <c:pt idx="28">
                  <c:v>6.6370141357599444E-2</c:v>
                </c:pt>
                <c:pt idx="29">
                  <c:v>1.0325197578857069E-2</c:v>
                </c:pt>
                <c:pt idx="30">
                  <c:v>-6.3577221281525723E-2</c:v>
                </c:pt>
                <c:pt idx="31">
                  <c:v>2.5674273858921199E-2</c:v>
                </c:pt>
                <c:pt idx="32">
                  <c:v>1.5680998387826443E-2</c:v>
                </c:pt>
                <c:pt idx="33">
                  <c:v>-3.8448801543890181E-2</c:v>
                </c:pt>
                <c:pt idx="34">
                  <c:v>-4.0138235713267717E-2</c:v>
                </c:pt>
                <c:pt idx="35">
                  <c:v>-5.7104184142868122E-2</c:v>
                </c:pt>
                <c:pt idx="36">
                  <c:v>7.7069839703551191E-2</c:v>
                </c:pt>
              </c:numCache>
            </c:numRef>
          </c:val>
          <c:smooth val="1"/>
        </c:ser>
        <c:marker val="1"/>
        <c:axId val="273349632"/>
        <c:axId val="283333376"/>
      </c:lineChart>
      <c:dateAx>
        <c:axId val="273349632"/>
        <c:scaling>
          <c:orientation val="minMax"/>
        </c:scaling>
        <c:axPos val="b"/>
        <c:numFmt formatCode="yyyy/m/d" sourceLinked="1"/>
        <c:tickLblPos val="nextTo"/>
        <c:crossAx val="283333376"/>
        <c:crosses val="autoZero"/>
        <c:auto val="1"/>
        <c:lblOffset val="100"/>
      </c:dateAx>
      <c:valAx>
        <c:axId val="283333376"/>
        <c:scaling>
          <c:orientation val="minMax"/>
        </c:scaling>
        <c:axPos val="l"/>
        <c:numFmt formatCode="General" sourceLinked="1"/>
        <c:tickLblPos val="nextTo"/>
        <c:crossAx val="273349632"/>
        <c:crosses val="autoZero"/>
        <c:crossBetween val="between"/>
      </c:valAx>
    </c:plotArea>
    <c:legend>
      <c:legendPos val="b"/>
      <c:layout>
        <c:manualLayout>
          <c:xMode val="edge"/>
          <c:yMode val="edge"/>
          <c:x val="0.27"/>
          <c:y val="0.84683836395450574"/>
          <c:w val="0.48315098468271422"/>
          <c:h val="9.7219964439928516E-2"/>
        </c:manualLayout>
      </c:layout>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plotArea>
      <c:layout/>
      <c:lineChart>
        <c:grouping val="standard"/>
        <c:ser>
          <c:idx val="0"/>
          <c:order val="0"/>
          <c:tx>
            <c:strRef>
              <c:f>'2007.6'!$D$13</c:f>
              <c:strCache>
                <c:ptCount val="1"/>
                <c:pt idx="0">
                  <c:v>动态组合累积收益率</c:v>
                </c:pt>
              </c:strCache>
            </c:strRef>
          </c:tx>
          <c:spPr>
            <a:ln w="22225">
              <a:solidFill>
                <a:srgbClr val="00B0F0"/>
              </a:solidFill>
            </a:ln>
          </c:spPr>
          <c:marker>
            <c:symbol val="none"/>
          </c:marker>
          <c:cat>
            <c:strRef>
              <c:f>'2007.6'!$A$14:$A$48</c:f>
              <c:strCache>
                <c:ptCount val="35"/>
                <c:pt idx="0">
                  <c:v>2007-8-30</c:v>
                </c:pt>
                <c:pt idx="1">
                  <c:v>2007-9-31</c:v>
                </c:pt>
                <c:pt idx="2">
                  <c:v>2007-10-31</c:v>
                </c:pt>
                <c:pt idx="3">
                  <c:v>2007-11-30</c:v>
                </c:pt>
                <c:pt idx="4">
                  <c:v>2007-12-31</c:v>
                </c:pt>
                <c:pt idx="5">
                  <c:v>2008-1-31</c:v>
                </c:pt>
                <c:pt idx="6">
                  <c:v>2008-2-30</c:v>
                </c:pt>
                <c:pt idx="7">
                  <c:v>2008-3-30</c:v>
                </c:pt>
                <c:pt idx="8">
                  <c:v>2008-4-30</c:v>
                </c:pt>
                <c:pt idx="9">
                  <c:v>2008-5-30</c:v>
                </c:pt>
                <c:pt idx="10">
                  <c:v>2008-6-30</c:v>
                </c:pt>
                <c:pt idx="11">
                  <c:v>2008-7-31</c:v>
                </c:pt>
                <c:pt idx="12">
                  <c:v>2008-8-29</c:v>
                </c:pt>
                <c:pt idx="13">
                  <c:v>2008-9-30</c:v>
                </c:pt>
                <c:pt idx="14">
                  <c:v>2008-10-31</c:v>
                </c:pt>
                <c:pt idx="15">
                  <c:v>2008-11-28</c:v>
                </c:pt>
                <c:pt idx="16">
                  <c:v>2008-12-31</c:v>
                </c:pt>
                <c:pt idx="17">
                  <c:v>2009-1-23</c:v>
                </c:pt>
                <c:pt idx="18">
                  <c:v>2009-2-27</c:v>
                </c:pt>
                <c:pt idx="19">
                  <c:v>2009-3-31</c:v>
                </c:pt>
                <c:pt idx="20">
                  <c:v>2009-4-30</c:v>
                </c:pt>
                <c:pt idx="21">
                  <c:v>2009-5-27</c:v>
                </c:pt>
                <c:pt idx="22">
                  <c:v>2009-6-30</c:v>
                </c:pt>
                <c:pt idx="23">
                  <c:v>2009-7-31</c:v>
                </c:pt>
                <c:pt idx="24">
                  <c:v>2009-8-31</c:v>
                </c:pt>
                <c:pt idx="25">
                  <c:v>2009-9-30</c:v>
                </c:pt>
                <c:pt idx="26">
                  <c:v>2009-10-30</c:v>
                </c:pt>
                <c:pt idx="27">
                  <c:v>2009-11-30</c:v>
                </c:pt>
                <c:pt idx="28">
                  <c:v>2009-12-31</c:v>
                </c:pt>
                <c:pt idx="29">
                  <c:v>2010-1-29</c:v>
                </c:pt>
                <c:pt idx="30">
                  <c:v>2010-2-26</c:v>
                </c:pt>
                <c:pt idx="31">
                  <c:v>2010-3-31</c:v>
                </c:pt>
                <c:pt idx="32">
                  <c:v>2010-4-30</c:v>
                </c:pt>
                <c:pt idx="33">
                  <c:v>2010-5-31</c:v>
                </c:pt>
                <c:pt idx="34">
                  <c:v>2010-6-30</c:v>
                </c:pt>
              </c:strCache>
            </c:strRef>
          </c:cat>
          <c:val>
            <c:numRef>
              <c:f>'2007.6'!$D$14:$D$48</c:f>
              <c:numCache>
                <c:formatCode>General</c:formatCode>
                <c:ptCount val="35"/>
                <c:pt idx="0">
                  <c:v>0.32230441639392354</c:v>
                </c:pt>
                <c:pt idx="1">
                  <c:v>0.40886916493823727</c:v>
                </c:pt>
                <c:pt idx="2">
                  <c:v>0.42612196331780833</c:v>
                </c:pt>
                <c:pt idx="3">
                  <c:v>0.25177036071471082</c:v>
                </c:pt>
                <c:pt idx="4">
                  <c:v>0.38465533236405264</c:v>
                </c:pt>
                <c:pt idx="5">
                  <c:v>0.28372349710681138</c:v>
                </c:pt>
                <c:pt idx="6">
                  <c:v>0.30220494603058268</c:v>
                </c:pt>
                <c:pt idx="7">
                  <c:v>0.12034234959951128</c:v>
                </c:pt>
                <c:pt idx="8">
                  <c:v>0.12862618642349991</c:v>
                </c:pt>
                <c:pt idx="9">
                  <c:v>8.1283848434967387E-2</c:v>
                </c:pt>
                <c:pt idx="10">
                  <c:v>-5.6789260660280449E-2</c:v>
                </c:pt>
                <c:pt idx="11">
                  <c:v>-3.9231177234535654E-2</c:v>
                </c:pt>
                <c:pt idx="12">
                  <c:v>-0.11466679327166344</c:v>
                </c:pt>
                <c:pt idx="13">
                  <c:v>-0.15078278493396771</c:v>
                </c:pt>
                <c:pt idx="14">
                  <c:v>-0.24679997482754951</c:v>
                </c:pt>
                <c:pt idx="15">
                  <c:v>-0.2060029075237442</c:v>
                </c:pt>
                <c:pt idx="16">
                  <c:v>-0.18373678118492084</c:v>
                </c:pt>
                <c:pt idx="17">
                  <c:v>-0.13837897314581316</c:v>
                </c:pt>
                <c:pt idx="18">
                  <c:v>-0.11338411291210271</c:v>
                </c:pt>
                <c:pt idx="19">
                  <c:v>-3.0437518959186154E-2</c:v>
                </c:pt>
                <c:pt idx="20">
                  <c:v>5.5892739805378901E-3</c:v>
                </c:pt>
                <c:pt idx="21">
                  <c:v>4.1358508967288307E-2</c:v>
                </c:pt>
                <c:pt idx="22">
                  <c:v>0.12586553483726079</c:v>
                </c:pt>
                <c:pt idx="23">
                  <c:v>0.25689919721764265</c:v>
                </c:pt>
                <c:pt idx="24">
                  <c:v>6.8799149156361109E-2</c:v>
                </c:pt>
                <c:pt idx="25">
                  <c:v>0.12025861692597406</c:v>
                </c:pt>
                <c:pt idx="26">
                  <c:v>0.1892352834076258</c:v>
                </c:pt>
                <c:pt idx="27">
                  <c:v>0.26556686237230243</c:v>
                </c:pt>
                <c:pt idx="28">
                  <c:v>0.28542628259373032</c:v>
                </c:pt>
                <c:pt idx="29">
                  <c:v>0.22582833306760822</c:v>
                </c:pt>
                <c:pt idx="30">
                  <c:v>0.25791322118729387</c:v>
                </c:pt>
                <c:pt idx="31">
                  <c:v>0.27678485746889181</c:v>
                </c:pt>
                <c:pt idx="32">
                  <c:v>0.23548900249605867</c:v>
                </c:pt>
                <c:pt idx="33">
                  <c:v>0.18511566236063448</c:v>
                </c:pt>
                <c:pt idx="34">
                  <c:v>0.11685758089616087</c:v>
                </c:pt>
              </c:numCache>
            </c:numRef>
          </c:val>
        </c:ser>
        <c:ser>
          <c:idx val="1"/>
          <c:order val="1"/>
          <c:tx>
            <c:strRef>
              <c:f>'2007.6'!$E$13</c:f>
              <c:strCache>
                <c:ptCount val="1"/>
                <c:pt idx="0">
                  <c:v>中证混合基金累积收益</c:v>
                </c:pt>
              </c:strCache>
            </c:strRef>
          </c:tx>
          <c:spPr>
            <a:ln w="22225">
              <a:solidFill>
                <a:srgbClr val="FF0000"/>
              </a:solidFill>
            </a:ln>
          </c:spPr>
          <c:marker>
            <c:symbol val="none"/>
          </c:marker>
          <c:cat>
            <c:strRef>
              <c:f>'2007.6'!$A$14:$A$48</c:f>
              <c:strCache>
                <c:ptCount val="35"/>
                <c:pt idx="0">
                  <c:v>2007-8-30</c:v>
                </c:pt>
                <c:pt idx="1">
                  <c:v>2007-9-31</c:v>
                </c:pt>
                <c:pt idx="2">
                  <c:v>2007-10-31</c:v>
                </c:pt>
                <c:pt idx="3">
                  <c:v>2007-11-30</c:v>
                </c:pt>
                <c:pt idx="4">
                  <c:v>2007-12-31</c:v>
                </c:pt>
                <c:pt idx="5">
                  <c:v>2008-1-31</c:v>
                </c:pt>
                <c:pt idx="6">
                  <c:v>2008-2-30</c:v>
                </c:pt>
                <c:pt idx="7">
                  <c:v>2008-3-30</c:v>
                </c:pt>
                <c:pt idx="8">
                  <c:v>2008-4-30</c:v>
                </c:pt>
                <c:pt idx="9">
                  <c:v>2008-5-30</c:v>
                </c:pt>
                <c:pt idx="10">
                  <c:v>2008-6-30</c:v>
                </c:pt>
                <c:pt idx="11">
                  <c:v>2008-7-31</c:v>
                </c:pt>
                <c:pt idx="12">
                  <c:v>2008-8-29</c:v>
                </c:pt>
                <c:pt idx="13">
                  <c:v>2008-9-30</c:v>
                </c:pt>
                <c:pt idx="14">
                  <c:v>2008-10-31</c:v>
                </c:pt>
                <c:pt idx="15">
                  <c:v>2008-11-28</c:v>
                </c:pt>
                <c:pt idx="16">
                  <c:v>2008-12-31</c:v>
                </c:pt>
                <c:pt idx="17">
                  <c:v>2009-1-23</c:v>
                </c:pt>
                <c:pt idx="18">
                  <c:v>2009-2-27</c:v>
                </c:pt>
                <c:pt idx="19">
                  <c:v>2009-3-31</c:v>
                </c:pt>
                <c:pt idx="20">
                  <c:v>2009-4-30</c:v>
                </c:pt>
                <c:pt idx="21">
                  <c:v>2009-5-27</c:v>
                </c:pt>
                <c:pt idx="22">
                  <c:v>2009-6-30</c:v>
                </c:pt>
                <c:pt idx="23">
                  <c:v>2009-7-31</c:v>
                </c:pt>
                <c:pt idx="24">
                  <c:v>2009-8-31</c:v>
                </c:pt>
                <c:pt idx="25">
                  <c:v>2009-9-30</c:v>
                </c:pt>
                <c:pt idx="26">
                  <c:v>2009-10-30</c:v>
                </c:pt>
                <c:pt idx="27">
                  <c:v>2009-11-30</c:v>
                </c:pt>
                <c:pt idx="28">
                  <c:v>2009-12-31</c:v>
                </c:pt>
                <c:pt idx="29">
                  <c:v>2010-1-29</c:v>
                </c:pt>
                <c:pt idx="30">
                  <c:v>2010-2-26</c:v>
                </c:pt>
                <c:pt idx="31">
                  <c:v>2010-3-31</c:v>
                </c:pt>
                <c:pt idx="32">
                  <c:v>2010-4-30</c:v>
                </c:pt>
                <c:pt idx="33">
                  <c:v>2010-5-31</c:v>
                </c:pt>
                <c:pt idx="34">
                  <c:v>2010-6-30</c:v>
                </c:pt>
              </c:strCache>
            </c:strRef>
          </c:cat>
          <c:val>
            <c:numRef>
              <c:f>'2007.6'!$E$14:$E$48</c:f>
              <c:numCache>
                <c:formatCode>General</c:formatCode>
                <c:ptCount val="35"/>
                <c:pt idx="0">
                  <c:v>0.28347829552360793</c:v>
                </c:pt>
                <c:pt idx="1">
                  <c:v>0.34945352741329683</c:v>
                </c:pt>
                <c:pt idx="2">
                  <c:v>0.36925008219505667</c:v>
                </c:pt>
                <c:pt idx="3">
                  <c:v>0.20162696396369467</c:v>
                </c:pt>
                <c:pt idx="4">
                  <c:v>0.31885205886162332</c:v>
                </c:pt>
                <c:pt idx="5">
                  <c:v>0.21476820994111875</c:v>
                </c:pt>
                <c:pt idx="6">
                  <c:v>0.22635771288519591</c:v>
                </c:pt>
                <c:pt idx="7">
                  <c:v>5.7103147323430033E-2</c:v>
                </c:pt>
                <c:pt idx="8">
                  <c:v>7.5258291737652971E-2</c:v>
                </c:pt>
                <c:pt idx="9">
                  <c:v>2.3976048858733952E-2</c:v>
                </c:pt>
                <c:pt idx="10">
                  <c:v>-0.11932231421426515</c:v>
                </c:pt>
                <c:pt idx="11">
                  <c:v>-0.11084127885544637</c:v>
                </c:pt>
                <c:pt idx="12">
                  <c:v>-0.19604268165107466</c:v>
                </c:pt>
                <c:pt idx="13">
                  <c:v>-0.23124956411712588</c:v>
                </c:pt>
                <c:pt idx="14">
                  <c:v>-0.33632722599157194</c:v>
                </c:pt>
                <c:pt idx="15">
                  <c:v>-0.29407398551374453</c:v>
                </c:pt>
                <c:pt idx="16">
                  <c:v>-0.27985424076675558</c:v>
                </c:pt>
                <c:pt idx="17">
                  <c:v>-0.24189008777435744</c:v>
                </c:pt>
                <c:pt idx="18">
                  <c:v>-0.22075599525759471</c:v>
                </c:pt>
                <c:pt idx="19">
                  <c:v>-0.14380647796674373</c:v>
                </c:pt>
                <c:pt idx="20">
                  <c:v>-0.10974534477090042</c:v>
                </c:pt>
                <c:pt idx="21">
                  <c:v>-8.0102818543205001E-2</c:v>
                </c:pt>
                <c:pt idx="22">
                  <c:v>-6.5257893216208506E-4</c:v>
                </c:pt>
                <c:pt idx="23">
                  <c:v>0.11603700271990865</c:v>
                </c:pt>
                <c:pt idx="24">
                  <c:v>-7.2388937043568871E-2</c:v>
                </c:pt>
                <c:pt idx="25">
                  <c:v>-2.6551493957418515E-2</c:v>
                </c:pt>
                <c:pt idx="26">
                  <c:v>3.76577896005812E-2</c:v>
                </c:pt>
                <c:pt idx="27">
                  <c:v>0.10652728377718614</c:v>
                </c:pt>
                <c:pt idx="28">
                  <c:v>0.11795239660858137</c:v>
                </c:pt>
                <c:pt idx="29">
                  <c:v>4.6876089707185577E-2</c:v>
                </c:pt>
                <c:pt idx="30">
                  <c:v>7.3753873130684391E-2</c:v>
                </c:pt>
                <c:pt idx="31">
                  <c:v>9.0591405884168891E-2</c:v>
                </c:pt>
                <c:pt idx="32">
                  <c:v>4.8659473353856106E-2</c:v>
                </c:pt>
                <c:pt idx="33">
                  <c:v>6.5681322294279766E-3</c:v>
                </c:pt>
                <c:pt idx="34">
                  <c:v>-5.0911119745744138E-2</c:v>
                </c:pt>
              </c:numCache>
            </c:numRef>
          </c:val>
        </c:ser>
        <c:marker val="1"/>
        <c:axId val="283371392"/>
        <c:axId val="283372928"/>
      </c:lineChart>
      <c:catAx>
        <c:axId val="283371392"/>
        <c:scaling>
          <c:orientation val="minMax"/>
        </c:scaling>
        <c:axPos val="b"/>
        <c:tickLblPos val="nextTo"/>
        <c:txPr>
          <a:bodyPr/>
          <a:lstStyle/>
          <a:p>
            <a:pPr>
              <a:defRPr sz="800" baseline="0"/>
            </a:pPr>
            <a:endParaRPr lang="zh-CN"/>
          </a:p>
        </c:txPr>
        <c:crossAx val="283372928"/>
        <c:crosses val="autoZero"/>
        <c:auto val="1"/>
        <c:lblAlgn val="ctr"/>
        <c:lblOffset val="100"/>
        <c:tickLblSkip val="4"/>
      </c:catAx>
      <c:valAx>
        <c:axId val="283372928"/>
        <c:scaling>
          <c:orientation val="minMax"/>
        </c:scaling>
        <c:axPos val="l"/>
        <c:majorGridlines>
          <c:spPr>
            <a:ln w="6350">
              <a:prstDash val="sysDash"/>
            </a:ln>
          </c:spPr>
        </c:majorGridlines>
        <c:numFmt formatCode="General" sourceLinked="1"/>
        <c:tickLblPos val="nextTo"/>
        <c:txPr>
          <a:bodyPr/>
          <a:lstStyle/>
          <a:p>
            <a:pPr>
              <a:defRPr sz="800"/>
            </a:pPr>
            <a:endParaRPr lang="zh-CN"/>
          </a:p>
        </c:txPr>
        <c:crossAx val="283371392"/>
        <c:crosses val="autoZero"/>
        <c:crossBetween val="between"/>
      </c:valAx>
    </c:plotArea>
    <c:legend>
      <c:legendPos val="b"/>
      <c:layout>
        <c:manualLayout>
          <c:xMode val="edge"/>
          <c:yMode val="edge"/>
          <c:x val="0.11805485507500123"/>
          <c:y val="0.87924577136191362"/>
          <c:w val="0.79895017636430865"/>
          <c:h val="7.2533902012248602E-2"/>
        </c:manualLayout>
      </c:layout>
      <c:txPr>
        <a:bodyPr/>
        <a:lstStyle/>
        <a:p>
          <a:pPr>
            <a:defRPr sz="800" baseline="0"/>
          </a:pPr>
          <a:endParaRPr lang="zh-CN"/>
        </a:p>
      </c:txPr>
    </c:legend>
    <c:plotVisOnly val="1"/>
  </c:chart>
  <c:spPr>
    <a:ln>
      <a:noFill/>
    </a:ln>
  </c:sp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3B7C3-659B-45E7-A8E6-900C7996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3250</TotalTime>
  <Pages>6</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Links>
    <vt:vector size="6" baseType="variant">
      <vt:variant>
        <vt:i4>2097271</vt:i4>
      </vt:variant>
      <vt:variant>
        <vt:i4>0</vt:i4>
      </vt:variant>
      <vt:variant>
        <vt:i4>0</vt:i4>
      </vt:variant>
      <vt:variant>
        <vt:i4>5</vt:i4>
      </vt:variant>
      <vt:variant>
        <vt:lpwstr>http://quote.hexun.com/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主要观点：</dc:title>
  <dc:subject/>
  <dc:creator>Default</dc:creator>
  <cp:keywords/>
  <dc:description/>
  <cp:lastModifiedBy>代宏坤:办理情况</cp:lastModifiedBy>
  <cp:revision>1400</cp:revision>
  <cp:lastPrinted>2010-08-17T05:09:00Z</cp:lastPrinted>
  <dcterms:created xsi:type="dcterms:W3CDTF">2010-07-24T11:54:00Z</dcterms:created>
  <dcterms:modified xsi:type="dcterms:W3CDTF">2010-09-21T02:22:00Z</dcterms:modified>
</cp:coreProperties>
</file>